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kern w:val="0"/>
          <w:sz w:val="32"/>
          <w:szCs w:val="32"/>
        </w:rPr>
      </w:pPr>
      <w:r>
        <w:rPr>
          <w:rFonts w:hint="eastAsia" w:ascii="黑体" w:hAnsi="黑体" w:eastAsia="黑体" w:cs="宋体"/>
          <w:kern w:val="0"/>
          <w:sz w:val="32"/>
          <w:szCs w:val="32"/>
        </w:rPr>
        <w:t xml:space="preserve">附件2                             </w:t>
      </w:r>
      <w:r>
        <w:rPr>
          <w:rFonts w:hint="eastAsia" w:ascii="黑体" w:hAnsi="黑体" w:eastAsia="黑体" w:cs="方正小标宋简体"/>
          <w:kern w:val="0"/>
          <w:sz w:val="32"/>
          <w:szCs w:val="32"/>
        </w:rPr>
        <w:t xml:space="preserve">  </w:t>
      </w:r>
    </w:p>
    <w:p>
      <w:pPr>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新疆维吾尔自治区污染治理设施运行服务能力评价指标</w:t>
      </w:r>
      <w:bookmarkStart w:id="0" w:name="_GoBack"/>
      <w:bookmarkEnd w:id="0"/>
    </w:p>
    <w:tbl>
      <w:tblPr>
        <w:tblStyle w:val="3"/>
        <w:tblW w:w="1570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44"/>
        <w:gridCol w:w="553"/>
        <w:gridCol w:w="774"/>
        <w:gridCol w:w="941"/>
        <w:gridCol w:w="723"/>
        <w:gridCol w:w="3956"/>
        <w:gridCol w:w="4028"/>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9"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类别</w:t>
            </w:r>
          </w:p>
        </w:tc>
        <w:tc>
          <w:tcPr>
            <w:tcW w:w="553" w:type="dxa"/>
            <w:vMerge w:val="restart"/>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715"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指标名称</w:t>
            </w:r>
          </w:p>
        </w:tc>
        <w:tc>
          <w:tcPr>
            <w:tcW w:w="12723" w:type="dxa"/>
            <w:gridSpan w:val="4"/>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运行服务能力级别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p>
        </w:tc>
        <w:tc>
          <w:tcPr>
            <w:tcW w:w="1715"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p>
        </w:tc>
        <w:tc>
          <w:tcPr>
            <w:tcW w:w="4679"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一级</w:t>
            </w:r>
          </w:p>
        </w:tc>
        <w:tc>
          <w:tcPr>
            <w:tcW w:w="4028" w:type="dxa"/>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二级</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09"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运行管理</w:t>
            </w: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质量管理体系</w:t>
            </w:r>
          </w:p>
        </w:tc>
        <w:tc>
          <w:tcPr>
            <w:tcW w:w="4679" w:type="dxa"/>
            <w:gridSpan w:val="2"/>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具备符合ISO9001要求的运行服务质量管理文件以及与其运行项目相适应的规章制度、工艺文件和作业指导书，项目运行过程中严格执行，相关记录完整。</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sz w:val="21"/>
                <w:szCs w:val="21"/>
              </w:rPr>
              <w:t>建立了</w:t>
            </w:r>
            <w:r>
              <w:rPr>
                <w:rFonts w:hint="eastAsia" w:ascii="宋体" w:hAnsi="宋体" w:eastAsia="宋体" w:cs="宋体"/>
                <w:kern w:val="0"/>
                <w:sz w:val="21"/>
                <w:szCs w:val="21"/>
              </w:rPr>
              <w:t>运行服务质量管理文件以及与其运行项目相适应的规章制度、工艺文件和作业指导书，并在项目运行过程中执行，具有相关记录。</w:t>
            </w:r>
          </w:p>
          <w:p>
            <w:pPr>
              <w:adjustRightInd w:val="0"/>
              <w:snapToGrid w:val="0"/>
              <w:spacing w:line="240" w:lineRule="exact"/>
              <w:rPr>
                <w:rFonts w:hint="eastAsia" w:ascii="宋体" w:hAnsi="宋体" w:eastAsia="宋体" w:cs="宋体"/>
                <w:kern w:val="0"/>
                <w:sz w:val="21"/>
                <w:szCs w:val="21"/>
              </w:rPr>
            </w:pP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sz w:val="21"/>
                <w:szCs w:val="21"/>
              </w:rPr>
              <w:t>建立了</w:t>
            </w:r>
            <w:r>
              <w:rPr>
                <w:rFonts w:hint="eastAsia" w:ascii="宋体" w:hAnsi="宋体" w:eastAsia="宋体" w:cs="宋体"/>
                <w:kern w:val="0"/>
                <w:sz w:val="21"/>
                <w:szCs w:val="21"/>
              </w:rPr>
              <w:t>运行服务质量管理文件以及与其运行项目相适应的规章制度、工艺文件和作业指导书。</w:t>
            </w:r>
          </w:p>
          <w:p>
            <w:pPr>
              <w:adjustRightInd w:val="0"/>
              <w:snapToGrid w:val="0"/>
              <w:spacing w:line="240" w:lineRule="exact"/>
              <w:rPr>
                <w:rFonts w:hint="eastAsia"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突发环境事件应急预案</w:t>
            </w:r>
          </w:p>
        </w:tc>
        <w:tc>
          <w:tcPr>
            <w:tcW w:w="4679" w:type="dxa"/>
            <w:gridSpan w:val="2"/>
            <w:tcMar>
              <w:left w:w="57" w:type="dxa"/>
              <w:right w:w="57" w:type="dxa"/>
            </w:tcMar>
            <w:vAlign w:val="center"/>
          </w:tcPr>
          <w:p>
            <w:pPr>
              <w:widowControl/>
              <w:adjustRightInd w:val="0"/>
              <w:snapToGrid w:val="0"/>
              <w:spacing w:line="240" w:lineRule="exact"/>
              <w:outlineLvl w:val="0"/>
              <w:rPr>
                <w:rFonts w:hint="eastAsia" w:ascii="宋体" w:hAnsi="宋体" w:eastAsia="宋体" w:cs="宋体"/>
                <w:kern w:val="0"/>
                <w:sz w:val="21"/>
                <w:szCs w:val="21"/>
              </w:rPr>
            </w:pPr>
            <w:r>
              <w:rPr>
                <w:rFonts w:hint="eastAsia" w:ascii="宋体" w:hAnsi="宋体" w:eastAsia="宋体" w:cs="宋体"/>
                <w:sz w:val="21"/>
                <w:szCs w:val="21"/>
              </w:rPr>
              <w:t>建立了完善的突发环境事件应急预案，对预警因素和应急措施考虑充分。</w:t>
            </w:r>
            <w:r>
              <w:rPr>
                <w:rFonts w:hint="eastAsia" w:ascii="宋体" w:hAnsi="宋体" w:eastAsia="宋体" w:cs="宋体"/>
                <w:kern w:val="0"/>
                <w:sz w:val="21"/>
                <w:szCs w:val="21"/>
              </w:rPr>
              <w:t>运营单位应演练应急预案，</w:t>
            </w:r>
            <w:r>
              <w:rPr>
                <w:rFonts w:hint="eastAsia" w:ascii="宋体" w:hAnsi="宋体" w:eastAsia="宋体" w:cs="宋体"/>
                <w:sz w:val="21"/>
                <w:szCs w:val="21"/>
              </w:rPr>
              <w:t>对</w:t>
            </w:r>
            <w:r>
              <w:rPr>
                <w:rFonts w:hint="eastAsia" w:ascii="宋体" w:hAnsi="宋体" w:eastAsia="宋体" w:cs="宋体"/>
                <w:kern w:val="0"/>
                <w:sz w:val="21"/>
                <w:szCs w:val="21"/>
              </w:rPr>
              <w:t>实际发生的紧急情况和事故及时作出响应，并保存相关活动记录。</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建立了完善的突发环境事件应急预案，对预警因素和应急措施考虑充分。</w:t>
            </w:r>
            <w:r>
              <w:rPr>
                <w:rFonts w:hint="eastAsia" w:ascii="宋体" w:hAnsi="宋体" w:eastAsia="宋体" w:cs="宋体"/>
                <w:kern w:val="0"/>
                <w:sz w:val="21"/>
                <w:szCs w:val="21"/>
              </w:rPr>
              <w:t>运营单位应演练应急预案，</w:t>
            </w:r>
            <w:r>
              <w:rPr>
                <w:rFonts w:hint="eastAsia" w:ascii="宋体" w:hAnsi="宋体" w:eastAsia="宋体" w:cs="宋体"/>
                <w:sz w:val="21"/>
                <w:szCs w:val="21"/>
              </w:rPr>
              <w:t>对</w:t>
            </w:r>
            <w:r>
              <w:rPr>
                <w:rFonts w:hint="eastAsia" w:ascii="宋体" w:hAnsi="宋体" w:eastAsia="宋体" w:cs="宋体"/>
                <w:kern w:val="0"/>
                <w:sz w:val="21"/>
                <w:szCs w:val="21"/>
              </w:rPr>
              <w:t>实际发生的紧急情况和事故及时作出响应，并保存相关活动记录。</w:t>
            </w: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建立了完善的突发环境事件应急预案，对预警因素和应急措施考虑充分。</w:t>
            </w:r>
            <w:r>
              <w:rPr>
                <w:rFonts w:hint="eastAsia" w:ascii="宋体" w:hAnsi="宋体" w:eastAsia="宋体" w:cs="宋体"/>
                <w:kern w:val="0"/>
                <w:sz w:val="21"/>
                <w:szCs w:val="21"/>
              </w:rPr>
              <w:t>运营单位应演练应急预案，</w:t>
            </w:r>
            <w:r>
              <w:rPr>
                <w:rFonts w:hint="eastAsia" w:ascii="宋体" w:hAnsi="宋体" w:eastAsia="宋体" w:cs="宋体"/>
                <w:sz w:val="21"/>
                <w:szCs w:val="21"/>
              </w:rPr>
              <w:t>对</w:t>
            </w:r>
            <w:r>
              <w:rPr>
                <w:rFonts w:hint="eastAsia" w:ascii="宋体" w:hAnsi="宋体" w:eastAsia="宋体" w:cs="宋体"/>
                <w:kern w:val="0"/>
                <w:sz w:val="21"/>
                <w:szCs w:val="21"/>
              </w:rPr>
              <w:t>实际发生的紧急情况和事故及时作出响应，并保存相关活动记录。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709"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检测能力</w:t>
            </w: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实验室和检测条件</w:t>
            </w:r>
          </w:p>
        </w:tc>
        <w:tc>
          <w:tcPr>
            <w:tcW w:w="4679" w:type="dxa"/>
            <w:gridSpan w:val="2"/>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拥有自有实验室，仪器配置齐全，相关检定手续完备，能够满足运行服务需要，除特殊项目外，不需要委托第三方检测机构检测。</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拥有自有实验室，仪器配置可满足运行服务范围内常规、主要污染物的检测需求，部分污染物检测委托具有CMA资质的第三方检测机构。</w:t>
            </w: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拥有自有实验室，仪器配置可满足运行服务范围内常规、主要污染物的检测需求，部分污染物检测委托具有CMA资质的第三方检测机构。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检测人员配备</w:t>
            </w:r>
          </w:p>
        </w:tc>
        <w:tc>
          <w:tcPr>
            <w:tcW w:w="4679" w:type="dxa"/>
            <w:gridSpan w:val="2"/>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配备3名以上专职并取得相应证书的实验室检测人员，具有相关教育背景，掌握检测方法、标准和操作。</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color w:val="000000"/>
                <w:kern w:val="0"/>
                <w:sz w:val="21"/>
                <w:szCs w:val="21"/>
              </w:rPr>
              <w:t>检测人员能够满足运行检测工作需要，熟悉检测方法、标准和操作。</w:t>
            </w:r>
            <w:r>
              <w:rPr>
                <w:rFonts w:hint="eastAsia" w:ascii="宋体" w:hAnsi="宋体" w:eastAsia="宋体" w:cs="宋体"/>
                <w:kern w:val="0"/>
                <w:sz w:val="21"/>
                <w:szCs w:val="21"/>
              </w:rPr>
              <w:t>至少配备2名取得相应证书的实验室检测人员。</w:t>
            </w: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color w:val="000000"/>
                <w:kern w:val="0"/>
                <w:sz w:val="21"/>
                <w:szCs w:val="21"/>
              </w:rPr>
              <w:t>检测人员能够满足运行检测工作需要，熟悉检测方法、标准和操作。</w:t>
            </w:r>
            <w:r>
              <w:rPr>
                <w:rFonts w:hint="eastAsia" w:ascii="宋体" w:hAnsi="宋体" w:eastAsia="宋体" w:cs="宋体"/>
                <w:kern w:val="0"/>
                <w:sz w:val="21"/>
                <w:szCs w:val="21"/>
              </w:rPr>
              <w:t>至少配备1名取得相应证书的实验室检测人员。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709"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运行专业人员</w:t>
            </w: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技术人员</w:t>
            </w:r>
          </w:p>
        </w:tc>
        <w:tc>
          <w:tcPr>
            <w:tcW w:w="4679" w:type="dxa"/>
            <w:gridSpan w:val="2"/>
            <w:tcMar>
              <w:left w:w="57" w:type="dxa"/>
              <w:right w:w="57" w:type="dxa"/>
            </w:tcMar>
            <w:vAlign w:val="center"/>
          </w:tcPr>
          <w:p>
            <w:pPr>
              <w:tabs>
                <w:tab w:val="left" w:pos="312"/>
              </w:tabs>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具备不少于3名与运行专业类别相适应的、具有高级技术职称的技术人员。</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具备不少于2名与运行专业类别相适应的、具有高级技术职称的技术人员。</w:t>
            </w: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具备不少于1名与运行专业类别相适应的、具有高级技术职称的技术人员。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715"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运行人员</w:t>
            </w:r>
          </w:p>
        </w:tc>
        <w:tc>
          <w:tcPr>
            <w:tcW w:w="4679" w:type="dxa"/>
            <w:gridSpan w:val="2"/>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具备不少于</w:t>
            </w:r>
            <w:r>
              <w:rPr>
                <w:rFonts w:hint="eastAsia" w:ascii="宋体" w:hAnsi="宋体" w:eastAsia="宋体" w:cs="宋体"/>
                <w:color w:val="000000"/>
                <w:kern w:val="0"/>
                <w:sz w:val="21"/>
                <w:szCs w:val="21"/>
              </w:rPr>
              <w:t>20名与</w:t>
            </w:r>
            <w:r>
              <w:rPr>
                <w:rFonts w:hint="eastAsia" w:ascii="宋体" w:hAnsi="宋体" w:eastAsia="宋体" w:cs="宋体"/>
                <w:kern w:val="0"/>
                <w:sz w:val="21"/>
                <w:szCs w:val="21"/>
              </w:rPr>
              <w:t>运行专业类别相适应的、取得相应培训证书的现场运行人员。</w:t>
            </w:r>
          </w:p>
        </w:tc>
        <w:tc>
          <w:tcPr>
            <w:tcW w:w="4028" w:type="dxa"/>
            <w:tcMar>
              <w:left w:w="57" w:type="dxa"/>
              <w:right w:w="57" w:type="dxa"/>
            </w:tcMar>
            <w:vAlign w:val="center"/>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具备不少</w:t>
            </w:r>
            <w:r>
              <w:rPr>
                <w:rFonts w:hint="eastAsia" w:ascii="宋体" w:hAnsi="宋体" w:eastAsia="宋体" w:cs="宋体"/>
                <w:color w:val="000000"/>
                <w:kern w:val="0"/>
                <w:sz w:val="21"/>
                <w:szCs w:val="21"/>
              </w:rPr>
              <w:t>于10名</w:t>
            </w:r>
            <w:r>
              <w:rPr>
                <w:rFonts w:hint="eastAsia" w:ascii="宋体" w:hAnsi="宋体" w:eastAsia="宋体" w:cs="宋体"/>
                <w:kern w:val="0"/>
                <w:sz w:val="21"/>
                <w:szCs w:val="21"/>
              </w:rPr>
              <w:t>与运行专业类别相适应的、取得相应培训证书的现场运行人员。</w:t>
            </w:r>
          </w:p>
        </w:tc>
        <w:tc>
          <w:tcPr>
            <w:tcW w:w="4016" w:type="dxa"/>
            <w:tcMar>
              <w:left w:w="57" w:type="dxa"/>
              <w:right w:w="57" w:type="dxa"/>
            </w:tcMar>
            <w:vAlign w:val="center"/>
          </w:tcPr>
          <w:p>
            <w:pPr>
              <w:adjustRightInd w:val="0"/>
              <w:snapToGrid w:val="0"/>
              <w:spacing w:line="240" w:lineRule="exact"/>
              <w:rPr>
                <w:rFonts w:hint="eastAsia" w:ascii="宋体" w:hAnsi="宋体" w:eastAsia="宋体" w:cs="宋体"/>
                <w:spacing w:val="-2"/>
                <w:sz w:val="21"/>
                <w:szCs w:val="21"/>
              </w:rPr>
            </w:pPr>
            <w:r>
              <w:rPr>
                <w:rFonts w:hint="eastAsia" w:ascii="宋体" w:hAnsi="宋体" w:eastAsia="宋体" w:cs="宋体"/>
                <w:spacing w:val="-2"/>
                <w:kern w:val="0"/>
                <w:sz w:val="21"/>
                <w:szCs w:val="21"/>
              </w:rPr>
              <w:t>具备不少于5名与运行专业类别相适应的、</w:t>
            </w:r>
            <w:r>
              <w:rPr>
                <w:rFonts w:hint="eastAsia" w:ascii="宋体" w:hAnsi="宋体" w:eastAsia="宋体" w:cs="宋体"/>
                <w:kern w:val="0"/>
                <w:sz w:val="21"/>
                <w:szCs w:val="21"/>
              </w:rPr>
              <w:t>取得相应培训证书的现场运行人员。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09" w:type="dxa"/>
            <w:gridSpan w:val="2"/>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运行实践</w:t>
            </w:r>
          </w:p>
          <w:p>
            <w:pPr>
              <w:adjustRightInd w:val="0"/>
              <w:snapToGrid w:val="0"/>
              <w:spacing w:line="240" w:lineRule="exact"/>
              <w:jc w:val="center"/>
              <w:rPr>
                <w:rFonts w:hint="eastAsia" w:ascii="宋体" w:hAnsi="宋体" w:eastAsia="宋体" w:cs="宋体"/>
                <w:sz w:val="21"/>
                <w:szCs w:val="21"/>
              </w:rPr>
            </w:pPr>
          </w:p>
        </w:tc>
        <w:tc>
          <w:tcPr>
            <w:tcW w:w="553" w:type="dxa"/>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774" w:type="dxa"/>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业绩</w:t>
            </w:r>
          </w:p>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要求</w:t>
            </w:r>
          </w:p>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生活污水处理*</w:t>
            </w:r>
          </w:p>
        </w:tc>
        <w:tc>
          <w:tcPr>
            <w:tcW w:w="4679" w:type="dxa"/>
            <w:gridSpan w:val="2"/>
            <w:tcMar>
              <w:left w:w="57" w:type="dxa"/>
              <w:right w:w="57" w:type="dxa"/>
            </w:tcMar>
            <w:vAlign w:val="center"/>
          </w:tcPr>
          <w:p>
            <w:pPr>
              <w:widowControl/>
              <w:numPr>
                <w:ilvl w:val="255"/>
                <w:numId w:val="0"/>
              </w:num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a.运行的城镇污水处理设施的处理能力之和≥20万吨/天，且其中至少有1个设施的处理能力≥5万吨/天。</w:t>
            </w:r>
          </w:p>
          <w:p>
            <w:pPr>
              <w:widowControl/>
              <w:numPr>
                <w:ilvl w:val="255"/>
                <w:numId w:val="0"/>
              </w:num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b.在运营的分散式生活污水处理设施不低于 50 个项目。</w:t>
            </w:r>
          </w:p>
        </w:tc>
        <w:tc>
          <w:tcPr>
            <w:tcW w:w="4028" w:type="dxa"/>
            <w:tcMar>
              <w:left w:w="57" w:type="dxa"/>
              <w:right w:w="57" w:type="dxa"/>
            </w:tcMar>
            <w:vAlign w:val="center"/>
          </w:tcPr>
          <w:p>
            <w:pPr>
              <w:widowControl/>
              <w:numPr>
                <w:ilvl w:val="255"/>
                <w:numId w:val="0"/>
              </w:numPr>
              <w:adjustRightInd w:val="0"/>
              <w:snapToGrid w:val="0"/>
              <w:spacing w:line="240" w:lineRule="exac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a.运行的城镇污水处理设施的处理能力之和≥1万吨/天，且其中至少有1个设施的处理能力≥2000吨/天。</w:t>
            </w:r>
          </w:p>
          <w:p>
            <w:pPr>
              <w:widowControl/>
              <w:numPr>
                <w:ilvl w:val="255"/>
                <w:numId w:val="0"/>
              </w:numPr>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b</w:t>
            </w:r>
            <w:r>
              <w:rPr>
                <w:rFonts w:hint="eastAsia" w:ascii="宋体" w:hAnsi="宋体" w:eastAsia="宋体" w:cs="宋体"/>
                <w:kern w:val="0"/>
                <w:sz w:val="21"/>
                <w:szCs w:val="21"/>
              </w:rPr>
              <w:t>.在运营的分散式生活污水处理设施不低于 20 个项目。</w:t>
            </w:r>
          </w:p>
        </w:tc>
        <w:tc>
          <w:tcPr>
            <w:tcW w:w="4016" w:type="dxa"/>
            <w:tcMar>
              <w:left w:w="57" w:type="dxa"/>
              <w:right w:w="57" w:type="dxa"/>
            </w:tcMar>
            <w:vAlign w:val="center"/>
          </w:tcPr>
          <w:p>
            <w:pPr>
              <w:adjustRightInd w:val="0"/>
              <w:snapToGrid w:val="0"/>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a.</w:t>
            </w:r>
            <w:r>
              <w:rPr>
                <w:rFonts w:hint="eastAsia" w:ascii="宋体" w:hAnsi="宋体" w:eastAsia="宋体" w:cs="宋体"/>
                <w:kern w:val="0"/>
                <w:sz w:val="21"/>
                <w:szCs w:val="21"/>
              </w:rPr>
              <w:t>有在运营的城镇集中式生活污水处理设施</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b.</w:t>
            </w:r>
            <w:r>
              <w:rPr>
                <w:rFonts w:hint="eastAsia" w:ascii="宋体" w:hAnsi="宋体" w:eastAsia="宋体" w:cs="宋体"/>
                <w:kern w:val="0"/>
                <w:sz w:val="21"/>
                <w:szCs w:val="21"/>
              </w:rPr>
              <w:t>在运营的分散式生活污水处理设施不低于 5个项目。</w:t>
            </w:r>
          </w:p>
          <w:p>
            <w:pPr>
              <w:adjustRightInd w:val="0"/>
              <w:snapToGrid w:val="0"/>
              <w:spacing w:line="240" w:lineRule="exact"/>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工业废水处理</w:t>
            </w:r>
            <w:r>
              <w:rPr>
                <w:rFonts w:hint="eastAsia" w:ascii="宋体" w:hAnsi="宋体" w:eastAsia="宋体" w:cs="宋体"/>
                <w:sz w:val="21"/>
                <w:szCs w:val="21"/>
              </w:rPr>
              <w:t>*</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a.运行的工业园区废水处理设施或工业企业内废水处理设施的处理能力之和≥3万吨/天，且其中至少有1个设施的处理能力≥3000吨/天；</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b.运行的垃圾渗滤液处理设施的处理能力之和≥2000吨/天，且其中至少有1个设施的处理能力≥500吨/天。</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a.运行的工业园区废水处理设施或工业企业内废水处理设施的处理能力之和≥2000吨/天，且其中至少有1个设施的处理能力≥300吨/天； </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b.运行的垃圾渗滤液处理设施的处理能力之和≥200吨/天，且其中至少有1个设施的处理能力≥80吨/天。 </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有在运营的相应工业废水处理设施。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医疗废水处理</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rPr>
              <w:t>运行的医院污水处理设施处理能力之和≥10000吨/天，且其中至少有一个设施的处理能力≥800吨/天</w:t>
            </w:r>
            <w:r>
              <w:rPr>
                <w:rFonts w:hint="eastAsia" w:ascii="宋体" w:hAnsi="宋体" w:eastAsia="宋体" w:cs="宋体"/>
                <w:kern w:val="0"/>
                <w:sz w:val="21"/>
                <w:szCs w:val="21"/>
                <w:lang w:eastAsia="zh-CN"/>
              </w:rPr>
              <w:t>。</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运行的医院污水处理设施处理能力之和≥3000吨/天，且其中至少有一个设施的处理能力≥500吨/天</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有在运营的</w:t>
            </w:r>
            <w:r>
              <w:rPr>
                <w:rFonts w:hint="eastAsia" w:ascii="宋体" w:hAnsi="宋体" w:eastAsia="宋体" w:cs="宋体"/>
                <w:kern w:val="0"/>
                <w:sz w:val="21"/>
                <w:szCs w:val="21"/>
                <w:lang w:val="en-US" w:eastAsia="zh-CN"/>
              </w:rPr>
              <w:t>医院</w:t>
            </w:r>
            <w:r>
              <w:rPr>
                <w:rFonts w:hint="eastAsia" w:ascii="宋体" w:hAnsi="宋体" w:eastAsia="宋体" w:cs="宋体"/>
                <w:kern w:val="0"/>
                <w:sz w:val="21"/>
                <w:szCs w:val="21"/>
              </w:rPr>
              <w:t>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除尘脱硫脱硝</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应具有不少于5个设施的运行服务经验，且满足下列条件中的一项：</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a．至少运行1个30万千瓦（含）以上火电机组的烟气治理设施；</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b．至少运行1个120吨/小时（含）以上工业锅炉的烟气治理设施或者运行10个以上工业锅炉烟气治理设施；</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c.至少运行1个200平方米（含）以上钢铁烧结机或5000吨/天熟料（含）以上水泥窑烟气治理设施。</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应具有不少于2个设施的运行服务经验，且满足下列条件中的一项：</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a．至少运行1个10万千瓦（含）以上火电机组的烟气治理设施；</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b．至少运行1个35吨/小时（含）以上工业锅炉的烟气治理设施或者运行5个以上工业锅炉烟气治理设施；</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c.至少运行1个90平方米（含）以上钢铁烧结机或2000吨/天熟料（含）以上水泥窑烟气治理设施。</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有在运营的除尘脱硫脱硝处理设施。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工业废气处理</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运行的工业废气处理设施的处理能力之和≥20万标立方米/小时，且其中至少有1个设施的处理能力≥2万标立方米/小时；</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运行的工业废气处理设施的处理能力之和≥1万标立方米/小时，且其中至少有1个设施的处理能力≥1000标立方米/小时；</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有在运营的工业废气处理处理设施。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工业固体废物无害化处理处置</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在运营的工业固体废物或生活垃圾处理处置设施的处理能力之和不低于 2000t/d，且其中至少 有 1 个设施的处理能力不低于500t/d； </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 xml:space="preserve">在运营的生活垃圾处理处置设施的处理能 力 之和不低于300t/d，且其中至少有1个项目的处理能力不低于 100t/d； </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有在运营的相应固体废物处理处置设施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有机废物处理处置</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运行的有机废物处理处置设施的处理能力之和≥1000吨/天，且其中至少有1个设施的处理能力≥100吨/天。</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运行的有机废物处理处置设施的处理能力之和≥100吨/天，且其中至少有1个设施的处理能力≥10吨/天。</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rPr>
              <w:t>有在运营的相应有机废物处理处置设施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生活垃圾处理处置</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运行的生活垃圾处理处置设施的处理能力之和≥2000吨/天，且其中至少有1个设施的处理能力≥500吨/天。</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运行的生活垃圾处理处置设施的处理能力之和≥300吨/天，且其中至少有1个设施的处理能力≥100吨/天。</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rPr>
              <w:t>有在运营的相应生活垃圾处理处置设施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环境生态修复</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运行2个以上（含2个）生态治理工程合同额大于等于500万元的项目设施。</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kern w:val="0"/>
                <w:sz w:val="21"/>
                <w:szCs w:val="21"/>
              </w:rPr>
              <w:t>运行1个以上（含1个）生态治理工程合同额大于等于100万元的项目设施。</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rPr>
              <w:t>有在运营的相应环境生态修复处理处置设施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自动监控系统（水）</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应完全满足下列条件：</w:t>
            </w:r>
          </w:p>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 xml:space="preserve">a.近三年完成的水污染源在线监测系统运营服务项目总额不少于1000万元。 </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sz w:val="21"/>
                <w:szCs w:val="21"/>
              </w:rPr>
              <w:t>正在运营的自动监控系统站点不少于100个。</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应完全满足下列条件：</w:t>
            </w:r>
          </w:p>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 xml:space="preserve">a.近三年完成的水污染源在线监测系统运营服务项目总额不少于500万元。 </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sz w:val="21"/>
                <w:szCs w:val="21"/>
              </w:rPr>
              <w:t>b.正在运营的自动监控系统站点不少于30个</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正在运营的自动监控系统站点不少于5个，且运营服务时间不少于一年。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774"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941" w:type="dxa"/>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自动监控系统（气）</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应满足下列条件：</w:t>
            </w:r>
          </w:p>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 xml:space="preserve">a.近三年完成的固定污染源烟气排放连续监测系统运营服务项目总额不少于1000万元。 </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sz w:val="21"/>
                <w:szCs w:val="21"/>
              </w:rPr>
              <w:t>b.正在运营的自动监控系统站点不少于100个</w:t>
            </w:r>
            <w:r>
              <w:rPr>
                <w:rFonts w:hint="eastAsia" w:ascii="宋体" w:hAnsi="宋体" w:eastAsia="宋体" w:cs="宋体"/>
                <w:kern w:val="0"/>
                <w:sz w:val="21"/>
                <w:szCs w:val="21"/>
              </w:rPr>
              <w:t>。</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应满足下列条件：</w:t>
            </w:r>
          </w:p>
          <w:p>
            <w:pPr>
              <w:widowControl/>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a.近三年完成的固定污染源烟气排放连续监测系统运营服务项目总额不少于500万元。</w:t>
            </w:r>
          </w:p>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b.</w:t>
            </w:r>
            <w:r>
              <w:rPr>
                <w:rFonts w:hint="eastAsia" w:ascii="宋体" w:hAnsi="宋体" w:eastAsia="宋体" w:cs="宋体"/>
                <w:sz w:val="21"/>
                <w:szCs w:val="21"/>
              </w:rPr>
              <w:t>正在运营的自动监控系统站点不少于30个。</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正在运营的自动监控系统站点不少于5个，且运营服务时间不少于一年。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gridSpan w:val="2"/>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53" w:type="dxa"/>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715" w:type="dxa"/>
            <w:gridSpan w:val="2"/>
            <w:tcMar>
              <w:left w:w="57" w:type="dxa"/>
              <w:right w:w="57" w:type="dxa"/>
            </w:tcMar>
            <w:vAlign w:val="center"/>
          </w:tcPr>
          <w:p>
            <w:pPr>
              <w:widowControl/>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sz w:val="21"/>
                <w:szCs w:val="21"/>
              </w:rPr>
              <w:t>运行质量</w:t>
            </w:r>
          </w:p>
        </w:tc>
        <w:tc>
          <w:tcPr>
            <w:tcW w:w="4679" w:type="dxa"/>
            <w:gridSpan w:val="2"/>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运行设施的污染物排放指标能够连续稳定达到合同约定，二次污染控制有效，客户满意。</w:t>
            </w:r>
          </w:p>
        </w:tc>
        <w:tc>
          <w:tcPr>
            <w:tcW w:w="4028" w:type="dxa"/>
            <w:tcMar>
              <w:left w:w="57" w:type="dxa"/>
              <w:right w:w="57" w:type="dxa"/>
            </w:tcMar>
            <w:vAlign w:val="center"/>
          </w:tcPr>
          <w:p>
            <w:pPr>
              <w:widowControl/>
              <w:adjustRightInd w:val="0"/>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运行设施的污染物排放指标能够连续稳定达到合同约定，二次污染控制有效，客户满意。</w:t>
            </w:r>
          </w:p>
        </w:tc>
        <w:tc>
          <w:tcPr>
            <w:tcW w:w="4016" w:type="dxa"/>
            <w:tcMar>
              <w:left w:w="57" w:type="dxa"/>
              <w:right w:w="57" w:type="dxa"/>
            </w:tcMar>
            <w:vAlign w:val="center"/>
          </w:tcPr>
          <w:p>
            <w:pPr>
              <w:adjustRightInd w:val="0"/>
              <w:snapToGrid w:val="0"/>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运行设施的污染物排放指标能够连续稳定达到合同约定，二次污染控制有效，客户满意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700" w:type="dxa"/>
            <w:gridSpan w:val="9"/>
            <w:tcMar>
              <w:left w:w="57" w:type="dxa"/>
              <w:right w:w="57" w:type="dxa"/>
            </w:tcMar>
            <w:vAlign w:val="center"/>
          </w:tcPr>
          <w:p>
            <w:pPr>
              <w:adjustRightInd w:val="0"/>
              <w:snapToGrid w:val="0"/>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*：应满足相应要求中的一项。对特殊行业污染治理设施运行服务的能力由专家现场核定级别。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5" w:type="dxa"/>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类别</w:t>
            </w:r>
          </w:p>
        </w:tc>
        <w:tc>
          <w:tcPr>
            <w:tcW w:w="597"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438"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b/>
                <w:sz w:val="21"/>
                <w:szCs w:val="21"/>
              </w:rPr>
            </w:pPr>
            <w:r>
              <w:rPr>
                <w:rFonts w:hint="eastAsia" w:ascii="宋体" w:hAnsi="宋体" w:eastAsia="宋体" w:cs="宋体"/>
                <w:b/>
                <w:sz w:val="21"/>
                <w:szCs w:val="21"/>
              </w:rPr>
              <w:t>指标名称</w:t>
            </w:r>
          </w:p>
        </w:tc>
        <w:tc>
          <w:tcPr>
            <w:tcW w:w="12000"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b/>
                <w:kern w:val="0"/>
                <w:sz w:val="21"/>
                <w:szCs w:val="21"/>
              </w:rPr>
            </w:pPr>
            <w:r>
              <w:rPr>
                <w:rFonts w:hint="eastAsia" w:ascii="宋体" w:hAnsi="宋体" w:eastAsia="宋体" w:cs="宋体"/>
                <w:b/>
                <w:sz w:val="21"/>
                <w:szCs w:val="21"/>
              </w:rPr>
              <w:t>运行服务能力要求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5" w:type="dxa"/>
            <w:vMerge w:val="restart"/>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color w:val="000000"/>
                <w:sz w:val="21"/>
                <w:szCs w:val="21"/>
              </w:rPr>
              <w:t>餐饮业油烟净化</w:t>
            </w:r>
          </w:p>
        </w:tc>
        <w:tc>
          <w:tcPr>
            <w:tcW w:w="597"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2438"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人员要求</w:t>
            </w:r>
          </w:p>
        </w:tc>
        <w:tc>
          <w:tcPr>
            <w:tcW w:w="12000"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现场运营人员应具有清洗、维护、检验油烟净化设施的能力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5"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97"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2438"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设备要求</w:t>
            </w:r>
          </w:p>
        </w:tc>
        <w:tc>
          <w:tcPr>
            <w:tcW w:w="12000"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具有餐饮业油烟净化设施的清洗、维护、检验等设备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5" w:type="dxa"/>
            <w:vMerge w:val="continue"/>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p>
        </w:tc>
        <w:tc>
          <w:tcPr>
            <w:tcW w:w="597" w:type="dxa"/>
            <w:gridSpan w:val="2"/>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2438"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业绩要求</w:t>
            </w:r>
          </w:p>
        </w:tc>
        <w:tc>
          <w:tcPr>
            <w:tcW w:w="12000" w:type="dxa"/>
            <w:gridSpan w:val="3"/>
            <w:tcMar>
              <w:left w:w="57" w:type="dxa"/>
              <w:right w:w="57" w:type="dxa"/>
            </w:tcMar>
            <w:vAlign w:val="center"/>
          </w:tcPr>
          <w:p>
            <w:pPr>
              <w:adjustRightInd w:val="0"/>
              <w:snapToGrid w:val="0"/>
              <w:spacing w:line="240" w:lineRule="exact"/>
              <w:jc w:val="center"/>
              <w:rPr>
                <w:rFonts w:hint="eastAsia" w:ascii="宋体" w:hAnsi="宋体" w:eastAsia="宋体" w:cs="宋体"/>
                <w:sz w:val="21"/>
                <w:szCs w:val="21"/>
              </w:rPr>
            </w:pPr>
            <w:r>
              <w:rPr>
                <w:rFonts w:hint="eastAsia" w:ascii="宋体" w:hAnsi="宋体" w:eastAsia="宋体" w:cs="宋体"/>
                <w:sz w:val="21"/>
                <w:szCs w:val="21"/>
              </w:rPr>
              <w:t>具有运营不低于50套餐饮业油烟净化设施的实践</w:t>
            </w:r>
          </w:p>
        </w:tc>
      </w:tr>
    </w:tbl>
    <w:p>
      <w:pPr>
        <w:rPr>
          <w:sz w:val="18"/>
          <w:szCs w:val="18"/>
        </w:rPr>
        <w:sectPr>
          <w:pgSz w:w="16838" w:h="11906" w:orient="landscape"/>
          <w:pgMar w:top="1134" w:right="1134" w:bottom="1021" w:left="1134"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ZWYxNTAyYzMyM2NhZTI4NjcxZGFhODM0NzM4MjEifQ=="/>
  </w:docVars>
  <w:rsids>
    <w:rsidRoot w:val="34DA4B47"/>
    <w:rsid w:val="34DA4B47"/>
    <w:rsid w:val="52FF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3087</Words>
  <Characters>3229</Characters>
  <Lines>0</Lines>
  <Paragraphs>0</Paragraphs>
  <TotalTime>0</TotalTime>
  <ScaleCrop>false</ScaleCrop>
  <LinksUpToDate>false</LinksUpToDate>
  <CharactersWithSpaces>3279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2023-07-05T08:52:00Z</dcterms:created>
  <dc:creator>❤ </dc:creator>
  <cp:lastModifiedBy>❤ </cp:lastModifiedBy>
  <dcterms:modified xsi:type="dcterms:W3CDTF">2023-07-07T02:56:05Z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B7277DAFA9754471B1780832797ABCC3_11</vt:lpwstr>
  </property>
</Properties>
</file>