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ascii="Times New Roman" w:hAnsi="Times New Roman" w:cs="Times New Roman"/>
          <w:color w:val="auto"/>
          <w:sz w:val="28"/>
          <w:szCs w:val="28"/>
        </w:rPr>
      </w:pPr>
      <w:bookmarkStart w:id="0" w:name="_Toc30261_WPSOffice_Type2"/>
      <w:bookmarkStart w:id="1" w:name="_Toc7998938"/>
      <w:bookmarkStart w:id="2" w:name="_Toc187800009"/>
      <w:bookmarkStart w:id="3" w:name="_Toc149680784"/>
      <w:bookmarkStart w:id="4" w:name="_Toc179653249"/>
      <w:bookmarkStart w:id="5" w:name="_Toc172698638"/>
      <w:bookmarkStart w:id="6" w:name="_Toc179522790"/>
      <w:bookmarkStart w:id="7" w:name="_Toc149680547"/>
      <w:bookmarkStart w:id="8" w:name="_Toc164774360"/>
      <w:bookmarkStart w:id="9" w:name="_Toc170869040"/>
      <w:bookmarkStart w:id="10" w:name="_Toc180891748"/>
      <w:bookmarkStart w:id="11" w:name="_Toc170970636"/>
      <w:bookmarkStart w:id="12" w:name="_Toc168317181"/>
      <w:bookmarkStart w:id="13" w:name="_Toc153689536"/>
      <w:bookmarkStart w:id="14" w:name="_Toc245882726"/>
      <w:bookmarkStart w:id="1551" w:name="_GoBack"/>
      <w:bookmarkEnd w:id="1551"/>
      <w:r>
        <w:rPr>
          <w:rFonts w:hint="default" w:ascii="Times New Roman" w:hAnsi="Times New Roman" w:cs="Times New Roman"/>
          <w:color w:val="auto"/>
          <w:sz w:val="28"/>
          <w:szCs w:val="28"/>
        </w:rPr>
        <w:t>目  录</w:t>
      </w:r>
    </w:p>
    <w:bookmarkEnd w:id="0"/>
    <w:p>
      <w:pPr>
        <w:pStyle w:val="54"/>
        <w:tabs>
          <w:tab w:val="right" w:leader="dot" w:pos="8296"/>
        </w:tabs>
        <w:rPr>
          <w:rFonts w:hint="default" w:ascii="Times New Roman" w:hAnsi="Times New Roman" w:cs="Times New Roman"/>
          <w:color w:val="auto"/>
          <w:szCs w:val="22"/>
          <w:lang/>
        </w:rPr>
      </w:pPr>
      <w:bookmarkStart w:id="15" w:name="_Toc8836343"/>
      <w:bookmarkStart w:id="16" w:name="_Toc28861_WPSOffice_Level1"/>
      <w:bookmarkStart w:id="17" w:name="_Toc25411_WPSOffice_Level2"/>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"_Toc17709329"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kern w:val="0"/>
          <w:lang/>
        </w:rPr>
        <w:t>1  概述</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_Toc17709329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1.1建设特点</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1.2环境影响评价的工作过程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1.3分析判定相关情况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1.4关注的主要环境问题</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1.5环评主要结论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2  总则</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2.1评价目的与原则</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2.1.1评价目的</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2.2.2评价原则</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"_Toc17709339"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2.2评价依据</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_Toc17709339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2.2.1法律法规及条例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2.2.2地方有关环保法律法规</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2.2.3相关规划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2.2.4环评技术规范</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2.2.5相关文件资料</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2.3环境功能区划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2.4评价标准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2.4.1环境质量标准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2.4.2污染物排放标准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"_Toc17709349"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2.5评价等级与评价范围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_Toc17709349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2.5.1大气环境影响评价等级及范围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2.5.2地表水环境影响评价工作等级及范围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 3地下水环境影响评价工作等级及范围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2.5.4声环境影响评价工作等级及范围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2.5.5生态影响评价工作等级及范围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2.5.6土壤影响评价工作等级及范围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2.5.7环境风险评价等级及范围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2.5.8项目环境影响评价等级及范围汇总</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2.6环境影响识别及评价因子筛选</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"_Toc17709359"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2.6.1环境影响因素识别</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_Toc17709359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2.6.2评价因子筛选</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2.7评价重点</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2.8评价时段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2.9控制污染物与环境保护目标</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2.9.1污染与生态影响控制目标</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29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2.9.2环境保护目标</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3工程概况及工程分析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3.1项目基本情况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3.1.1项目名称、建设地点、建设性质、总投资及建设规模等基本情况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"_Toc17709369"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3.1.2建设地址</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_Toc17709369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3.1.3资源储量及矿界范围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3.1.4原矿规格及产品规格</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3.1.5工程组成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3.1.6矿山工作制度、职工定员</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3.1.7矿区公辅生产设施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37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3.1.8项目总投资及主要经济技术指标</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3.1.9原辅材料及设备清单</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3.1.10总图布置及工程占地</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3.2采矿工程概况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"_Toc17709379"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3.2.1开采方式、开采范围和开采顺序</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_Toc17709379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3.2.2开拓方案</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3.2.3开采方法</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3.2.4开采流程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3.3采矿工艺流程及产污节点</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3.3.1采矿工艺流程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3.3.2污染物产生、排放情况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49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3.4污染物及污染源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3.4.1施工期污染源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3.4.2运营期污染影响源分析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"_Toc17709389"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3.4.2.1废气污染源及污染物排放情况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_Toc17709389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3.4.2.2水污染源及污染物排放情况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3.4.2.3噪声排放情况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3.4.2.4固体废物排放情况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3.4.2.5生态影响分析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3.4.3污染物排放汇总</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3.5水平衡及物料平衡</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3.5.1水平衡</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3.5.2物料平衡</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3.6选址合理性分析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"_Toc17709399"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3.6.1工业广场选址合理性分析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_Toc17709399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3.6.2废石场选址合理性分析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3.7产业政策、规划符合性分析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3.7.1产业政策符合性分析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3.7.2区域发展规划及环境保护规划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3.8清洁生产</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3.8.1清洁生产指标分析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3.8.2清洁生产指标分析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69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3.8.3清洁生产建议及措施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3.8.4清洁生产结论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"_Toc17709409"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3.9总量控制</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_Toc17709409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4  环境概况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4.1自然环境概况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4.1.1地理位置</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4.1.2地形地貌</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4.1.3气候特征</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4.1.4区域水文地质条件</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4.2大气环境现状调查及评价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4.2.1项目所在区域达标判断</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4.3水环境现状调查与评价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"_Toc17709419"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4.3.1地表水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_Toc17709419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4.3.2地下水</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4.4声环境现状调查与评价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4.4.1监测布点</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79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4.4.2监测方法</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4.4.3评价标准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4.4.4评价结果</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4.5生态环境现状调查</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4.5.1生态功能区划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4.5.2土地利用状况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"_Toc17709429"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3.5.3土壤</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_Toc17709429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3.5.4野生动物</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3.5.5野生植物</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5  环境影响预测与评价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5.1施工期环境影响分析与预测评价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5.1.1施工期存在的主要环境问题</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5.1.2施工期生态环境影响分析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5.1.3施工期大气环境影响分析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5.1.4施工期水环境影响分析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89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5.1.5施工期噪声影响分析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"_Toc17709439"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5.1.6施工期固体废物影响分析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_Toc17709439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5.1.7道路建设的影响分析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5.2运营期环境影响分析与预测评价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5.2.1大气环境影响预测与评价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93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5.2.2水环境影响分析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133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5.2.2.1水文地质情况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133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5.2.2.2地下水环境影响评价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138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5.2.2.3生活污水、矿井涌水对区域地下水的影响</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139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5.2.2.4矿井开采对区域地下水环境的影响</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5.2.2.5地表水环境环境影响评价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"_Toc17709449"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5.2.2.6矿山运营期暴雨洪流对矿区水环境的影响</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_Toc17709449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5.2.3运营期声环境影响分析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5.2.3.1噪声源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5.2.3.2交通运输噪声影响分析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5.2.3.3工业场地噪声影响预测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5.2.3.4声环境影响评价结论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5.2.3.5机械振动环境影响分析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5.2.3.6爆破振动对环境影响分析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5.2.3.6.4爆破振动评价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5.2.4运营期固体对环境影响分析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"_Toc17709459"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5.2.4.1固体废弃物的种类及数量估算</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_Toc17709459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5.2.4.2固体废弃物对环境的影响分析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148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5.3生态环境影响分析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5.3.1对土壤影响分析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5.3.2对动植物的影响分析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5.3.3自然景观影响分析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5.3.4对地质结构影响分析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5.3.5生态环境影响综合分析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5.5爆破对环境的影响分析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5.6道路运输对环境影响分析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"_Toc17709469"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5.7社会环境影响分析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_Toc17709469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5.7.1项目建设可能产生的社会环境影响</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5.7.2降低社会环境影响的对策措施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5.7.3服务期满后环境影响分析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6 环境保护措施及其可行性论证</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6.1生态保护与减缓措施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6.1.1生态环境影响减缓措施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6.1.2生态恢复措施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159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6.1.4土地复垦</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6.1.4.2土地复垦可行性评价</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"_Toc17709479"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6.1.4.3土地复垦方向</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_Toc17709479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6.1.4.5生态恢复措施的适宜性分析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163</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6.1.4.6实施与监督的保证措施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6.2环境污染防治及减缓措施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6.2.1施工期污染防治措施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6.2.1.1大气污染防治措施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6.2.1.2水污染防治措施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6.2.1.3噪声污染防治措施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6.2.1.4固体废物防治措施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6.2.2运营期污染防治措施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"_Toc17709489"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6.2.2.1大气污染防治措施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_Toc17709489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6.2.2.2水环境污染防治措施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6.2.2.3声环境污染防治措施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169</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6.2.2.4固体废物污染防治措施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6.2.2.5地质灾害事故的预防与治理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172</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6.2.3闭矿期污染防治措施</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7 环境经济损益分析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7.1目的和意义</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7.2经济效益</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7.3环境效益分析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"_Toc17709499"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7.3.1环境效益分析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_Toc17709499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7.3.2环保投资估算</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7.3.4社会效益分析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8  环境管理与环境监测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8.1环境管理工作</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8.1.1环境管理制度</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8.1.1.1环境管理机构设置</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8.1.1.2环境管理工作计划和方案</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178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8.1.1.3人员培训</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8.1.2环境监测计划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"_Toc17709509"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8.1.2.1监测目的</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_Toc17709509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8.1.2.2监测计划</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180</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8.1.2.3竣工验收监测</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8.2排污口规范化管理</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181</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54"/>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b/>
          <w:color w:val="auto"/>
          <w:lang/>
        </w:rPr>
        <w:t>9 评价结论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9.1.1项目概况</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9.1.2环境质量现状评价结论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9.1.2.1环境空气</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184</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9.1.2.2地表水环境</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"_Toc17709519"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9.1.2.3地下水环境</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_Toc17709519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9.1.2.4声环境</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9.1.2.5土壤环境</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9.1.3.1大气环境影响分析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185</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9.1.3.2水环境影响分析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"_Toc17709525"</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9.1.3.3声环境影响分析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_Toc17709525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186</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"_Toc17709526"</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9.1.3.4固废环境影响分析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_Toc17709526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"_Toc17709527"</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9.1.3.5生态环境影响分析</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_Toc17709527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"_Toc17709528"</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9.1.4环境影响经济损益分析结论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_Toc17709528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187</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"_Toc17709529"</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9.1.5环境管理与环境监理计划结论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_Toc17709529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"_Toc17709530"</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9.1.6公众参与</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_Toc17709530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"_Toc17709531"</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9.2总体结论</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_Toc17709531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65"/>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"_Toc17709532"</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9.3要求与建议</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_Toc17709532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"_Toc17709533"</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9.3.1要求</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_Toc17709533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pStyle w:val="40"/>
        <w:tabs>
          <w:tab w:val="right" w:leader="dot" w:pos="8296"/>
        </w:tabs>
        <w:rPr>
          <w:rFonts w:hint="default" w:ascii="Times New Roman" w:hAnsi="Times New Roman" w:cs="Times New Roman"/>
          <w:color w:val="auto"/>
          <w:szCs w:val="22"/>
          <w:lang/>
        </w:rPr>
      </w:pPr>
      <w:r>
        <w:rPr>
          <w:rFonts w:hint="default" w:ascii="Times New Roman" w:hAnsi="Times New Roman" w:cs="Times New Roman"/>
          <w:color w:val="auto"/>
          <w:lang/>
        </w:rPr>
        <w:fldChar w:fldCharType="begin"/>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instrText xml:space="preserve">HYPERLINK \l "_Toc17709534"</w:instrText>
      </w:r>
      <w:r>
        <w:rPr>
          <w:rStyle w:val="90"/>
          <w:rFonts w:hint="default" w:ascii="Times New Roman" w:hAnsi="Times New Roman" w:cs="Times New Roman"/>
          <w:color w:val="auto"/>
          <w:lang/>
        </w:rPr>
        <w:instrText xml:space="preserve"> </w:instrText>
      </w:r>
      <w:r>
        <w:rPr>
          <w:rFonts w:hint="default" w:ascii="Times New Roman" w:hAnsi="Times New Roman" w:cs="Times New Roman"/>
          <w:color w:val="auto"/>
          <w:lang/>
        </w:rPr>
        <w:fldChar w:fldCharType="separate"/>
      </w:r>
      <w:r>
        <w:rPr>
          <w:rStyle w:val="90"/>
          <w:rFonts w:hint="default" w:ascii="Times New Roman" w:hAnsi="Times New Roman" w:cs="Times New Roman"/>
          <w:color w:val="auto"/>
          <w:lang/>
        </w:rPr>
        <w:t>9.3.2建议</w:t>
      </w:r>
      <w:r>
        <w:rPr>
          <w:rFonts w:hint="default" w:ascii="Times New Roman" w:hAnsi="Times New Roman" w:cs="Times New Roman"/>
          <w:color w:val="auto"/>
          <w:lang/>
        </w:rPr>
        <w:tab/>
      </w:r>
      <w:r>
        <w:rPr>
          <w:rFonts w:hint="default" w:ascii="Times New Roman" w:hAnsi="Times New Roman" w:cs="Times New Roman"/>
          <w:color w:val="auto"/>
          <w:lang/>
        </w:rPr>
        <w:fldChar w:fldCharType="begin"/>
      </w:r>
      <w:r>
        <w:rPr>
          <w:rFonts w:hint="default" w:ascii="Times New Roman" w:hAnsi="Times New Roman" w:cs="Times New Roman"/>
          <w:color w:val="auto"/>
          <w:lang/>
        </w:rPr>
        <w:instrText xml:space="preserve"> PAGEREF _Toc17709534 \h </w:instrText>
      </w:r>
      <w:r>
        <w:rPr>
          <w:rFonts w:hint="default" w:ascii="Times New Roman" w:hAnsi="Times New Roman" w:cs="Times New Roman"/>
          <w:color w:val="auto"/>
          <w:lang/>
        </w:rPr>
        <w:fldChar w:fldCharType="separate"/>
      </w:r>
      <w:r>
        <w:rPr>
          <w:rFonts w:hint="default" w:ascii="Times New Roman" w:hAnsi="Times New Roman" w:cs="Times New Roman"/>
          <w:color w:val="auto"/>
          <w:lang/>
        </w:rPr>
        <w:t>188</w:t>
      </w:r>
      <w:r>
        <w:rPr>
          <w:rFonts w:hint="default" w:ascii="Times New Roman" w:hAnsi="Times New Roman" w:cs="Times New Roman"/>
          <w:color w:val="auto"/>
          <w:lang/>
        </w:rPr>
        <w:fldChar w:fldCharType="end"/>
      </w:r>
      <w:r>
        <w:rPr>
          <w:rFonts w:hint="default" w:ascii="Times New Roman" w:hAnsi="Times New Roman" w:cs="Times New Roman"/>
          <w:color w:val="auto"/>
          <w:lang/>
        </w:rPr>
        <w:fldChar w:fldCharType="end"/>
      </w:r>
    </w:p>
    <w:p>
      <w:pPr>
        <w:rPr>
          <w:rFonts w:hint="default" w:ascii="Times New Roman" w:hAnsi="Times New Roman" w:cs="Times New Roman"/>
          <w:color w:val="auto"/>
        </w:rPr>
      </w:pPr>
      <w:r>
        <w:rPr>
          <w:rFonts w:hint="default" w:ascii="Times New Roman" w:hAnsi="Times New Roman" w:cs="Times New Roman"/>
          <w:color w:val="auto"/>
        </w:rPr>
        <w:fldChar w:fldCharType="end"/>
      </w:r>
    </w:p>
    <w:p>
      <w:pPr>
        <w:autoSpaceDE w:val="0"/>
        <w:autoSpaceDN w:val="0"/>
        <w:adjustRightInd w:val="0"/>
        <w:spacing w:line="360" w:lineRule="auto"/>
        <w:ind w:firstLine="602" w:firstLineChars="200"/>
        <w:jc w:val="center"/>
        <w:outlineLvl w:val="0"/>
        <w:rPr>
          <w:rFonts w:hint="default" w:ascii="Times New Roman" w:hAnsi="Times New Roman" w:cs="Times New Roman"/>
          <w:b/>
          <w:color w:val="auto"/>
          <w:kern w:val="0"/>
          <w:sz w:val="30"/>
          <w:szCs w:val="30"/>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autoSpaceDE w:val="0"/>
        <w:autoSpaceDN w:val="0"/>
        <w:adjustRightInd w:val="0"/>
        <w:spacing w:line="360" w:lineRule="auto"/>
        <w:ind w:firstLine="602" w:firstLineChars="200"/>
        <w:jc w:val="center"/>
        <w:outlineLvl w:val="0"/>
        <w:rPr>
          <w:rFonts w:hint="default" w:ascii="Times New Roman" w:hAnsi="Times New Roman" w:cs="Times New Roman"/>
          <w:b/>
          <w:color w:val="auto"/>
          <w:kern w:val="0"/>
          <w:sz w:val="30"/>
          <w:szCs w:val="30"/>
        </w:rPr>
      </w:pPr>
      <w:bookmarkStart w:id="18" w:name="_Toc17709270"/>
      <w:bookmarkStart w:id="19" w:name="_Toc17709329"/>
      <w:r>
        <w:rPr>
          <w:rFonts w:hint="default" w:ascii="Times New Roman" w:hAnsi="Times New Roman" w:cs="Times New Roman"/>
          <w:b/>
          <w:color w:val="auto"/>
          <w:kern w:val="0"/>
          <w:sz w:val="30"/>
          <w:szCs w:val="30"/>
        </w:rPr>
        <w:t>1  概述</w:t>
      </w:r>
      <w:bookmarkEnd w:id="15"/>
      <w:bookmarkEnd w:id="18"/>
      <w:bookmarkEnd w:id="19"/>
    </w:p>
    <w:p>
      <w:pPr>
        <w:pStyle w:val="4"/>
        <w:spacing w:line="360" w:lineRule="auto"/>
        <w:ind w:left="0" w:firstLine="0"/>
        <w:jc w:val="both"/>
        <w:rPr>
          <w:rFonts w:hint="default" w:ascii="Times New Roman" w:hAnsi="Times New Roman" w:cs="Times New Roman"/>
          <w:b/>
          <w:bCs/>
          <w:color w:val="auto"/>
          <w:sz w:val="28"/>
          <w:szCs w:val="28"/>
        </w:rPr>
      </w:pPr>
      <w:bookmarkStart w:id="20" w:name="_Toc8836344"/>
      <w:bookmarkStart w:id="21" w:name="_Toc17709271"/>
      <w:bookmarkStart w:id="22" w:name="_Toc17709330"/>
      <w:r>
        <w:rPr>
          <w:rFonts w:hint="default" w:ascii="Times New Roman" w:hAnsi="Times New Roman" w:cs="Times New Roman"/>
          <w:b/>
          <w:bCs/>
          <w:color w:val="auto"/>
          <w:sz w:val="28"/>
          <w:szCs w:val="28"/>
          <w:lang w:val="en-US" w:eastAsia="zh-CN"/>
        </w:rPr>
        <w:t>1.1</w:t>
      </w:r>
      <w:r>
        <w:rPr>
          <w:rFonts w:hint="default" w:ascii="Times New Roman" w:hAnsi="Times New Roman" w:cs="Times New Roman"/>
          <w:b/>
          <w:bCs/>
          <w:color w:val="auto"/>
          <w:sz w:val="28"/>
          <w:szCs w:val="28"/>
        </w:rPr>
        <w:t>项目建设背景</w:t>
      </w:r>
    </w:p>
    <w:p>
      <w:pPr>
        <w:pStyle w:val="44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新疆达坂城柴窝堡杏树沟铜矿是一个小型规模的老矿山，</w:t>
      </w:r>
      <w:r>
        <w:rPr>
          <w:rFonts w:hint="default" w:ascii="Times New Roman" w:hAnsi="Times New Roman" w:cs="Times New Roman"/>
          <w:color w:val="auto"/>
          <w:sz w:val="24"/>
          <w:szCs w:val="24"/>
        </w:rPr>
        <w:t>以往地质、科研工作</w:t>
      </w:r>
      <w:r>
        <w:rPr>
          <w:rFonts w:hint="default" w:ascii="Times New Roman" w:hAnsi="Times New Roman" w:cs="Times New Roman"/>
          <w:color w:val="auto"/>
          <w:sz w:val="24"/>
          <w:szCs w:val="24"/>
          <w:lang w:eastAsia="zh-CN"/>
        </w:rPr>
        <w:t>如下：①</w:t>
      </w:r>
      <w:r>
        <w:rPr>
          <w:rFonts w:hint="default" w:ascii="Times New Roman" w:hAnsi="Times New Roman" w:cs="Times New Roman"/>
          <w:color w:val="auto"/>
          <w:sz w:val="24"/>
          <w:szCs w:val="24"/>
        </w:rPr>
        <w:t>1958年-1959年新疆地矿局在达坂城一带进行1:5万地质调查和矿产评价，对本区域内的地层、构造做了较细致的调查，同时对该区域内的多处矿点如庙尔沟铜矿、苇草沟铜矿、铜沟铜矿、凤凰台铜矿、黑沟铜矿等进行了矿产评价和资源量计算，共求得铜金属量2000余吨</w:t>
      </w:r>
      <w:r>
        <w:rPr>
          <w:rFonts w:hint="default" w:ascii="Times New Roman" w:hAnsi="Times New Roman" w:cs="Times New Roman"/>
          <w:color w:val="auto"/>
          <w:sz w:val="24"/>
          <w:szCs w:val="24"/>
          <w:lang w:eastAsia="zh-CN"/>
        </w:rPr>
        <w:t>；②</w:t>
      </w:r>
      <w:r>
        <w:rPr>
          <w:rFonts w:hint="default" w:ascii="Times New Roman" w:hAnsi="Times New Roman" w:cs="Times New Roman"/>
          <w:color w:val="auto"/>
          <w:sz w:val="24"/>
          <w:szCs w:val="24"/>
        </w:rPr>
        <w:t>1959年-1960年新疆冶金局707队对杏树沟铜矿进行了初步勘探，共投入钻探281米，坑探547米，井探87米，填制了1:1000地形地质图，共求得（332＋333）类铜资源量1836.62吨，该资源量未经储委或主管部门审批，工作较粗略</w:t>
      </w:r>
      <w:r>
        <w:rPr>
          <w:rFonts w:hint="default" w:ascii="Times New Roman" w:hAnsi="Times New Roman" w:cs="Times New Roman"/>
          <w:color w:val="auto"/>
          <w:sz w:val="24"/>
          <w:szCs w:val="24"/>
          <w:lang w:eastAsia="zh-CN"/>
        </w:rPr>
        <w:t>；③</w:t>
      </w:r>
      <w:r>
        <w:rPr>
          <w:rFonts w:hint="default" w:ascii="Times New Roman" w:hAnsi="Times New Roman" w:cs="Times New Roman"/>
          <w:color w:val="auto"/>
          <w:sz w:val="24"/>
          <w:szCs w:val="24"/>
        </w:rPr>
        <w:t>1999年乌鲁木齐市地环系统工程技术开发公司对杏树沟铜矿进行了地质勘查工作求得数万吨矿石量</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④</w:t>
      </w:r>
      <w:r>
        <w:rPr>
          <w:rFonts w:hint="default" w:ascii="Times New Roman" w:hAnsi="Times New Roman" w:cs="Times New Roman"/>
          <w:color w:val="auto"/>
          <w:sz w:val="24"/>
          <w:szCs w:val="24"/>
        </w:rPr>
        <w:t>2004年11月地矿局第二区域地质调查大队对杏树沟铜矿区的矿产资源作了检测核定报告。对矿区4（2）、10、13（1）三条矿体进行了资源量估算，求得（333）级矿石资源量6254吨，铜金属量178.91吨</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⑤</w:t>
      </w:r>
      <w:r>
        <w:rPr>
          <w:rFonts w:hint="default" w:ascii="Times New Roman" w:hAnsi="Times New Roman" w:cs="Times New Roman"/>
          <w:color w:val="auto"/>
          <w:sz w:val="24"/>
          <w:szCs w:val="24"/>
        </w:rPr>
        <w:t>2005年9月至11月，新疆矿协科技咨询中心对杏树沟铜矿进行了系统采样、1:1000地形补测和地质修测，求得铜矿石量（333）9.69万吨，铜金属量（333）1101.73吨。</w:t>
      </w:r>
    </w:p>
    <w:p>
      <w:pPr>
        <w:pStyle w:val="44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2"/>
          <w:sz w:val="24"/>
          <w:szCs w:val="24"/>
          <w:lang w:val="en-US" w:eastAsia="zh-CN" w:bidi="ar-SA"/>
        </w:rPr>
        <w:t>矿山开采历史：杏树沟铜矿的开采，可以追溯到全国解放以前，但仅限于地表可见的富氧化矿石，其规模极小。解放后，主要在70年代，又对矿区进行了地质普查，并施工了三个钻孔，但结果不理想，遂中断了进一步深入的地质工作,</w:t>
      </w:r>
      <w:r>
        <w:rPr>
          <w:rFonts w:hint="default" w:ascii="Times New Roman" w:hAnsi="Times New Roman" w:cs="Times New Roman"/>
          <w:color w:val="auto"/>
          <w:sz w:val="24"/>
          <w:szCs w:val="24"/>
          <w:lang w:val="en-US" w:eastAsia="zh-CN"/>
        </w:rPr>
        <w:t>但确定了该矿具有一定的工业价值，为一小型铜矿床，可以进行小规模的工业化开采。</w:t>
      </w:r>
    </w:p>
    <w:p>
      <w:pPr>
        <w:pStyle w:val="44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改革开放以来，随着我国社会主义建设的发展，各行各业对铜的需求大幅增加，铜供应量</w:t>
      </w:r>
      <w:r>
        <w:rPr>
          <w:rFonts w:hint="default" w:ascii="Times New Roman" w:hAnsi="Times New Roman" w:cs="Times New Roman"/>
          <w:color w:val="auto"/>
          <w:kern w:val="2"/>
          <w:sz w:val="24"/>
          <w:szCs w:val="24"/>
          <w:lang w:val="en-US" w:eastAsia="zh-CN" w:bidi="ar-SA"/>
        </w:rPr>
        <w:t>日趋紧张，铜价格亦大幅攀升，使得原本稀缺的铜资源更加珍贵。在此背景下，杏树沟铜矿又引起了人们的注意，先后有民营资本对其进行了较大投入，进行进一步的地表开采，并对山地工程投入了较大工作量，浅井、竖井、斜井、坑道以及坑道钻探。由于杏树沟铜矿构造复杂，且矿体规模小，稳定性差，因此，没有达到各路资本的预期效益。北天山欣欣矿业有限公司于2008年接手该矿，随即在2009年对矿山进行了部分地质工作，包括少量的巷道开拓、取样分析，及对矿山地质成矿规律、规模的重新分析，确定了该矿的开发前景。</w:t>
      </w:r>
    </w:p>
    <w:p>
      <w:pPr>
        <w:spacing w:line="360" w:lineRule="auto"/>
        <w:ind w:firstLine="480" w:firstLineChars="200"/>
        <w:jc w:val="both"/>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北天山欣欣矿业有限公司于2013年取得了该矿山的采矿许可证(证号：C6500002010123120107175）。采矿证上生产规模为0.75万t/a，有效期限为2013年3月27日至2020年8月27日。目前为止</w:t>
      </w:r>
      <w:r>
        <w:rPr>
          <w:rFonts w:hint="default" w:ascii="Times New Roman" w:hAnsi="Times New Roman" w:cs="Times New Roman"/>
          <w:color w:val="auto"/>
          <w:kern w:val="0"/>
          <w:sz w:val="24"/>
        </w:rPr>
        <w:t>新疆达坂城柴窝堡杏树沟铜矿</w:t>
      </w:r>
      <w:r>
        <w:rPr>
          <w:rFonts w:hint="default" w:ascii="Times New Roman" w:hAnsi="Times New Roman" w:cs="Times New Roman"/>
          <w:color w:val="auto"/>
          <w:kern w:val="2"/>
          <w:sz w:val="24"/>
          <w:szCs w:val="24"/>
          <w:lang w:val="en-US" w:eastAsia="zh-CN" w:bidi="ar-SA"/>
        </w:rPr>
        <w:t>未办理过相关环保手续。</w:t>
      </w:r>
    </w:p>
    <w:p>
      <w:pPr>
        <w:spacing w:line="360" w:lineRule="auto"/>
        <w:ind w:firstLine="480" w:firstLineChars="200"/>
        <w:jc w:val="both"/>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2019年10月29日北天山欣欣矿业有限公司取得了《乌鲁木齐北天山欣欣矿业有限公司新疆达坂城柴窝堡杏树沟铜矿矿产资源开发利用方案(调改)》专家意见认定（</w:t>
      </w:r>
      <w:r>
        <w:rPr>
          <w:rFonts w:hint="default" w:ascii="Times New Roman" w:hAnsi="Times New Roman" w:cs="Times New Roman"/>
          <w:color w:val="auto"/>
          <w:sz w:val="24"/>
        </w:rPr>
        <w:t>新</w:t>
      </w:r>
      <w:r>
        <w:rPr>
          <w:rFonts w:hint="default" w:ascii="Times New Roman" w:hAnsi="Times New Roman" w:cs="Times New Roman"/>
          <w:color w:val="auto"/>
          <w:sz w:val="24"/>
          <w:lang w:eastAsia="zh-CN"/>
        </w:rPr>
        <w:t>自然</w:t>
      </w:r>
      <w:r>
        <w:rPr>
          <w:rFonts w:hint="default" w:ascii="Times New Roman" w:hAnsi="Times New Roman" w:cs="Times New Roman"/>
          <w:color w:val="auto"/>
          <w:sz w:val="24"/>
        </w:rPr>
        <w:t>资开审发[2019]</w:t>
      </w:r>
      <w:r>
        <w:rPr>
          <w:rFonts w:hint="default" w:ascii="Times New Roman" w:hAnsi="Times New Roman" w:cs="Times New Roman"/>
          <w:color w:val="auto"/>
          <w:sz w:val="24"/>
          <w:lang w:val="en-US" w:eastAsia="zh-CN"/>
        </w:rPr>
        <w:t>26</w:t>
      </w:r>
      <w:r>
        <w:rPr>
          <w:rFonts w:hint="default" w:ascii="Times New Roman" w:hAnsi="Times New Roman" w:cs="Times New Roman"/>
          <w:color w:val="auto"/>
          <w:sz w:val="24"/>
        </w:rPr>
        <w:t>号</w:t>
      </w:r>
      <w:r>
        <w:rPr>
          <w:rFonts w:hint="default" w:ascii="Times New Roman" w:hAnsi="Times New Roman" w:cs="Times New Roman"/>
          <w:color w:val="auto"/>
          <w:kern w:val="2"/>
          <w:sz w:val="24"/>
          <w:szCs w:val="24"/>
          <w:lang w:val="en-US" w:eastAsia="zh-CN" w:bidi="ar-SA"/>
        </w:rPr>
        <w:t>），其矿山</w:t>
      </w:r>
      <w:r>
        <w:rPr>
          <w:rFonts w:hint="default" w:ascii="Times New Roman" w:hAnsi="Times New Roman" w:cs="Times New Roman"/>
          <w:b w:val="0"/>
          <w:bCs w:val="0"/>
          <w:color w:val="auto"/>
          <w:kern w:val="0"/>
          <w:sz w:val="24"/>
        </w:rPr>
        <w:t>生产建设规模</w:t>
      </w:r>
      <w:r>
        <w:rPr>
          <w:rFonts w:hint="default" w:ascii="Times New Roman" w:hAnsi="Times New Roman" w:cs="Times New Roman"/>
          <w:b w:val="0"/>
          <w:bCs w:val="0"/>
          <w:color w:val="auto"/>
          <w:kern w:val="0"/>
          <w:sz w:val="24"/>
          <w:lang w:eastAsia="zh-CN"/>
        </w:rPr>
        <w:t>为</w:t>
      </w:r>
      <w:r>
        <w:rPr>
          <w:rFonts w:hint="default" w:ascii="Times New Roman" w:hAnsi="Times New Roman" w:cs="Times New Roman"/>
          <w:b w:val="0"/>
          <w:bCs w:val="0"/>
          <w:color w:val="auto"/>
          <w:kern w:val="0"/>
          <w:sz w:val="24"/>
          <w:lang w:val="en-US" w:eastAsia="zh-CN"/>
        </w:rPr>
        <w:t>6</w:t>
      </w:r>
      <w:r>
        <w:rPr>
          <w:rFonts w:hint="default" w:ascii="Times New Roman" w:hAnsi="Times New Roman" w:cs="Times New Roman"/>
          <w:b w:val="0"/>
          <w:bCs w:val="0"/>
          <w:color w:val="auto"/>
          <w:kern w:val="0"/>
          <w:sz w:val="24"/>
        </w:rPr>
        <w:t xml:space="preserve"> 万吨/年，服务年限</w:t>
      </w:r>
      <w:r>
        <w:rPr>
          <w:rFonts w:hint="default" w:ascii="Times New Roman" w:hAnsi="Times New Roman" w:cs="Times New Roman"/>
          <w:b w:val="0"/>
          <w:bCs w:val="0"/>
          <w:color w:val="auto"/>
          <w:kern w:val="0"/>
          <w:sz w:val="24"/>
          <w:lang w:eastAsia="zh-CN"/>
        </w:rPr>
        <w:t>为</w:t>
      </w:r>
      <w:r>
        <w:rPr>
          <w:rFonts w:hint="default" w:ascii="Times New Roman" w:hAnsi="Times New Roman" w:cs="Times New Roman"/>
          <w:b w:val="0"/>
          <w:bCs w:val="0"/>
          <w:color w:val="auto"/>
          <w:kern w:val="0"/>
          <w:sz w:val="24"/>
          <w:lang w:val="en-US" w:eastAsia="zh-CN"/>
        </w:rPr>
        <w:t>4.38</w:t>
      </w:r>
      <w:r>
        <w:rPr>
          <w:rFonts w:hint="default" w:ascii="Times New Roman" w:hAnsi="Times New Roman" w:cs="Times New Roman"/>
          <w:b w:val="0"/>
          <w:bCs w:val="0"/>
          <w:color w:val="auto"/>
          <w:kern w:val="0"/>
          <w:sz w:val="24"/>
        </w:rPr>
        <w:t>年。</w:t>
      </w:r>
    </w:p>
    <w:p>
      <w:pPr>
        <w:pStyle w:val="4"/>
        <w:spacing w:line="360" w:lineRule="auto"/>
        <w:ind w:left="0" w:firstLine="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建设项目特点</w:t>
      </w:r>
      <w:bookmarkEnd w:id="1"/>
      <w:bookmarkEnd w:id="16"/>
      <w:bookmarkEnd w:id="17"/>
      <w:bookmarkEnd w:id="20"/>
      <w:bookmarkEnd w:id="21"/>
      <w:bookmarkEnd w:id="22"/>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新疆达坂城柴窝堡杏树沟铜矿是一个小型规模的老矿山</w:t>
      </w:r>
      <w:r>
        <w:rPr>
          <w:rFonts w:hint="default" w:ascii="Times New Roman" w:hAnsi="Times New Roman" w:cs="Times New Roman"/>
          <w:color w:val="auto"/>
          <w:kern w:val="0"/>
          <w:sz w:val="24"/>
          <w:lang w:eastAsia="zh-CN"/>
        </w:rPr>
        <w:t>，矿山</w:t>
      </w:r>
      <w:r>
        <w:rPr>
          <w:rFonts w:hint="default" w:ascii="Times New Roman" w:hAnsi="Times New Roman" w:cs="Times New Roman"/>
          <w:color w:val="auto"/>
          <w:kern w:val="0"/>
          <w:sz w:val="24"/>
        </w:rPr>
        <w:t>位于乌鲁木齐市115°方位、直距44km处，距达坂城区柴窝堡乡约31km，行政区划属乌鲁木齐市达坂城区管辖。</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矿区铜矿石资源量：</w:t>
      </w:r>
      <w:r>
        <w:rPr>
          <w:rFonts w:hint="default" w:ascii="Times New Roman" w:hAnsi="Times New Roman" w:cs="Times New Roman"/>
          <w:color w:val="auto"/>
          <w:kern w:val="0"/>
          <w:sz w:val="24"/>
        </w:rPr>
        <w:t>（122b+332+333）矿石资源量26.80万t，铜金属量3559.55t、伴生银金属量5249.03kg、伴生硫13891.59t，矿石平均品位铜1.33%、银19.59g/t、硫 5.18%（其中，采矿许可证限采标高以内（1920m水平以上）（122b+333）矿石资源量13.64万t；采矿许可证限采标高以外（1920m水平以下）（332+333）矿石资源量13.16万t）。</w:t>
      </w:r>
    </w:p>
    <w:p>
      <w:pPr>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kern w:val="0"/>
          <w:sz w:val="24"/>
        </w:rPr>
        <w:t>该矿山投资2699.13万元，设计生产规模为6万t/a（240t/d）铜矿，服务年限为4.37a，采用地下开采方式，生产周期为250天。</w:t>
      </w:r>
    </w:p>
    <w:p>
      <w:pPr>
        <w:pStyle w:val="4"/>
        <w:spacing w:line="360" w:lineRule="auto"/>
        <w:ind w:left="0" w:firstLine="0"/>
        <w:jc w:val="both"/>
        <w:rPr>
          <w:rFonts w:hint="default" w:ascii="Times New Roman" w:hAnsi="Times New Roman" w:cs="Times New Roman"/>
          <w:color w:val="auto"/>
          <w:sz w:val="28"/>
          <w:szCs w:val="28"/>
        </w:rPr>
      </w:pPr>
      <w:bookmarkStart w:id="23" w:name="_Toc741_WPSOffice_Level2"/>
      <w:bookmarkStart w:id="24" w:name="_Toc7998939"/>
      <w:bookmarkStart w:id="25" w:name="_Toc12016_WPSOffice_Level1"/>
      <w:bookmarkStart w:id="26" w:name="_Toc17709331"/>
      <w:bookmarkStart w:id="27" w:name="_Toc17709272"/>
      <w:bookmarkStart w:id="28" w:name="_Toc8836345"/>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环境影响评价的工作过程</w:t>
      </w:r>
      <w:bookmarkEnd w:id="23"/>
      <w:bookmarkEnd w:id="24"/>
      <w:bookmarkEnd w:id="25"/>
      <w:bookmarkEnd w:id="26"/>
      <w:bookmarkEnd w:id="27"/>
      <w:bookmarkEnd w:id="28"/>
    </w:p>
    <w:p>
      <w:pPr>
        <w:pStyle w:val="78"/>
        <w:spacing w:line="360" w:lineRule="auto"/>
        <w:ind w:firstLine="480"/>
        <w:rPr>
          <w:rFonts w:hint="eastAsia" w:ascii="宋体" w:hAnsi="宋体" w:eastAsia="宋体" w:cs="宋体"/>
          <w:b w:val="0"/>
          <w:bCs w:val="0"/>
          <w:color w:val="auto"/>
          <w:sz w:val="24"/>
          <w:szCs w:val="24"/>
        </w:rPr>
      </w:pPr>
      <w:r>
        <w:rPr>
          <w:rFonts w:hint="default" w:ascii="Times New Roman" w:hAnsi="Times New Roman" w:eastAsia="宋体" w:cs="Times New Roman"/>
          <w:color w:val="auto"/>
          <w:sz w:val="24"/>
        </w:rPr>
        <w:t>根据《建设项目环境保护管理条例》（中华人民共和国国务院令第682号）及《建设项目环境影响评价分类管理目录》(生态环境保护部令第1号)中的有关规定，</w:t>
      </w:r>
      <w:r>
        <w:rPr>
          <w:rFonts w:hint="eastAsia" w:ascii="宋体" w:hAnsi="宋体" w:eastAsia="宋体" w:cs="宋体"/>
          <w:color w:val="auto"/>
          <w:sz w:val="24"/>
          <w:szCs w:val="24"/>
        </w:rPr>
        <w:t>为切实做好建设项目的环境保护工作，使经济建设与环境保护协调发展，确保项目工程顺利进行，本项目必须进行环评申报审批程序。对照《国民经济行业分类》（GB/T4754-2017），项目属于“</w:t>
      </w:r>
      <w:r>
        <w:rPr>
          <w:rFonts w:hint="eastAsia" w:ascii="宋体" w:hAnsi="宋体" w:eastAsia="宋体" w:cs="宋体"/>
          <w:color w:val="auto"/>
          <w:sz w:val="24"/>
          <w:szCs w:val="24"/>
          <w:lang w:val="en-US" w:eastAsia="zh-CN"/>
        </w:rPr>
        <w:t>A0911铜矿采选</w:t>
      </w:r>
      <w:r>
        <w:rPr>
          <w:rFonts w:hint="eastAsia" w:ascii="宋体" w:hAnsi="宋体" w:eastAsia="宋体" w:cs="宋体"/>
          <w:color w:val="auto"/>
          <w:sz w:val="24"/>
          <w:szCs w:val="24"/>
        </w:rPr>
        <w:t>”；对照《建设项目环</w:t>
      </w:r>
      <w:r>
        <w:rPr>
          <w:rFonts w:hint="eastAsia" w:ascii="宋体" w:hAnsi="宋体" w:eastAsia="宋体" w:cs="宋体"/>
          <w:b w:val="0"/>
          <w:bCs w:val="0"/>
          <w:color w:val="auto"/>
          <w:sz w:val="24"/>
          <w:szCs w:val="24"/>
        </w:rPr>
        <w:t>境影响评价分类管理目录》及关于修改《建设项目环境影响评价分类管理目录》部分内容的决定，</w:t>
      </w:r>
      <w:r>
        <w:rPr>
          <w:rFonts w:hint="eastAsia" w:ascii="宋体" w:hAnsi="宋体" w:eastAsia="宋体" w:cs="宋体"/>
          <w:b w:val="0"/>
          <w:bCs w:val="0"/>
          <w:color w:val="auto"/>
          <w:sz w:val="24"/>
          <w:szCs w:val="24"/>
          <w:lang w:eastAsia="zh-CN"/>
        </w:rPr>
        <w:t>本项目属于</w:t>
      </w:r>
      <w:r>
        <w:rPr>
          <w:rFonts w:hint="eastAsia" w:ascii="宋体" w:hAnsi="宋体" w:eastAsia="宋体" w:cs="宋体"/>
          <w:b w:val="0"/>
          <w:bCs w:val="0"/>
          <w:color w:val="auto"/>
          <w:sz w:val="24"/>
          <w:szCs w:val="24"/>
        </w:rPr>
        <w:t>四十四</w:t>
      </w:r>
      <w:r>
        <w:rPr>
          <w:rFonts w:hint="eastAsia" w:ascii="宋体" w:hAnsi="宋体" w:eastAsia="宋体" w:cs="宋体"/>
          <w:b w:val="0"/>
          <w:bCs w:val="0"/>
          <w:color w:val="auto"/>
          <w:sz w:val="24"/>
          <w:szCs w:val="24"/>
          <w:lang w:eastAsia="zh-CN"/>
        </w:rPr>
        <w:t>项中</w:t>
      </w:r>
      <w:r>
        <w:rPr>
          <w:rFonts w:hint="eastAsia" w:ascii="宋体" w:hAnsi="宋体" w:eastAsia="宋体" w:cs="宋体"/>
          <w:b w:val="0"/>
          <w:bCs w:val="0"/>
          <w:color w:val="auto"/>
          <w:sz w:val="24"/>
          <w:szCs w:val="24"/>
        </w:rPr>
        <w:t>有色金属矿采选业</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rPr>
        <w:t>136</w:t>
      </w:r>
      <w:r>
        <w:rPr>
          <w:rFonts w:hint="eastAsia" w:ascii="宋体" w:hAnsi="宋体" w:eastAsia="宋体" w:cs="宋体"/>
          <w:b w:val="0"/>
          <w:bCs w:val="0"/>
          <w:color w:val="auto"/>
          <w:sz w:val="24"/>
          <w:szCs w:val="24"/>
          <w:lang w:eastAsia="zh-CN"/>
        </w:rPr>
        <w:t>项中</w:t>
      </w:r>
      <w:r>
        <w:rPr>
          <w:rFonts w:hint="eastAsia" w:ascii="宋体" w:hAnsi="宋体" w:eastAsia="宋体" w:cs="宋体"/>
          <w:b w:val="0"/>
          <w:bCs w:val="0"/>
          <w:color w:val="auto"/>
          <w:sz w:val="24"/>
          <w:szCs w:val="24"/>
        </w:rPr>
        <w:t>有色金属矿采选（含单独尾矿库），应编制环境影响报告书。</w:t>
      </w:r>
    </w:p>
    <w:p>
      <w:pPr>
        <w:pStyle w:val="78"/>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为此乌鲁木齐北天山欣欣矿业有限公司委托江西景瑞祥环保科技有限公司承担此项目的环境影响评价工作。</w:t>
      </w:r>
    </w:p>
    <w:p>
      <w:pPr>
        <w:pStyle w:val="78"/>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接受委托后，评价报告编制单位随即按照环境影响评价的有关工作程序，依据环境影响评价技术导则的有关技术要求，组织专业人员，认真研究建设单位提供的相关文件和技术资料，对拟建项目厂址及周边区域现场进行实地踏勘和调研、收集当地资料和其它相关支撑性文件、开展环境现状监测，对建设项目进行了认真细致的工程分析，根据各环境要素的评价等级筛选及其相应评价等级要求，对各环境要素进行了环境影响预测和评价，提出了相应的环境保护措施并进行了技术经济论证，在此基础上，编制完成《乌鲁木齐北天山欣欣矿业有限公司新疆达坂城柴窝堡杏树沟铜矿环境影响报告书》，提交生态环境主管部门和专家审查。</w: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审批后的环境影响报告书将作为该项目环境保护及环境管理的依据，评价工作过程详见工作程序流程图1-1。</w:t>
      </w:r>
    </w:p>
    <w:p>
      <w:pPr>
        <w:pStyle w:val="2"/>
        <w:rPr>
          <w:rFonts w:hint="default" w:ascii="Times New Roman" w:hAnsi="Times New Roman" w:cs="Times New Roman"/>
          <w:color w:val="auto"/>
          <w:sz w:val="24"/>
        </w:rPr>
      </w:pPr>
      <w:r>
        <w:rPr>
          <w:rFonts w:hint="default" w:ascii="Times New Roman" w:hAnsi="Times New Roman" w:cs="Times New Roman"/>
          <w:color w:val="auto"/>
          <w:sz w:val="24"/>
        </w:rPr>
        <w:drawing>
          <wp:anchor distT="0" distB="0" distL="114300" distR="114300" simplePos="0" relativeHeight="251674624" behindDoc="0" locked="0" layoutInCell="1" allowOverlap="1">
            <wp:simplePos x="0" y="0"/>
            <wp:positionH relativeFrom="column">
              <wp:posOffset>361950</wp:posOffset>
            </wp:positionH>
            <wp:positionV relativeFrom="paragraph">
              <wp:posOffset>6985</wp:posOffset>
            </wp:positionV>
            <wp:extent cx="4843780" cy="5928360"/>
            <wp:effectExtent l="0" t="0" r="13970" b="15240"/>
            <wp:wrapNone/>
            <wp:docPr id="69"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9" descr="IMG_256"/>
                    <pic:cNvPicPr>
                      <a:picLocks noChangeAspect="1"/>
                    </pic:cNvPicPr>
                  </pic:nvPicPr>
                  <pic:blipFill>
                    <a:blip r:embed="rId9"/>
                    <a:stretch>
                      <a:fillRect/>
                    </a:stretch>
                  </pic:blipFill>
                  <pic:spPr>
                    <a:xfrm>
                      <a:off x="0" y="0"/>
                      <a:ext cx="4843780" cy="5928360"/>
                    </a:xfrm>
                    <a:prstGeom prst="rect">
                      <a:avLst/>
                    </a:prstGeom>
                    <a:noFill/>
                    <a:ln>
                      <a:noFill/>
                    </a:ln>
                  </pic:spPr>
                </pic:pic>
              </a:graphicData>
            </a:graphic>
          </wp:anchor>
        </w:drawing>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spacing w:line="360" w:lineRule="auto"/>
        <w:ind w:firstLine="482" w:firstLineChars="200"/>
        <w:jc w:val="center"/>
        <w:rPr>
          <w:rFonts w:hint="default" w:ascii="Times New Roman" w:hAnsi="Times New Roman" w:cs="Times New Roman"/>
          <w:color w:val="auto"/>
          <w:sz w:val="24"/>
        </w:rPr>
      </w:pPr>
      <w:bookmarkStart w:id="29" w:name="_Toc17709332"/>
      <w:bookmarkStart w:id="30" w:name="_Toc7998940"/>
      <w:bookmarkStart w:id="31" w:name="_Toc17709273"/>
      <w:bookmarkStart w:id="32" w:name="_Toc8836346"/>
      <w:bookmarkStart w:id="33" w:name="_Toc22417_WPSOffice_Level2"/>
      <w:bookmarkStart w:id="34" w:name="_Toc16545_WPSOffice_Level1"/>
      <w:r>
        <w:rPr>
          <w:rFonts w:hint="default" w:ascii="Times New Roman" w:hAnsi="Times New Roman" w:cs="Times New Roman"/>
          <w:b/>
          <w:color w:val="auto"/>
          <w:sz w:val="24"/>
        </w:rPr>
        <w:t>图1-1    建设项目环境影响评价工作程序</w:t>
      </w:r>
    </w:p>
    <w:p>
      <w:pPr>
        <w:pStyle w:val="4"/>
        <w:spacing w:line="360" w:lineRule="auto"/>
        <w:ind w:left="0" w:firstLine="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分析判定相关情况</w:t>
      </w:r>
      <w:bookmarkEnd w:id="29"/>
      <w:bookmarkEnd w:id="30"/>
      <w:bookmarkEnd w:id="31"/>
      <w:bookmarkEnd w:id="32"/>
      <w:bookmarkEnd w:id="33"/>
      <w:bookmarkEnd w:id="3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kern w:val="0"/>
          <w:sz w:val="24"/>
        </w:rPr>
        <w:t>（1）本项目为铜矿采矿建设项目，根据《产业结构调整指导目录（20</w:t>
      </w:r>
      <w:r>
        <w:rPr>
          <w:rFonts w:hint="default" w:ascii="Times New Roman" w:hAnsi="Times New Roman" w:cs="Times New Roman"/>
          <w:color w:val="auto"/>
          <w:kern w:val="0"/>
          <w:sz w:val="24"/>
          <w:lang w:val="en-US" w:eastAsia="zh-CN"/>
        </w:rPr>
        <w:t>19</w:t>
      </w:r>
      <w:r>
        <w:rPr>
          <w:rFonts w:hint="default" w:ascii="Times New Roman" w:hAnsi="Times New Roman" w:cs="Times New Roman"/>
          <w:color w:val="auto"/>
          <w:kern w:val="0"/>
          <w:sz w:val="24"/>
        </w:rPr>
        <w:t>年本）》，不属于产业政策限制类</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淘汰类</w:t>
      </w:r>
      <w:r>
        <w:rPr>
          <w:rFonts w:hint="default" w:ascii="Times New Roman" w:hAnsi="Times New Roman" w:cs="Times New Roman"/>
          <w:color w:val="auto"/>
          <w:kern w:val="0"/>
          <w:sz w:val="24"/>
          <w:lang w:eastAsia="zh-CN"/>
        </w:rPr>
        <w:t>和</w:t>
      </w:r>
      <w:r>
        <w:rPr>
          <w:rFonts w:hint="default" w:ascii="Times New Roman" w:hAnsi="Times New Roman" w:cs="Times New Roman"/>
          <w:color w:val="auto"/>
          <w:kern w:val="0"/>
          <w:sz w:val="24"/>
        </w:rPr>
        <w:t>于鼓励类</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auto"/>
          <w:kern w:val="0"/>
          <w:sz w:val="24"/>
          <w:szCs w:val="24"/>
          <w:lang w:val="en-US" w:eastAsia="zh-CN" w:bidi="ar"/>
        </w:rPr>
        <w:t>因此本项目符合国家的产业政策。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rPr>
        <w:t>（2）根据《关于印发&lt;新疆维吾尔自治区非煤矿种（12 种）矿山最小生产规模和最低服务年限（暂行）&gt;的通知》（新自然资发[2019]25号），铜矿（地下开采）生产建设规模最低要求6 万吨/年，最低服务年限9 年。本项目生产规模为6 万吨/年，服务年限为4.38年。</w:t>
      </w:r>
      <w:r>
        <w:rPr>
          <w:rFonts w:hint="default" w:ascii="Times New Roman" w:hAnsi="Times New Roman" w:cs="Times New Roman"/>
          <w:color w:val="auto"/>
          <w:kern w:val="0"/>
          <w:sz w:val="24"/>
          <w:lang w:eastAsia="zh-CN"/>
        </w:rPr>
        <w:t>该通知中最小生产规模和最低服务年限</w:t>
      </w:r>
      <w:r>
        <w:rPr>
          <w:rFonts w:hint="eastAsia" w:ascii="Times New Roman" w:hAnsi="Times New Roman" w:cs="Times New Roman"/>
          <w:color w:val="auto"/>
          <w:kern w:val="0"/>
          <w:sz w:val="24"/>
          <w:lang w:eastAsia="zh-CN"/>
        </w:rPr>
        <w:t>是</w:t>
      </w:r>
      <w:r>
        <w:rPr>
          <w:rFonts w:hint="default" w:ascii="Times New Roman" w:hAnsi="Times New Roman" w:cs="Times New Roman"/>
          <w:color w:val="auto"/>
          <w:kern w:val="0"/>
          <w:sz w:val="24"/>
          <w:lang w:eastAsia="zh-CN"/>
        </w:rPr>
        <w:t>新建矿山准入的必要条件，本项目为老旧矿山办理环评手续，矿山最小生产规模和最低服务年限不作为本项目的准入条件。本项目最小生产规模符合通知中规定的要求，建设单位后期将加大矿山的勘探力度，逐步满足开采年限。</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（3）本项目周边没有地表水体。根据《新疆维吾尔自治区重点行业环境准入条件（修订）》中关于金属矿采选环境准入条件要求，</w:t>
      </w:r>
      <w:bookmarkStart w:id="35" w:name="_Toc465629171"/>
      <w:bookmarkStart w:id="36" w:name="_Toc458415043"/>
      <w:bookmarkStart w:id="37" w:name="_Toc458147772"/>
      <w:r>
        <w:rPr>
          <w:rFonts w:hint="default" w:ascii="Times New Roman" w:hAnsi="Times New Roman" w:cs="Times New Roman"/>
          <w:color w:val="auto"/>
          <w:kern w:val="0"/>
          <w:sz w:val="24"/>
        </w:rPr>
        <w:t>选址与空间布局</w:t>
      </w:r>
      <w:bookmarkEnd w:id="35"/>
      <w:bookmarkEnd w:id="36"/>
      <w:bookmarkEnd w:id="37"/>
      <w:r>
        <w:rPr>
          <w:rFonts w:hint="default" w:ascii="Times New Roman" w:hAnsi="Times New Roman" w:cs="Times New Roman"/>
          <w:color w:val="auto"/>
          <w:kern w:val="0"/>
          <w:sz w:val="24"/>
        </w:rPr>
        <w:t>-铁路、高速公路、国道、省道等重要交通干线两侧200m范围以内（禁止在铁路、国道、省道两侧的直观可视范围内进行露天开采），重要工业区、大型水利工程设施、城镇市政工程设施所在区域，军事管理区、机场、国防工程设施圈定的区域,居民聚集区1000m以内、伊犁河、额尔齐斯河等重要河流源头区、水环境功能区划为Ⅰ、Ⅱ类和具有饮用功能的Ⅲ类水体岸边1000m以内，其它Ⅲ类水体岸边200m以内，禁止新建或改扩建金属矿采选工程，存在山体等阻隔地形或建设人工地下水阻隔设施的，可根据实际情况，在确保不会对水体产生污染影响的前提下适当放宽距离要求。</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以上内容及项目实际情况，本项目的建设是符合国家、自治区相关产业政策、法律法规、条例等要求。矿山所在区域不属于自然保护区、风景名胜区等生态禁采及限采范围，项目生态保护及污染防治措施符合准入条件要求。</w:t>
      </w:r>
    </w:p>
    <w:p>
      <w:pPr>
        <w:numPr>
          <w:ilvl w:val="0"/>
          <w:numId w:val="1"/>
        </w:num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新疆维吾尔自治区环境保护条例》任何单位和个人不得在水源涵养区、饮用水水源保护区内和河流、湖泊、水库周围建设重化工、涉重金属等工业污染项目；对已建成的工业污染项目，当地人民政府应当组织限期搬迁。项目区位置不属于水源涵养区内，水源保护区等上述禁采区内，符合《新疆维吾尔自治区环境保护条例》的要求。</w:t>
      </w:r>
    </w:p>
    <w:p>
      <w:pPr>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（5）本项目为有色金属开采项目，项目建设符合《新疆维吾尔自治区矿产资源总体规划（2016－2020年）》</w:t>
      </w:r>
      <w:bookmarkStart w:id="38" w:name="_Toc472344897"/>
      <w:r>
        <w:rPr>
          <w:rFonts w:hint="default" w:ascii="Times New Roman" w:hAnsi="Times New Roman" w:cs="Times New Roman"/>
          <w:color w:val="auto"/>
          <w:kern w:val="0"/>
          <w:sz w:val="24"/>
          <w:szCs w:val="24"/>
        </w:rPr>
        <w:t>第四章</w:t>
      </w:r>
      <w:bookmarkEnd w:id="38"/>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坚持协调发展优化矿产开发保护格局</w:t>
      </w:r>
    </w:p>
    <w:p>
      <w:pPr>
        <w:pStyle w:val="378"/>
        <w:ind w:left="0" w:leftChars="0" w:firstLine="0" w:firstLineChars="0"/>
        <w:rPr>
          <w:rFonts w:hint="eastAsia" w:ascii="宋体" w:hAnsi="宋体" w:eastAsia="宋体" w:cs="宋体"/>
          <w:i w:val="0"/>
          <w:caps w:val="0"/>
          <w:color w:val="auto"/>
          <w:spacing w:val="0"/>
          <w:sz w:val="24"/>
          <w:szCs w:val="24"/>
          <w:lang w:eastAsia="zh-CN"/>
        </w:rPr>
      </w:pPr>
      <w:r>
        <w:rPr>
          <w:rFonts w:hint="default" w:ascii="Times New Roman" w:hAnsi="Times New Roman" w:cs="Times New Roman"/>
          <w:color w:val="auto"/>
          <w:sz w:val="24"/>
          <w:szCs w:val="24"/>
        </w:rPr>
        <w:t>发展要求</w:t>
      </w:r>
      <w:r>
        <w:rPr>
          <w:rFonts w:hint="eastAsia" w:ascii="Times New Roman" w:hAnsi="Times New Roman" w:cs="Times New Roman"/>
          <w:color w:val="auto"/>
          <w:sz w:val="24"/>
          <w:szCs w:val="24"/>
          <w:lang w:eastAsia="zh-CN"/>
        </w:rPr>
        <w:t>和</w:t>
      </w:r>
      <w:r>
        <w:rPr>
          <w:rFonts w:hint="eastAsia" w:ascii="宋体" w:hAnsi="宋体" w:eastAsia="宋体" w:cs="宋体"/>
          <w:i w:val="0"/>
          <w:caps w:val="0"/>
          <w:color w:val="auto"/>
          <w:spacing w:val="0"/>
          <w:sz w:val="24"/>
          <w:szCs w:val="24"/>
        </w:rPr>
        <w:t>开采方向。</w:t>
      </w:r>
      <w:r>
        <w:rPr>
          <w:rFonts w:hint="eastAsia" w:ascii="宋体" w:hAnsi="宋体" w:eastAsia="宋体" w:cs="宋体"/>
          <w:i w:val="0"/>
          <w:caps w:val="0"/>
          <w:color w:val="auto"/>
          <w:spacing w:val="0"/>
          <w:sz w:val="24"/>
          <w:szCs w:val="24"/>
          <w:lang w:eastAsia="zh-CN"/>
        </w:rPr>
        <w:t>其主要内容为：</w:t>
      </w:r>
      <w:r>
        <w:rPr>
          <w:rFonts w:hint="eastAsia" w:ascii="宋体" w:hAnsi="宋体" w:eastAsia="宋体" w:cs="宋体"/>
          <w:i w:val="0"/>
          <w:caps w:val="0"/>
          <w:color w:val="auto"/>
          <w:spacing w:val="0"/>
          <w:sz w:val="24"/>
          <w:szCs w:val="24"/>
        </w:rPr>
        <w:t>稳定疆内铁矿开发，扩大铜、镍、铅、锌等矿产开发规模，保护性开发钨等矿产，鼓励金、银等贵金属矿产开发，保障钾矿供给，推进重要功能性非金属矿产高效利用，加快煤炭产业结构调整与转型升级，大力推进煤层气、页岩气和油页岩开发利用。</w:t>
      </w:r>
      <w:r>
        <w:rPr>
          <w:rFonts w:hint="eastAsia" w:ascii="宋体" w:hAnsi="宋体" w:eastAsia="宋体" w:cs="宋体"/>
          <w:i w:val="0"/>
          <w:caps w:val="0"/>
          <w:color w:val="auto"/>
          <w:spacing w:val="0"/>
          <w:sz w:val="24"/>
          <w:szCs w:val="24"/>
          <w:lang w:eastAsia="zh-CN"/>
        </w:rPr>
        <w:t>本项目为铜矿开采项目，因此本项目符合该发展要求和开采方向。</w:t>
      </w:r>
    </w:p>
    <w:p>
      <w:pPr>
        <w:pStyle w:val="378"/>
        <w:ind w:left="0" w:leftChars="0" w:firstLine="482" w:firstLineChars="200"/>
        <w:rPr>
          <w:rFonts w:hint="eastAsia" w:ascii="Times New Roman" w:hAnsi="Times New Roman" w:eastAsia="宋体" w:cs="Times New Roman"/>
          <w:color w:val="auto"/>
          <w:sz w:val="24"/>
          <w:szCs w:val="24"/>
          <w:lang w:eastAsia="zh-CN"/>
        </w:rPr>
      </w:pPr>
      <w:r>
        <w:rPr>
          <w:rFonts w:hint="eastAsia" w:ascii="宋体" w:hAnsi="宋体" w:eastAsia="宋体" w:cs="宋体"/>
          <w:b/>
          <w:i w:val="0"/>
          <w:caps w:val="0"/>
          <w:color w:val="auto"/>
          <w:spacing w:val="0"/>
          <w:sz w:val="24"/>
          <w:szCs w:val="24"/>
        </w:rPr>
        <w:t>重点矿区：</w:t>
      </w:r>
      <w:r>
        <w:rPr>
          <w:rFonts w:hint="eastAsia" w:ascii="宋体" w:hAnsi="宋体" w:eastAsia="宋体" w:cs="宋体"/>
          <w:i w:val="0"/>
          <w:caps w:val="0"/>
          <w:color w:val="auto"/>
          <w:spacing w:val="0"/>
          <w:sz w:val="24"/>
          <w:szCs w:val="24"/>
        </w:rPr>
        <w:t>加大《全国矿产资源规划（</w:t>
      </w:r>
      <w:r>
        <w:rPr>
          <w:rFonts w:hint="default" w:ascii="Times New Roman" w:hAnsi="Times New Roman" w:eastAsia="宋体" w:cs="Times New Roman"/>
          <w:i w:val="0"/>
          <w:caps w:val="0"/>
          <w:color w:val="auto"/>
          <w:spacing w:val="0"/>
          <w:sz w:val="24"/>
          <w:szCs w:val="24"/>
        </w:rPr>
        <w:t>2016</w:t>
      </w:r>
      <w:r>
        <w:rPr>
          <w:rFonts w:hint="eastAsia" w:ascii="宋体" w:hAnsi="宋体" w:eastAsia="宋体" w:cs="宋体"/>
          <w:i w:val="0"/>
          <w:caps w:val="0"/>
          <w:color w:val="auto"/>
          <w:spacing w:val="0"/>
          <w:sz w:val="24"/>
          <w:szCs w:val="24"/>
        </w:rPr>
        <w:t>－</w:t>
      </w:r>
      <w:r>
        <w:rPr>
          <w:rFonts w:hint="default" w:ascii="Times New Roman" w:hAnsi="Times New Roman" w:eastAsia="宋体" w:cs="Times New Roman"/>
          <w:i w:val="0"/>
          <w:caps w:val="0"/>
          <w:color w:val="auto"/>
          <w:spacing w:val="0"/>
          <w:sz w:val="24"/>
          <w:szCs w:val="24"/>
        </w:rPr>
        <w:t>2020</w:t>
      </w:r>
      <w:r>
        <w:rPr>
          <w:rFonts w:hint="eastAsia" w:ascii="宋体" w:hAnsi="宋体" w:eastAsia="宋体" w:cs="宋体"/>
          <w:i w:val="0"/>
          <w:caps w:val="0"/>
          <w:color w:val="auto"/>
          <w:spacing w:val="0"/>
          <w:sz w:val="24"/>
          <w:szCs w:val="24"/>
        </w:rPr>
        <w:t>年）》划定的</w:t>
      </w:r>
      <w:r>
        <w:rPr>
          <w:rFonts w:hint="default" w:ascii="Times New Roman" w:hAnsi="Times New Roman" w:eastAsia="宋体" w:cs="Times New Roman"/>
          <w:i w:val="0"/>
          <w:caps w:val="0"/>
          <w:color w:val="auto"/>
          <w:spacing w:val="0"/>
          <w:sz w:val="24"/>
          <w:szCs w:val="24"/>
        </w:rPr>
        <w:t>35</w:t>
      </w:r>
      <w:r>
        <w:rPr>
          <w:rFonts w:hint="eastAsia" w:ascii="宋体" w:hAnsi="宋体" w:eastAsia="宋体" w:cs="宋体"/>
          <w:i w:val="0"/>
          <w:caps w:val="0"/>
          <w:color w:val="auto"/>
          <w:spacing w:val="0"/>
          <w:sz w:val="24"/>
          <w:szCs w:val="24"/>
        </w:rPr>
        <w:t>个国家规划矿区开发力度。加强阿尔泰山，塔里木盆地、准噶尔盆地、吐哈盆地及周边，西准噶尔，东准噶尔，西天山，东天山，西南天山，西昆仑，阿尔金山等</w:t>
      </w:r>
      <w:r>
        <w:rPr>
          <w:rFonts w:hint="default" w:ascii="Times New Roman" w:hAnsi="Times New Roman" w:eastAsia="宋体" w:cs="Times New Roman"/>
          <w:i w:val="0"/>
          <w:caps w:val="0"/>
          <w:color w:val="auto"/>
          <w:spacing w:val="0"/>
          <w:sz w:val="24"/>
          <w:szCs w:val="24"/>
        </w:rPr>
        <w:t>9</w:t>
      </w:r>
      <w:r>
        <w:rPr>
          <w:rFonts w:hint="eastAsia" w:ascii="宋体" w:hAnsi="宋体" w:eastAsia="宋体" w:cs="宋体"/>
          <w:i w:val="0"/>
          <w:caps w:val="0"/>
          <w:color w:val="auto"/>
          <w:spacing w:val="0"/>
          <w:sz w:val="24"/>
          <w:szCs w:val="24"/>
        </w:rPr>
        <w:t>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r>
        <w:rPr>
          <w:rFonts w:hint="eastAsia" w:ascii="宋体" w:hAnsi="宋体" w:eastAsia="宋体" w:cs="宋体"/>
          <w:i w:val="0"/>
          <w:caps w:val="0"/>
          <w:color w:val="auto"/>
          <w:spacing w:val="0"/>
          <w:sz w:val="24"/>
          <w:szCs w:val="24"/>
          <w:lang w:eastAsia="zh-CN"/>
        </w:rPr>
        <w:t>本项目所在地为西天山，本项目属于重点矿区，因此本项目与</w:t>
      </w:r>
      <w:r>
        <w:rPr>
          <w:rFonts w:hint="default" w:ascii="Times New Roman" w:hAnsi="Times New Roman" w:cs="Times New Roman"/>
          <w:color w:val="auto"/>
          <w:kern w:val="0"/>
          <w:sz w:val="24"/>
          <w:szCs w:val="24"/>
        </w:rPr>
        <w:t>《新疆维吾尔自治区矿产资源总体规划（2016－2020年）》</w:t>
      </w:r>
      <w:r>
        <w:rPr>
          <w:rFonts w:hint="eastAsia" w:ascii="Times New Roman" w:hAnsi="Times New Roman" w:cs="Times New Roman"/>
          <w:color w:val="auto"/>
          <w:kern w:val="0"/>
          <w:sz w:val="24"/>
          <w:szCs w:val="24"/>
          <w:lang w:eastAsia="zh-CN"/>
        </w:rPr>
        <w:t>符合性较好。</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bookmarkStart w:id="39" w:name="_Toc3079_WPSOffice_Level2"/>
      <w:bookmarkStart w:id="40" w:name="_Toc18788_WPSOffice_Level1"/>
      <w:bookmarkStart w:id="41" w:name="_Toc8836347"/>
      <w:bookmarkStart w:id="42" w:name="_Toc7998941"/>
      <w:bookmarkStart w:id="43" w:name="_Toc17709274"/>
      <w:bookmarkStart w:id="44" w:name="_Toc17709333"/>
      <w:r>
        <w:rPr>
          <w:rFonts w:hint="eastAsia" w:ascii="Times New Roman" w:hAnsi="Times New Roman" w:eastAsia="宋体" w:cs="Times New Roman"/>
          <w:color w:val="auto"/>
          <w:kern w:val="0"/>
          <w:sz w:val="24"/>
          <w:lang w:val="en-US" w:eastAsia="zh-CN"/>
        </w:rPr>
        <w:t>（6）“</w:t>
      </w:r>
      <w:r>
        <w:rPr>
          <w:rFonts w:hint="default" w:ascii="Times New Roman" w:hAnsi="Times New Roman" w:eastAsia="宋体" w:cs="Times New Roman"/>
          <w:i w:val="0"/>
          <w:caps w:val="0"/>
          <w:color w:val="auto"/>
          <w:spacing w:val="0"/>
          <w:kern w:val="0"/>
          <w:sz w:val="24"/>
          <w:szCs w:val="24"/>
          <w:lang w:val="en-US" w:eastAsia="zh-CN" w:bidi="ar-SA"/>
        </w:rPr>
        <w:t>三线一单”符合性判定</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根据《关于以改善环境质量为核心加强环境影响评价管理的通知》，落实“生态保护红线、环境质量底线、资源利用上线和环境准入负面清单”，强化“三线一单”作用，对本项目“三线一单”符合性进行如下分析。</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①生态保护红线</w:t>
      </w:r>
    </w:p>
    <w:p>
      <w:pPr>
        <w:spacing w:line="360" w:lineRule="auto"/>
        <w:ind w:firstLine="480"/>
        <w:rPr>
          <w:rFonts w:hint="eastAsia" w:ascii="Times New Roman" w:hAnsi="Times New Roman" w:eastAsia="宋体" w:cs="Times New Roman"/>
          <w:i w:val="0"/>
          <w:caps w:val="0"/>
          <w:color w:val="auto"/>
          <w:spacing w:val="0"/>
          <w:kern w:val="0"/>
          <w:sz w:val="24"/>
          <w:szCs w:val="24"/>
          <w:lang w:val="en-US" w:eastAsia="zh-CN" w:bidi="ar-SA"/>
        </w:rPr>
      </w:pPr>
      <w:r>
        <w:rPr>
          <w:rFonts w:hint="eastAsia" w:ascii="Times New Roman" w:hAnsi="Times New Roman" w:eastAsia="宋体" w:cs="Times New Roman"/>
          <w:i w:val="0"/>
          <w:caps w:val="0"/>
          <w:color w:val="auto"/>
          <w:spacing w:val="0"/>
          <w:kern w:val="0"/>
          <w:sz w:val="24"/>
          <w:szCs w:val="24"/>
          <w:lang w:val="en-US" w:eastAsia="zh-CN" w:bidi="ar-SA"/>
        </w:rPr>
        <w:t>新疆维吾尔自治区自然资源厅自助机查询系统查询结果显示，本项目与生态保护红线数据未发生重叠。</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②环境质量底线</w:t>
      </w:r>
    </w:p>
    <w:p>
      <w:pPr>
        <w:adjustRightInd w:val="0"/>
        <w:snapToGrid w:val="0"/>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zh-CN" w:eastAsia="zh-CN" w:bidi="ar-SA"/>
        </w:rPr>
        <w:t>根据</w:t>
      </w:r>
      <w:bookmarkStart w:id="45" w:name="_Hlk15402217"/>
      <w:r>
        <w:rPr>
          <w:rFonts w:hint="default" w:ascii="Times New Roman" w:hAnsi="Times New Roman" w:eastAsia="宋体" w:cs="Times New Roman"/>
          <w:i w:val="0"/>
          <w:caps w:val="0"/>
          <w:color w:val="auto"/>
          <w:spacing w:val="0"/>
          <w:kern w:val="0"/>
          <w:sz w:val="24"/>
          <w:szCs w:val="24"/>
          <w:lang w:val="zh-CN" w:eastAsia="zh-CN" w:bidi="ar-SA"/>
        </w:rPr>
        <w:t>《</w:t>
      </w:r>
      <w:r>
        <w:rPr>
          <w:rFonts w:hint="default" w:ascii="Times New Roman" w:hAnsi="Times New Roman" w:eastAsia="宋体" w:cs="Times New Roman"/>
          <w:i w:val="0"/>
          <w:caps w:val="0"/>
          <w:color w:val="auto"/>
          <w:spacing w:val="0"/>
          <w:kern w:val="0"/>
          <w:sz w:val="24"/>
          <w:szCs w:val="24"/>
          <w:lang w:val="en-US" w:eastAsia="zh-CN" w:bidi="ar-SA"/>
        </w:rPr>
        <w:t>环境专业知识服务系统</w:t>
      </w:r>
      <w:r>
        <w:rPr>
          <w:rFonts w:hint="default" w:ascii="Times New Roman" w:hAnsi="Times New Roman" w:eastAsia="宋体" w:cs="Times New Roman"/>
          <w:i w:val="0"/>
          <w:caps w:val="0"/>
          <w:color w:val="auto"/>
          <w:spacing w:val="0"/>
          <w:kern w:val="0"/>
          <w:sz w:val="24"/>
          <w:szCs w:val="24"/>
          <w:lang w:val="zh-CN" w:eastAsia="zh-CN" w:bidi="ar-SA"/>
        </w:rPr>
        <w:t>2</w:t>
      </w:r>
      <w:r>
        <w:rPr>
          <w:rFonts w:hint="default" w:ascii="Times New Roman" w:hAnsi="Times New Roman" w:eastAsia="宋体" w:cs="Times New Roman"/>
          <w:i w:val="0"/>
          <w:caps w:val="0"/>
          <w:color w:val="auto"/>
          <w:spacing w:val="0"/>
          <w:kern w:val="0"/>
          <w:sz w:val="24"/>
          <w:szCs w:val="24"/>
          <w:lang w:val="en-US" w:eastAsia="zh-CN" w:bidi="ar-SA"/>
        </w:rPr>
        <w:t>018年全年监控数据》可知</w:t>
      </w:r>
      <w:r>
        <w:rPr>
          <w:rFonts w:hint="eastAsia" w:ascii="Times New Roman" w:hAnsi="Times New Roman" w:eastAsia="宋体" w:cs="Times New Roman"/>
          <w:i w:val="0"/>
          <w:caps w:val="0"/>
          <w:color w:val="auto"/>
          <w:spacing w:val="0"/>
          <w:kern w:val="0"/>
          <w:sz w:val="24"/>
          <w:szCs w:val="24"/>
          <w:lang w:val="en-US" w:eastAsia="zh-CN" w:bidi="ar-SA"/>
        </w:rPr>
        <w:t>乌鲁木齐</w:t>
      </w:r>
      <w:r>
        <w:rPr>
          <w:rFonts w:hint="default" w:ascii="Times New Roman" w:hAnsi="Times New Roman" w:eastAsia="宋体" w:cs="Times New Roman"/>
          <w:i w:val="0"/>
          <w:caps w:val="0"/>
          <w:color w:val="auto"/>
          <w:spacing w:val="0"/>
          <w:kern w:val="0"/>
          <w:sz w:val="24"/>
          <w:szCs w:val="24"/>
          <w:lang w:val="en-US" w:eastAsia="zh-CN" w:bidi="ar-SA"/>
        </w:rPr>
        <w:t>市</w:t>
      </w:r>
      <w:r>
        <w:rPr>
          <w:rFonts w:hint="eastAsia" w:ascii="Times New Roman" w:hAnsi="Times New Roman" w:eastAsia="宋体" w:cs="Times New Roman"/>
          <w:i w:val="0"/>
          <w:caps w:val="0"/>
          <w:color w:val="auto"/>
          <w:spacing w:val="0"/>
          <w:kern w:val="0"/>
          <w:sz w:val="24"/>
          <w:szCs w:val="24"/>
          <w:lang w:val="en-US" w:eastAsia="zh-CN" w:bidi="ar-SA"/>
        </w:rPr>
        <w:t>各项监测因子</w:t>
      </w:r>
      <w:r>
        <w:rPr>
          <w:rFonts w:hint="default" w:ascii="Times New Roman" w:hAnsi="Times New Roman" w:eastAsia="宋体" w:cs="Times New Roman"/>
          <w:i w:val="0"/>
          <w:caps w:val="0"/>
          <w:color w:val="auto"/>
          <w:spacing w:val="0"/>
          <w:kern w:val="0"/>
          <w:sz w:val="24"/>
          <w:szCs w:val="24"/>
          <w:lang w:val="en-US" w:eastAsia="zh-CN" w:bidi="ar-SA"/>
        </w:rPr>
        <w:t>均符合《环境空气质量标准》（GB3095-2012）的二级标准要求，评价区域为达标区。</w:t>
      </w:r>
      <w:bookmarkEnd w:id="45"/>
      <w:r>
        <w:rPr>
          <w:rFonts w:hint="default" w:ascii="Times New Roman" w:hAnsi="Times New Roman" w:eastAsia="宋体" w:cs="Times New Roman"/>
          <w:i w:val="0"/>
          <w:caps w:val="0"/>
          <w:color w:val="auto"/>
          <w:spacing w:val="0"/>
          <w:kern w:val="0"/>
          <w:sz w:val="24"/>
          <w:szCs w:val="24"/>
          <w:lang w:val="en-US" w:eastAsia="zh-CN" w:bidi="ar-SA"/>
        </w:rPr>
        <w:t>本项目评价因子中的污染物PM10、PM2.5</w:t>
      </w:r>
      <w:r>
        <w:rPr>
          <w:rFonts w:hint="eastAsia" w:ascii="Times New Roman" w:hAnsi="Times New Roman" w:eastAsia="宋体" w:cs="Times New Roman"/>
          <w:i w:val="0"/>
          <w:caps w:val="0"/>
          <w:color w:val="auto"/>
          <w:spacing w:val="0"/>
          <w:kern w:val="0"/>
          <w:sz w:val="24"/>
          <w:szCs w:val="24"/>
          <w:lang w:val="en-US" w:eastAsia="zh-CN" w:bidi="ar-SA"/>
        </w:rPr>
        <w:t>、</w:t>
      </w:r>
      <w:r>
        <w:rPr>
          <w:rFonts w:hint="default" w:ascii="Times New Roman" w:hAnsi="Times New Roman" w:eastAsia="宋体" w:cs="Times New Roman"/>
          <w:i w:val="0"/>
          <w:caps w:val="0"/>
          <w:color w:val="auto"/>
          <w:spacing w:val="0"/>
          <w:kern w:val="0"/>
          <w:sz w:val="24"/>
          <w:szCs w:val="24"/>
          <w:lang w:val="en-US" w:eastAsia="zh-CN" w:bidi="ar-SA"/>
        </w:rPr>
        <w:t>非甲烷总烃、硫化氢、二硫化碳小时浓度分别符合《大气污染物综合排放标准详解》和《环境影响评价技术导则大气环境》（HJ2.2-2018）附录D表D.1其他污染物空气质量浓度参考限值要求。</w:t>
      </w:r>
    </w:p>
    <w:p>
      <w:pPr>
        <w:adjustRightInd w:val="0"/>
        <w:snapToGrid w:val="0"/>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本项目废气采用可靠有效的废气处理措施，对评价区环境影响较小；项目废水经</w:t>
      </w:r>
      <w:r>
        <w:rPr>
          <w:rFonts w:hint="eastAsia" w:ascii="Times New Roman" w:hAnsi="Times New Roman" w:eastAsia="宋体" w:cs="Times New Roman"/>
          <w:i w:val="0"/>
          <w:caps w:val="0"/>
          <w:color w:val="auto"/>
          <w:spacing w:val="0"/>
          <w:kern w:val="0"/>
          <w:sz w:val="24"/>
          <w:szCs w:val="24"/>
          <w:lang w:val="en-US" w:eastAsia="zh-CN" w:bidi="ar-SA"/>
        </w:rPr>
        <w:t>沉淀后回用</w:t>
      </w:r>
      <w:r>
        <w:rPr>
          <w:rFonts w:hint="default" w:ascii="Times New Roman" w:hAnsi="Times New Roman" w:eastAsia="宋体" w:cs="Times New Roman"/>
          <w:i w:val="0"/>
          <w:caps w:val="0"/>
          <w:color w:val="auto"/>
          <w:spacing w:val="0"/>
          <w:kern w:val="0"/>
          <w:sz w:val="24"/>
          <w:szCs w:val="24"/>
          <w:lang w:val="en-US" w:eastAsia="zh-CN" w:bidi="ar-SA"/>
        </w:rPr>
        <w:t>，不会对周边水环境造成不良影响；厂区内各类设备通过隔声、消声等措施降噪后，厂界噪声及敏感点噪声均能达标；固体废弃物全部合理处置不外排。因此，本项目的建设不会影响当地的环境功能，符合环境质量底线要求。</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③资源利用上线</w:t>
      </w:r>
    </w:p>
    <w:p>
      <w:pPr>
        <w:pStyle w:val="516"/>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拟建项目用地符合</w:t>
      </w:r>
      <w:r>
        <w:rPr>
          <w:rFonts w:hint="eastAsia" w:ascii="Times New Roman" w:hAnsi="Times New Roman" w:cs="Times New Roman"/>
          <w:i w:val="0"/>
          <w:caps w:val="0"/>
          <w:color w:val="auto"/>
          <w:spacing w:val="0"/>
          <w:kern w:val="0"/>
          <w:sz w:val="24"/>
          <w:szCs w:val="24"/>
          <w:lang w:val="en-US" w:eastAsia="zh-CN" w:bidi="ar-SA"/>
        </w:rPr>
        <w:t>乌鲁木齐市</w:t>
      </w:r>
      <w:r>
        <w:rPr>
          <w:rFonts w:hint="default" w:ascii="Times New Roman" w:hAnsi="Times New Roman" w:eastAsia="宋体" w:cs="Times New Roman"/>
          <w:i w:val="0"/>
          <w:caps w:val="0"/>
          <w:color w:val="auto"/>
          <w:spacing w:val="0"/>
          <w:kern w:val="0"/>
          <w:sz w:val="24"/>
          <w:szCs w:val="24"/>
          <w:lang w:val="en-US" w:eastAsia="zh-CN" w:bidi="ar-SA"/>
        </w:rPr>
        <w:t>土地利用规划，未突破</w:t>
      </w:r>
      <w:r>
        <w:rPr>
          <w:rFonts w:hint="eastAsia" w:ascii="Times New Roman" w:hAnsi="Times New Roman" w:cs="Times New Roman"/>
          <w:i w:val="0"/>
          <w:caps w:val="0"/>
          <w:color w:val="auto"/>
          <w:spacing w:val="0"/>
          <w:kern w:val="0"/>
          <w:sz w:val="24"/>
          <w:szCs w:val="24"/>
          <w:lang w:val="en-US" w:eastAsia="zh-CN" w:bidi="ar-SA"/>
        </w:rPr>
        <w:t>乌鲁木齐市</w:t>
      </w:r>
      <w:r>
        <w:rPr>
          <w:rFonts w:hint="default" w:ascii="Times New Roman" w:hAnsi="Times New Roman" w:eastAsia="宋体" w:cs="Times New Roman"/>
          <w:i w:val="0"/>
          <w:caps w:val="0"/>
          <w:color w:val="auto"/>
          <w:spacing w:val="0"/>
          <w:kern w:val="0"/>
          <w:sz w:val="24"/>
          <w:szCs w:val="24"/>
          <w:lang w:val="en-US" w:eastAsia="zh-CN" w:bidi="ar-SA"/>
        </w:rPr>
        <w:t>区土地资源总量上限的要求。建设项目给水由</w:t>
      </w:r>
      <w:r>
        <w:rPr>
          <w:rFonts w:hint="eastAsia" w:ascii="Times New Roman" w:hAnsi="Times New Roman" w:cs="Times New Roman"/>
          <w:i w:val="0"/>
          <w:caps w:val="0"/>
          <w:color w:val="auto"/>
          <w:spacing w:val="0"/>
          <w:kern w:val="0"/>
          <w:sz w:val="24"/>
          <w:szCs w:val="24"/>
          <w:lang w:val="en-US" w:eastAsia="zh-CN" w:bidi="ar-SA"/>
        </w:rPr>
        <w:t>当地</w:t>
      </w:r>
      <w:r>
        <w:rPr>
          <w:rFonts w:hint="default" w:ascii="Times New Roman" w:hAnsi="Times New Roman" w:eastAsia="宋体" w:cs="Times New Roman"/>
          <w:i w:val="0"/>
          <w:caps w:val="0"/>
          <w:color w:val="auto"/>
          <w:spacing w:val="0"/>
          <w:kern w:val="0"/>
          <w:sz w:val="24"/>
          <w:szCs w:val="24"/>
          <w:lang w:val="en-US" w:eastAsia="zh-CN" w:bidi="ar-SA"/>
        </w:rPr>
        <w:t>统一供给，供水能力满足本项目新鲜水使用要求。因此，项目建设不超过区域资源上线要求。</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④环境准入负面清单</w:t>
      </w:r>
    </w:p>
    <w:p>
      <w:pPr>
        <w:spacing w:line="360" w:lineRule="auto"/>
        <w:ind w:firstLine="480"/>
        <w:rPr>
          <w:rFonts w:hint="default" w:ascii="Times New Roman" w:hAnsi="Times New Roman" w:eastAsia="宋体" w:cs="Times New Roman"/>
          <w:i w:val="0"/>
          <w:caps w:val="0"/>
          <w:color w:val="auto"/>
          <w:spacing w:val="0"/>
          <w:kern w:val="0"/>
          <w:sz w:val="24"/>
          <w:szCs w:val="24"/>
          <w:lang w:val="en-US" w:eastAsia="zh-CN" w:bidi="ar-SA"/>
        </w:rPr>
      </w:pPr>
      <w:r>
        <w:rPr>
          <w:rFonts w:hint="default" w:ascii="Times New Roman" w:hAnsi="Times New Roman" w:eastAsia="宋体" w:cs="Times New Roman"/>
          <w:i w:val="0"/>
          <w:caps w:val="0"/>
          <w:color w:val="auto"/>
          <w:spacing w:val="0"/>
          <w:kern w:val="0"/>
          <w:sz w:val="24"/>
          <w:szCs w:val="24"/>
          <w:lang w:val="en-US" w:eastAsia="zh-CN" w:bidi="ar-SA"/>
        </w:rPr>
        <w:t>本项目工艺废气中污染物主要为粉尘，经</w:t>
      </w:r>
      <w:r>
        <w:rPr>
          <w:rFonts w:hint="eastAsia" w:ascii="Times New Roman" w:hAnsi="Times New Roman" w:eastAsia="宋体" w:cs="Times New Roman"/>
          <w:i w:val="0"/>
          <w:caps w:val="0"/>
          <w:color w:val="auto"/>
          <w:spacing w:val="0"/>
          <w:kern w:val="0"/>
          <w:sz w:val="24"/>
          <w:szCs w:val="24"/>
          <w:lang w:val="en-US" w:eastAsia="zh-CN" w:bidi="ar-SA"/>
        </w:rPr>
        <w:t>洒水</w:t>
      </w:r>
      <w:r>
        <w:rPr>
          <w:rFonts w:hint="default" w:ascii="Times New Roman" w:hAnsi="Times New Roman" w:eastAsia="宋体" w:cs="Times New Roman"/>
          <w:i w:val="0"/>
          <w:caps w:val="0"/>
          <w:color w:val="auto"/>
          <w:spacing w:val="0"/>
          <w:kern w:val="0"/>
          <w:sz w:val="24"/>
          <w:szCs w:val="24"/>
          <w:lang w:val="en-US" w:eastAsia="zh-CN" w:bidi="ar-SA"/>
        </w:rPr>
        <w:t>方式进行削减，在采取了相关环境保护措施的基础上，可达标排放。项目从设备、原辅材料选择、工艺过程末端污染物达标控制方面均具有较为成熟的技术。三废排放均可满足符合国家和地区的产业政策，本身属于鼓励类项目，其建设不违背地方生态保护、环境质量、资源利用和相关环境准入的要求，达到开展环境影响评价的基本工作要求。</w:t>
      </w:r>
    </w:p>
    <w:p>
      <w:pPr>
        <w:pStyle w:val="4"/>
        <w:spacing w:line="360" w:lineRule="auto"/>
        <w:ind w:left="0" w:firstLine="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关注的主要环境问题</w:t>
      </w:r>
      <w:bookmarkEnd w:id="39"/>
      <w:bookmarkEnd w:id="40"/>
      <w:bookmarkEnd w:id="41"/>
      <w:bookmarkEnd w:id="42"/>
      <w:bookmarkEnd w:id="43"/>
      <w:bookmarkEnd w:id="44"/>
    </w:p>
    <w:p>
      <w:pPr>
        <w:spacing w:line="360" w:lineRule="auto"/>
        <w:ind w:firstLine="480" w:firstLineChars="200"/>
        <w:rPr>
          <w:rFonts w:hint="default" w:ascii="Times New Roman" w:hAnsi="Times New Roman" w:cs="Times New Roman"/>
          <w:color w:val="auto"/>
          <w:kern w:val="0"/>
          <w:sz w:val="24"/>
        </w:rPr>
      </w:pPr>
      <w:bookmarkStart w:id="46" w:name="_Toc12194_WPSOffice_Level2"/>
      <w:bookmarkStart w:id="47" w:name="_Toc7998942"/>
      <w:r>
        <w:rPr>
          <w:rFonts w:hint="default" w:ascii="Times New Roman" w:hAnsi="Times New Roman" w:cs="Times New Roman"/>
          <w:color w:val="auto"/>
          <w:kern w:val="0"/>
          <w:sz w:val="24"/>
        </w:rPr>
        <w:t>本项目属于铜矿开采工程，关注的主要环境问题为项目占地产生的景观与生</w:t>
      </w:r>
    </w:p>
    <w:p>
      <w:pPr>
        <w:spacing w:line="360" w:lineRule="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态环境问题，地面产生的无组织扬尘，生产机械和运输车辆噪声，矿井涌水，生活污水，生活垃圾等。</w:t>
      </w:r>
    </w:p>
    <w:p>
      <w:pPr>
        <w:pStyle w:val="4"/>
        <w:spacing w:line="360" w:lineRule="auto"/>
        <w:ind w:left="0" w:firstLine="0"/>
        <w:jc w:val="both"/>
        <w:rPr>
          <w:rFonts w:hint="default" w:ascii="Times New Roman" w:hAnsi="Times New Roman" w:cs="Times New Roman"/>
          <w:color w:val="auto"/>
          <w:sz w:val="28"/>
          <w:szCs w:val="28"/>
        </w:rPr>
      </w:pPr>
      <w:bookmarkStart w:id="48" w:name="_Toc17709334"/>
      <w:bookmarkStart w:id="49" w:name="_Toc8836348"/>
      <w:bookmarkStart w:id="50" w:name="_Toc17709275"/>
      <w:bookmarkStart w:id="51" w:name="_Toc19850_WPSOffice_Level1"/>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环评主要结论</w:t>
      </w:r>
      <w:bookmarkEnd w:id="46"/>
      <w:bookmarkEnd w:id="47"/>
      <w:bookmarkEnd w:id="48"/>
      <w:bookmarkEnd w:id="49"/>
      <w:bookmarkEnd w:id="50"/>
      <w:bookmarkEnd w:id="5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铜矿开采类项目，工艺选择符合清洁生产要求；项目产生的各类污染物均采取了有效的防治措施，可达标排放并符合污染物总量控制要求，经预测拟建项目投产后不会对周围环境产生明显影响；项目建设过程中认真落实环境保护“三同时”，严格落实设计和环评报告提出的污染防治措施和环境保护措施，并加强环保设施的运行维护和管理，保证各种环保设施的正常运行和污染物达标排放。在落实并保证以上条件实施的前提下，从环保角度分析，该项目的建设是可行的。</w:t>
      </w:r>
    </w:p>
    <w:p>
      <w:pPr>
        <w:pageBreakBefore/>
        <w:spacing w:line="360" w:lineRule="auto"/>
        <w:jc w:val="center"/>
        <w:outlineLvl w:val="0"/>
        <w:rPr>
          <w:rFonts w:hint="default" w:ascii="Times New Roman" w:hAnsi="Times New Roman" w:cs="Times New Roman"/>
          <w:b/>
          <w:color w:val="auto"/>
          <w:sz w:val="30"/>
          <w:szCs w:val="30"/>
        </w:rPr>
      </w:pPr>
      <w:bookmarkStart w:id="52" w:name="_Toc26477"/>
      <w:bookmarkStart w:id="53" w:name="_Toc2256"/>
      <w:bookmarkStart w:id="54" w:name="_Toc25509"/>
      <w:bookmarkStart w:id="55" w:name="_Toc6853"/>
      <w:bookmarkStart w:id="56" w:name="_Toc28064"/>
      <w:bookmarkStart w:id="57" w:name="_Toc14472_WPSOffice_Level1"/>
      <w:bookmarkStart w:id="58" w:name="_Toc7998943"/>
      <w:bookmarkStart w:id="59" w:name="_Toc7999153"/>
      <w:bookmarkStart w:id="60" w:name="_Toc7671_WPSOffice_Level2"/>
      <w:bookmarkStart w:id="61" w:name="_Toc8836349"/>
      <w:bookmarkStart w:id="62" w:name="_Toc17709276"/>
      <w:bookmarkStart w:id="63" w:name="_Toc17709335"/>
      <w:r>
        <w:rPr>
          <w:rFonts w:hint="default" w:ascii="Times New Roman" w:hAnsi="Times New Roman" w:cs="Times New Roman"/>
          <w:b/>
          <w:color w:val="auto"/>
          <w:sz w:val="30"/>
          <w:szCs w:val="30"/>
        </w:rPr>
        <w:t xml:space="preserve">2  </w:t>
      </w:r>
      <w:bookmarkEnd w:id="2"/>
      <w:bookmarkEnd w:id="3"/>
      <w:bookmarkEnd w:id="4"/>
      <w:bookmarkEnd w:id="5"/>
      <w:bookmarkEnd w:id="6"/>
      <w:bookmarkEnd w:id="7"/>
      <w:bookmarkEnd w:id="8"/>
      <w:bookmarkEnd w:id="9"/>
      <w:bookmarkEnd w:id="10"/>
      <w:bookmarkEnd w:id="11"/>
      <w:bookmarkEnd w:id="12"/>
      <w:bookmarkEnd w:id="13"/>
      <w:bookmarkEnd w:id="14"/>
      <w:bookmarkEnd w:id="52"/>
      <w:bookmarkEnd w:id="53"/>
      <w:r>
        <w:rPr>
          <w:rFonts w:hint="default" w:ascii="Times New Roman" w:hAnsi="Times New Roman" w:cs="Times New Roman"/>
          <w:b/>
          <w:color w:val="auto"/>
          <w:sz w:val="30"/>
          <w:szCs w:val="30"/>
        </w:rPr>
        <w:t>总则</w:t>
      </w:r>
      <w:bookmarkEnd w:id="54"/>
      <w:bookmarkEnd w:id="55"/>
      <w:bookmarkEnd w:id="56"/>
      <w:bookmarkEnd w:id="57"/>
      <w:bookmarkEnd w:id="58"/>
      <w:bookmarkEnd w:id="59"/>
      <w:bookmarkEnd w:id="60"/>
      <w:bookmarkEnd w:id="61"/>
      <w:bookmarkEnd w:id="62"/>
      <w:bookmarkEnd w:id="63"/>
    </w:p>
    <w:p>
      <w:pPr>
        <w:pStyle w:val="4"/>
        <w:spacing w:line="360" w:lineRule="auto"/>
        <w:ind w:left="0" w:firstLine="0"/>
        <w:jc w:val="both"/>
        <w:rPr>
          <w:rFonts w:hint="default" w:ascii="Times New Roman" w:hAnsi="Times New Roman" w:cs="Times New Roman"/>
          <w:color w:val="auto"/>
          <w:sz w:val="28"/>
          <w:szCs w:val="28"/>
        </w:rPr>
      </w:pPr>
      <w:bookmarkStart w:id="64" w:name="_Toc24227_WPSOffice_Level2"/>
      <w:bookmarkStart w:id="65" w:name="_Toc7998944"/>
      <w:bookmarkStart w:id="66" w:name="_Toc8836350"/>
      <w:bookmarkStart w:id="67" w:name="_Toc17709277"/>
      <w:bookmarkStart w:id="68" w:name="_Toc17709336"/>
      <w:r>
        <w:rPr>
          <w:rFonts w:hint="default" w:ascii="Times New Roman" w:hAnsi="Times New Roman" w:cs="Times New Roman"/>
          <w:color w:val="auto"/>
          <w:sz w:val="28"/>
          <w:szCs w:val="28"/>
        </w:rPr>
        <w:t>2.1评价目的与原则</w:t>
      </w:r>
      <w:bookmarkEnd w:id="64"/>
      <w:bookmarkEnd w:id="65"/>
      <w:bookmarkEnd w:id="66"/>
      <w:bookmarkEnd w:id="67"/>
      <w:bookmarkEnd w:id="68"/>
    </w:p>
    <w:p>
      <w:pPr>
        <w:pStyle w:val="5"/>
        <w:keepLines w:val="0"/>
        <w:spacing w:before="0" w:after="0" w:line="360" w:lineRule="auto"/>
        <w:rPr>
          <w:rFonts w:hint="default" w:ascii="Times New Roman" w:hAnsi="Times New Roman" w:cs="Times New Roman"/>
          <w:bCs w:val="0"/>
          <w:color w:val="auto"/>
          <w:sz w:val="24"/>
          <w:szCs w:val="24"/>
        </w:rPr>
      </w:pPr>
      <w:bookmarkStart w:id="69" w:name="_Toc7998945"/>
      <w:bookmarkStart w:id="70" w:name="_Toc17709337"/>
      <w:r>
        <w:rPr>
          <w:rFonts w:hint="default" w:ascii="Times New Roman" w:hAnsi="Times New Roman" w:cs="Times New Roman"/>
          <w:bCs w:val="0"/>
          <w:color w:val="auto"/>
          <w:sz w:val="24"/>
          <w:szCs w:val="24"/>
        </w:rPr>
        <w:t>2.1.1评价目的</w:t>
      </w:r>
      <w:bookmarkEnd w:id="69"/>
      <w:bookmarkEnd w:id="70"/>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（1）通过现状调查、资料收集及环境监测，评价建设项目所在区域的环境质量背景状况和主要环境问题；</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通过详细的工程分析，明确建设项目的主要环境影响，筛选对环境造成影响的因子，尤其关注建设项目产生的特征污染因子。并通过类比调查、物料衡算，核算污染源源强，预测项目建设对环境影响的程度与范围；</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（3）从工艺着手，分析生产工艺、生产设备及原辅材料的消耗，掌握主要污染源及排放状况。通过分析和计算，预测污染物排放对周围环境的影响程度，判断其是否满足环境质量标准和总量控制要求；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（4）根据建设项目的排污特点，通过类比调查与分析，从技术、经济角度分析拟采取的环保措施的可行性，为工程环保措施的设计和环境管理提供依据；</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（5）从环保法规、产业政策、环境特点、污染防治等方面进行综合分析，对建设项目的环境可行性做出明确结论。</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通过对建设项目环境影响的评价，使项目建设及生产运行所产生的经济和社会效益得到充分的发挥，对环境产生的负面影响减至最小，实现环境、社会和经济协调发展的目的。</w:t>
      </w:r>
    </w:p>
    <w:p>
      <w:pPr>
        <w:pStyle w:val="5"/>
        <w:keepLines w:val="0"/>
        <w:spacing w:before="0" w:after="0" w:line="360" w:lineRule="auto"/>
        <w:rPr>
          <w:rFonts w:hint="default" w:ascii="Times New Roman" w:hAnsi="Times New Roman" w:cs="Times New Roman"/>
          <w:bCs w:val="0"/>
          <w:color w:val="auto"/>
          <w:sz w:val="24"/>
          <w:szCs w:val="24"/>
        </w:rPr>
      </w:pPr>
      <w:bookmarkStart w:id="71" w:name="_Toc7998946"/>
      <w:bookmarkStart w:id="72" w:name="_Toc17709338"/>
      <w:r>
        <w:rPr>
          <w:rFonts w:hint="default" w:ascii="Times New Roman" w:hAnsi="Times New Roman" w:cs="Times New Roman"/>
          <w:bCs w:val="0"/>
          <w:color w:val="auto"/>
          <w:sz w:val="24"/>
          <w:szCs w:val="24"/>
        </w:rPr>
        <w:t>2.2.2评价原则</w:t>
      </w:r>
      <w:bookmarkEnd w:id="71"/>
      <w:bookmarkEnd w:id="72"/>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按照以人为本、建设资源节约型、环境友好型社会和科学发展的要求，遵循以下原则开展环境影响评价工作：</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bookmarkStart w:id="73" w:name="_Toc32650"/>
      <w:bookmarkStart w:id="74" w:name="_Toc21189"/>
      <w:r>
        <w:rPr>
          <w:rFonts w:hint="default" w:ascii="Times New Roman" w:hAnsi="Times New Roman" w:cs="Times New Roman"/>
          <w:color w:val="auto"/>
          <w:kern w:val="0"/>
          <w:sz w:val="24"/>
        </w:rPr>
        <w:t>（1）依法评价原则</w:t>
      </w:r>
      <w:bookmarkEnd w:id="73"/>
      <w:bookmarkEnd w:id="74"/>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本项目尤其需关注项目建设是否符合国家矿山开采的相关规范要求。</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bookmarkStart w:id="75" w:name="_Toc26528"/>
      <w:bookmarkStart w:id="76" w:name="_Toc11862"/>
      <w:r>
        <w:rPr>
          <w:rFonts w:hint="default" w:ascii="Times New Roman" w:hAnsi="Times New Roman" w:cs="Times New Roman"/>
          <w:color w:val="auto"/>
          <w:kern w:val="0"/>
          <w:sz w:val="24"/>
        </w:rPr>
        <w:t>（2）科学评价原则</w:t>
      </w:r>
      <w:bookmarkEnd w:id="75"/>
      <w:bookmarkEnd w:id="76"/>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选择合理、科学的环境影响评价方法，通过选择适用于本项目的评价方法分析项目建设对环境质量的影响。</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bookmarkStart w:id="77" w:name="_Toc19590"/>
      <w:bookmarkStart w:id="78" w:name="_Toc12876"/>
      <w:r>
        <w:rPr>
          <w:rFonts w:hint="default" w:ascii="Times New Roman" w:hAnsi="Times New Roman" w:cs="Times New Roman"/>
          <w:color w:val="auto"/>
          <w:kern w:val="0"/>
          <w:sz w:val="24"/>
        </w:rPr>
        <w:t>（3）突出重点原则</w:t>
      </w:r>
      <w:bookmarkEnd w:id="77"/>
      <w:bookmarkEnd w:id="78"/>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spacing w:line="360" w:lineRule="auto"/>
        <w:ind w:left="0" w:firstLine="0"/>
        <w:jc w:val="both"/>
        <w:rPr>
          <w:rFonts w:hint="default" w:ascii="Times New Roman" w:hAnsi="Times New Roman" w:cs="Times New Roman"/>
          <w:color w:val="auto"/>
          <w:sz w:val="28"/>
          <w:szCs w:val="28"/>
        </w:rPr>
      </w:pPr>
      <w:bookmarkStart w:id="79" w:name="_Toc6755"/>
      <w:bookmarkStart w:id="80" w:name="_Toc29956"/>
      <w:bookmarkStart w:id="81" w:name="_Toc29247"/>
      <w:bookmarkStart w:id="82" w:name="_Toc2976"/>
      <w:bookmarkStart w:id="83" w:name="_Toc5660_WPSOffice_Level2"/>
      <w:bookmarkStart w:id="84" w:name="_Toc7998947"/>
      <w:bookmarkStart w:id="85" w:name="_Toc8836351"/>
      <w:bookmarkStart w:id="86" w:name="_Toc17709278"/>
      <w:bookmarkStart w:id="87" w:name="_Toc17709339"/>
      <w:bookmarkStart w:id="88" w:name="_Toc153689538"/>
      <w:bookmarkStart w:id="89" w:name="_Toc170869042"/>
      <w:bookmarkStart w:id="90" w:name="_Toc245882728"/>
      <w:bookmarkStart w:id="91" w:name="_Toc172698640"/>
      <w:bookmarkStart w:id="92" w:name="_Toc179653251"/>
      <w:bookmarkStart w:id="93" w:name="_Toc187800011"/>
      <w:bookmarkStart w:id="94" w:name="_Toc19175"/>
      <w:bookmarkStart w:id="95" w:name="_Toc170970638"/>
      <w:bookmarkStart w:id="96" w:name="_Toc32514"/>
      <w:bookmarkStart w:id="97" w:name="_Toc149680549"/>
      <w:bookmarkStart w:id="98" w:name="_Toc180891750"/>
      <w:bookmarkStart w:id="99" w:name="_Toc164774362"/>
      <w:bookmarkStart w:id="100" w:name="_Toc149680786"/>
      <w:bookmarkStart w:id="101" w:name="_Toc168317183"/>
      <w:bookmarkStart w:id="102" w:name="_Toc179522792"/>
      <w:r>
        <w:rPr>
          <w:rFonts w:hint="default" w:ascii="Times New Roman" w:hAnsi="Times New Roman" w:cs="Times New Roman"/>
          <w:color w:val="auto"/>
          <w:sz w:val="28"/>
          <w:szCs w:val="28"/>
        </w:rPr>
        <w:t>2.</w:t>
      </w:r>
      <w:bookmarkEnd w:id="79"/>
      <w:bookmarkEnd w:id="80"/>
      <w:bookmarkEnd w:id="81"/>
      <w:bookmarkEnd w:id="82"/>
      <w:r>
        <w:rPr>
          <w:rFonts w:hint="default" w:ascii="Times New Roman" w:hAnsi="Times New Roman" w:cs="Times New Roman"/>
          <w:color w:val="auto"/>
          <w:sz w:val="28"/>
          <w:szCs w:val="28"/>
        </w:rPr>
        <w:t>2评价依据</w:t>
      </w:r>
      <w:bookmarkEnd w:id="83"/>
      <w:bookmarkEnd w:id="84"/>
      <w:bookmarkEnd w:id="85"/>
      <w:bookmarkEnd w:id="86"/>
      <w:bookmarkEnd w:id="87"/>
    </w:p>
    <w:p>
      <w:pPr>
        <w:pStyle w:val="5"/>
        <w:keepLines w:val="0"/>
        <w:spacing w:before="0" w:after="0" w:line="360" w:lineRule="auto"/>
        <w:rPr>
          <w:rFonts w:hint="default" w:ascii="Times New Roman" w:hAnsi="Times New Roman" w:cs="Times New Roman"/>
          <w:color w:val="auto"/>
          <w:sz w:val="24"/>
          <w:szCs w:val="24"/>
        </w:rPr>
      </w:pPr>
      <w:bookmarkStart w:id="103" w:name="_Toc14928"/>
      <w:bookmarkStart w:id="104" w:name="_Toc5523"/>
      <w:bookmarkStart w:id="105" w:name="_Toc27444"/>
      <w:bookmarkStart w:id="106" w:name="_Toc10181"/>
      <w:bookmarkStart w:id="107" w:name="_Toc7998948"/>
      <w:bookmarkStart w:id="108" w:name="_Toc17709340"/>
      <w:r>
        <w:rPr>
          <w:rFonts w:hint="default" w:ascii="Times New Roman" w:hAnsi="Times New Roman" w:cs="Times New Roman"/>
          <w:color w:val="auto"/>
          <w:sz w:val="24"/>
          <w:szCs w:val="24"/>
        </w:rPr>
        <w:t>2.2.1法律法规</w:t>
      </w:r>
      <w:bookmarkEnd w:id="103"/>
      <w:bookmarkEnd w:id="104"/>
      <w:bookmarkEnd w:id="105"/>
      <w:r>
        <w:rPr>
          <w:rFonts w:hint="default" w:ascii="Times New Roman" w:hAnsi="Times New Roman" w:cs="Times New Roman"/>
          <w:color w:val="auto"/>
          <w:sz w:val="24"/>
          <w:szCs w:val="24"/>
        </w:rPr>
        <w:t>及</w:t>
      </w:r>
      <w:bookmarkEnd w:id="106"/>
      <w:r>
        <w:rPr>
          <w:rFonts w:hint="default" w:ascii="Times New Roman" w:hAnsi="Times New Roman" w:cs="Times New Roman"/>
          <w:color w:val="auto"/>
          <w:sz w:val="24"/>
          <w:szCs w:val="24"/>
        </w:rPr>
        <w:t>条例</w:t>
      </w:r>
      <w:bookmarkEnd w:id="107"/>
      <w:bookmarkEnd w:id="108"/>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（1）《中华人民共和国环境保护法》（2015.1.1）；</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（2）《中华人民共和国环境影响评价法》（2018.12.29）；</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（3）《中华人民共和国大气污染防治法》（2016.1.1）；</w:t>
      </w:r>
    </w:p>
    <w:p>
      <w:pPr>
        <w:spacing w:line="360" w:lineRule="auto"/>
        <w:ind w:firstLine="480" w:firstLineChars="200"/>
        <w:rPr>
          <w:rFonts w:hint="default" w:ascii="Times New Roman" w:hAnsi="Times New Roman" w:cs="Times New Roman"/>
          <w:color w:val="auto"/>
          <w:sz w:val="24"/>
        </w:rPr>
      </w:pPr>
      <w:bookmarkStart w:id="109" w:name="_Toc25944"/>
      <w:r>
        <w:rPr>
          <w:rFonts w:hint="default" w:ascii="Times New Roman" w:hAnsi="Times New Roman" w:cs="Times New Roman"/>
          <w:color w:val="auto"/>
          <w:sz w:val="24"/>
        </w:rPr>
        <w:t>（4）《中华人民共和国水污染防治法（2017 修）》，2018.1.1；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（5）《中华人民共和国固体废物环境污染防治法》，2016.11.7；</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（6）《中华人民共和国环境噪声污染防治法》，2018.12.29；</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（7）《中华人民共和国循环经济促进法》，2009.1.1；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（8）《中华人民共和国节约能源法》，2016.9.1；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（9）《中华人民共和国水土保持法》，2011.3.1；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（10）《中华人民共和国清洁生产促进法》，2012.7.1；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（11）《建设项目环境保护管理条例》，国务院令 682 号，2017.10.1；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（12）关于修改《建设项目环境影响评价分类管理名录》部分内容的决定，</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生态环境部令第 1 号，2018.4.28；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（13）《关于切实加强风险防范严格环境影响评价管理的通知》，环保部，环发[2012]98 号，2012.8.7；</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（14）《关于进一步加强环境影响评价管理防范环境风险的通知》，环保部，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环发[2012]77 号；                                                                                                                                                                                                                                                                                                                                                                                                                                                                                                                                                                                                                                                                                                                                                                                                                                                                                                                                                                                                                                                                                                                                                                                                                                                                                                                                                                                                                                                                                                             </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（15）《环境影响评价公众参与办法》，生态环境部令第 4 号，2019.1.1；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（16）《关于进一步加强环境保护信息公开工作的通知》，环保部办公厅，环办[2012]134 号，2012.10.30；</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（17）《产业结构调整指导目录（201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 xml:space="preserve"> 年本）》，（</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"http://www.gov.cn/flfg/2011-04/26/content_1852729.htm" \t "_blank"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国家发改委令2019年1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月1日）；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（18）《关于进一步加强工业节水工作的意见》，工信部节[2010]218 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2010.5.4；</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（19）《突发环境事件应急管理办法》，环保部令第 34 号，2015.6.5；</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（20）关于发布《一般工业固体废物贮存、处置场污染控制标准》（GB18599-2001）等3项国家污染物控制标准修改单的公告，环境保护部公告  2013年第36号，2013.6.8；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（21）国务院关于印发大气污染防治行动计划的通知，国发[2013]37号，2013.9.10；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（21）国务院关于印发水污染防治行动计划的通知，国发[2015]17 号，2015.4.2；</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（22）国务院关于印发土壤污染防治行动计划的通知，国发[2016]31 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（23）《关于印发《企业事业单位突发环境事件应急预案备案管理办法（试行）》的通知》，环发[2015]4 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（24）《关于落实大气污染防治行动计划严格环境影响评价准入的通知》，环保部环办[2014]30 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（24）中共中央办公厅、国务院办公厅印发《关于划定并严守生态保护红线的若干意见》；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（26）《关于以改善环境质量为核心加强环境影响评价管理的通知》，环环评[2016]150号，2016.10.27；</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（27）《建设项目环境影响评价信息公开机制方案》（环发[2015]162号）；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（28）《控制污染物排放许可制实施方案》（国办发[2016]81 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（29）《关于逐步建立矿山环境治理和生态恢复责任机制的指导意见》（财政部 国土资源部 原环保总局，2006 年2月10日）；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（30） 《关于加强资源开发生态环境保护监管工作的意见》 （环发[2004]24 号，2004 年2月12日）；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（31）《工矿用地土壤环境管理办法（试行）》 （部令第3号，2018 年8月1日）；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（31）《矿山生态环境保护与污染防治技术政策》（环发[2005]109号，2005</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年9月7日）。</w:t>
      </w:r>
    </w:p>
    <w:p>
      <w:pPr>
        <w:pStyle w:val="5"/>
        <w:keepLines w:val="0"/>
        <w:spacing w:before="0" w:after="0" w:line="360" w:lineRule="auto"/>
        <w:rPr>
          <w:rFonts w:hint="default" w:ascii="Times New Roman" w:hAnsi="Times New Roman" w:cs="Times New Roman"/>
          <w:color w:val="auto"/>
          <w:sz w:val="24"/>
          <w:szCs w:val="24"/>
        </w:rPr>
      </w:pPr>
      <w:bookmarkStart w:id="110" w:name="_Toc7998949"/>
      <w:bookmarkStart w:id="111" w:name="_Toc17709341"/>
      <w:r>
        <w:rPr>
          <w:rFonts w:hint="default" w:ascii="Times New Roman" w:hAnsi="Times New Roman" w:cs="Times New Roman"/>
          <w:color w:val="auto"/>
          <w:sz w:val="24"/>
          <w:szCs w:val="24"/>
        </w:rPr>
        <w:t>2.2.2</w:t>
      </w:r>
      <w:bookmarkEnd w:id="109"/>
      <w:r>
        <w:rPr>
          <w:rFonts w:hint="default" w:ascii="Times New Roman" w:hAnsi="Times New Roman" w:cs="Times New Roman"/>
          <w:color w:val="auto"/>
          <w:sz w:val="24"/>
          <w:szCs w:val="24"/>
        </w:rPr>
        <w:t>地方有关环保法律法规</w:t>
      </w:r>
      <w:bookmarkEnd w:id="110"/>
      <w:bookmarkEnd w:id="111"/>
    </w:p>
    <w:p>
      <w:pPr>
        <w:spacing w:line="360" w:lineRule="auto"/>
        <w:ind w:firstLine="480" w:firstLineChars="200"/>
        <w:rPr>
          <w:rFonts w:hint="default" w:ascii="Times New Roman" w:hAnsi="Times New Roman" w:cs="Times New Roman"/>
          <w:color w:val="auto"/>
          <w:sz w:val="24"/>
        </w:rPr>
      </w:pPr>
      <w:bookmarkStart w:id="112" w:name="_Toc29577"/>
      <w:bookmarkStart w:id="113" w:name="_Toc6109"/>
      <w:bookmarkStart w:id="114" w:name="_Toc19033"/>
      <w:bookmarkStart w:id="115" w:name="_Toc3332"/>
      <w:r>
        <w:rPr>
          <w:rFonts w:hint="default" w:ascii="Times New Roman" w:hAnsi="Times New Roman" w:cs="Times New Roman"/>
          <w:color w:val="auto"/>
          <w:sz w:val="24"/>
        </w:rPr>
        <w:t>（1）《新疆维吾尔自治区环境保护条例（2016 修）》，2017.1.1；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（2）《新疆维吾尔自治区重点行业环境准入条件（修订）》（新疆维吾尔自治区环境保护厅，2017 年1月）；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（3）关于印发《新疆工业和信息化领域承接产业转移指导目录（2011年本）》（试行）的通知，新经信产业[2011]247号；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（4）《新疆维吾尔自治区突发环境事件应急预案编制导则（试行）》，[2014]234号，2014.6.12；</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（5）《新疆维吾尔自治区人民政府关于全疆水土流失重点预防保护区、重点监督区、重点治理区划分的公告》，新疆维吾尔自治区人民政府，2000.10.31；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（6）《关于印发新疆维吾尔自治区大气污染防治行动计划实施方案的通知》，新政发[2014]35号，2014.4.17；</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（7）《关于印发新疆维吾尔自治区水污染防治工作方案的通知》，新政发[2016]21号，2016.2.4；</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（8）《关于印发新疆维吾尔自治区土壤污染防治工作方案的通知》，新政发[2017]25号，2017.3.1；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（9）《关于进一步做好矿产资源开发环境影响评价工作的通知》，新环自发[2006]7号，2006.1；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（10）《新疆维吾尔自治区建设项目环境影响评价公众参与管理规定（试行）》，2013.10.23；</w:t>
      </w:r>
    </w:p>
    <w:p>
      <w:pPr>
        <w:pStyle w:val="5"/>
        <w:keepLines w:val="0"/>
        <w:spacing w:before="0" w:after="0" w:line="360" w:lineRule="auto"/>
        <w:rPr>
          <w:rFonts w:hint="default" w:ascii="Times New Roman" w:hAnsi="Times New Roman" w:cs="Times New Roman"/>
          <w:bCs w:val="0"/>
          <w:color w:val="auto"/>
          <w:sz w:val="24"/>
          <w:szCs w:val="24"/>
        </w:rPr>
      </w:pPr>
      <w:bookmarkStart w:id="116" w:name="_Toc7998950"/>
      <w:bookmarkStart w:id="117" w:name="_Toc17709342"/>
      <w:r>
        <w:rPr>
          <w:rFonts w:hint="default" w:ascii="Times New Roman" w:hAnsi="Times New Roman" w:cs="Times New Roman"/>
          <w:bCs w:val="0"/>
          <w:color w:val="auto"/>
          <w:sz w:val="24"/>
          <w:szCs w:val="24"/>
        </w:rPr>
        <w:t>2.2.3相关规划</w:t>
      </w:r>
      <w:bookmarkEnd w:id="116"/>
      <w:bookmarkEnd w:id="11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（1）《新疆维吾尔自治区水环境功能区划》新疆自治区人民政府，新政[2002]194号文，2002.11.16；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（2）《新疆生态功能区划》，新政函[2005]96 号，2006.8；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（3）《新疆维吾尔自治区环境保护“十三五”规划》，新疆自治区政府；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（4）《新疆维吾尔自治区主体功能区规划》，2017.12.06；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（5）《新疆维吾尔自治区矿产资源总体规划（2016－2020年）》；</w:t>
      </w:r>
    </w:p>
    <w:p>
      <w:pPr>
        <w:pStyle w:val="5"/>
        <w:keepLines w:val="0"/>
        <w:spacing w:before="0" w:after="0" w:line="360" w:lineRule="auto"/>
        <w:rPr>
          <w:rFonts w:hint="default" w:ascii="Times New Roman" w:hAnsi="Times New Roman" w:cs="Times New Roman"/>
          <w:bCs w:val="0"/>
          <w:color w:val="auto"/>
          <w:sz w:val="24"/>
          <w:szCs w:val="24"/>
        </w:rPr>
      </w:pPr>
      <w:bookmarkStart w:id="118" w:name="_Toc7998951"/>
      <w:bookmarkStart w:id="119" w:name="_Toc17709343"/>
      <w:r>
        <w:rPr>
          <w:rFonts w:hint="default" w:ascii="Times New Roman" w:hAnsi="Times New Roman" w:cs="Times New Roman"/>
          <w:bCs w:val="0"/>
          <w:color w:val="auto"/>
          <w:sz w:val="24"/>
          <w:szCs w:val="24"/>
        </w:rPr>
        <w:t>2.2.4环评技术规范</w:t>
      </w:r>
      <w:bookmarkEnd w:id="112"/>
      <w:bookmarkEnd w:id="113"/>
      <w:bookmarkEnd w:id="114"/>
      <w:bookmarkEnd w:id="115"/>
      <w:bookmarkEnd w:id="118"/>
      <w:bookmarkEnd w:id="119"/>
    </w:p>
    <w:p>
      <w:pPr>
        <w:spacing w:line="360" w:lineRule="auto"/>
        <w:ind w:firstLine="480" w:firstLineChars="200"/>
        <w:rPr>
          <w:rFonts w:hint="default" w:ascii="Times New Roman" w:hAnsi="Times New Roman" w:cs="Times New Roman"/>
          <w:color w:val="auto"/>
          <w:sz w:val="24"/>
        </w:rPr>
      </w:pPr>
      <w:bookmarkStart w:id="120" w:name="_Toc12878"/>
      <w:bookmarkStart w:id="121" w:name="_Toc4937"/>
      <w:bookmarkStart w:id="122" w:name="_Toc30257"/>
      <w:bookmarkStart w:id="123" w:name="_Toc28034"/>
      <w:r>
        <w:rPr>
          <w:rFonts w:hint="default" w:ascii="Times New Roman" w:hAnsi="Times New Roman" w:cs="Times New Roman"/>
          <w:color w:val="auto"/>
          <w:sz w:val="24"/>
        </w:rPr>
        <w:t>（1）《建设项目环境影响评价技术导则 总纲》（HJ2.1-2016）；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（2）《环境影响评价技术导则 大气环境》（HJ2.2-2018）；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（3）《环境影响评价技术导则 地面水环境》（HJ2.3-2018）；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（4）《环境影响评价技术导则 声环境》（HJ2.4-2009）；</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（5）《环境影响评价技术导则 地下水环境》（HJ610-2016）；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（6）《环境影响评价技术导则 生态影响》（HJ19-2011）；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（7）《建设项目环境风险评价技术导则》（HJ169-2018）；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（8）《生态环境状况评价技术规范（试行）》（HJ/T 192-2006）；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（9）《环境影响评价技术导则  土壤环境（试行）》（HJ964-2018）；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（10）《开发建设项目水土保持技术规范》（GB50433-2008）；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（11）《开发建设项目水土流失防治标准》（GB50434-2008）；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（12）《土地复垦技术标准》，国家土地管理局，1994 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（13）《水土保持综合治理技术规范》（GB16453.1～16453.6-2011）；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（14）《清洁生产标准 铁矿采选业》（HJ/T294-2006）；</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（15）《环境空气细颗粒物污染综合防治技术政策》（2013.9.25）；</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（16）《危险化学品重大危险源辨识》（GB18218-2018）；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（17）《矿山生态环境保护与恢复治理技术规范（试行）》（HJ651-2013）；</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（18）《矿山生态环境保护与恢复治理方案编制导则》（环办[2012]154 号）；</w:t>
      </w:r>
    </w:p>
    <w:p>
      <w:pPr>
        <w:pStyle w:val="5"/>
        <w:keepLines w:val="0"/>
        <w:spacing w:before="0" w:after="0" w:line="360" w:lineRule="auto"/>
        <w:rPr>
          <w:rFonts w:hint="default" w:ascii="Times New Roman" w:hAnsi="Times New Roman" w:cs="Times New Roman"/>
          <w:bCs w:val="0"/>
          <w:color w:val="auto"/>
          <w:sz w:val="24"/>
          <w:szCs w:val="24"/>
        </w:rPr>
      </w:pPr>
      <w:bookmarkStart w:id="124" w:name="_Toc7998952"/>
      <w:bookmarkStart w:id="125" w:name="_Toc17709344"/>
      <w:r>
        <w:rPr>
          <w:rFonts w:hint="default" w:ascii="Times New Roman" w:hAnsi="Times New Roman" w:cs="Times New Roman"/>
          <w:bCs w:val="0"/>
          <w:color w:val="auto"/>
          <w:sz w:val="24"/>
          <w:szCs w:val="24"/>
        </w:rPr>
        <w:t>2.2.5相关文件资料</w:t>
      </w:r>
      <w:bookmarkEnd w:id="120"/>
      <w:bookmarkEnd w:id="121"/>
      <w:bookmarkEnd w:id="122"/>
      <w:bookmarkEnd w:id="123"/>
      <w:bookmarkEnd w:id="124"/>
      <w:bookmarkEnd w:id="125"/>
    </w:p>
    <w:p>
      <w:pPr>
        <w:spacing w:line="360" w:lineRule="auto"/>
        <w:ind w:firstLine="480" w:firstLineChars="200"/>
        <w:rPr>
          <w:rFonts w:hint="default" w:ascii="Times New Roman" w:hAnsi="Times New Roman" w:cs="Times New Roman"/>
          <w:color w:val="auto"/>
          <w:sz w:val="24"/>
        </w:rPr>
      </w:pPr>
      <w:bookmarkStart w:id="126" w:name="_Toc170970639"/>
      <w:bookmarkStart w:id="127" w:name="_Toc179522793"/>
      <w:bookmarkStart w:id="128" w:name="_Toc170869043"/>
      <w:bookmarkStart w:id="129" w:name="_Toc149680787"/>
      <w:bookmarkStart w:id="130" w:name="_Toc187800012"/>
      <w:bookmarkStart w:id="131" w:name="_Toc153689539"/>
      <w:bookmarkStart w:id="132" w:name="_Toc149680550"/>
      <w:bookmarkStart w:id="133" w:name="_Toc172698641"/>
      <w:bookmarkStart w:id="134" w:name="_Toc245882729"/>
      <w:bookmarkStart w:id="135" w:name="_Toc164774363"/>
      <w:bookmarkStart w:id="136" w:name="_Toc179653252"/>
      <w:bookmarkStart w:id="137" w:name="_Toc168317184"/>
      <w:r>
        <w:rPr>
          <w:rFonts w:hint="default" w:ascii="Times New Roman" w:hAnsi="Times New Roman" w:cs="Times New Roman"/>
          <w:color w:val="auto"/>
          <w:sz w:val="24"/>
        </w:rPr>
        <w:t>（1）《乌鲁木齐北天山欣欣矿业有限公司新疆达坂城柴窝堡杏树沟铜矿矿产资源开发利用方案(调改)》，新疆天地源矿业工程技术有限公司，2019年7月；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（2）《乌鲁木齐北天山欣欣矿业有限公司新疆达坂城柴窝堡杏树沟铜矿矿产资源开发利用方案（调改）》专家意见的认定，（新</w:t>
      </w:r>
      <w:r>
        <w:rPr>
          <w:rFonts w:hint="default" w:ascii="Times New Roman" w:hAnsi="Times New Roman" w:cs="Times New Roman"/>
          <w:color w:val="auto"/>
          <w:sz w:val="24"/>
          <w:lang w:eastAsia="zh-CN"/>
        </w:rPr>
        <w:t>自然</w:t>
      </w:r>
      <w:r>
        <w:rPr>
          <w:rFonts w:hint="default" w:ascii="Times New Roman" w:hAnsi="Times New Roman" w:cs="Times New Roman"/>
          <w:color w:val="auto"/>
          <w:sz w:val="24"/>
        </w:rPr>
        <w:t>资开审发[2019]</w:t>
      </w:r>
      <w:r>
        <w:rPr>
          <w:rFonts w:hint="default" w:ascii="Times New Roman" w:hAnsi="Times New Roman" w:cs="Times New Roman"/>
          <w:color w:val="auto"/>
          <w:sz w:val="24"/>
          <w:lang w:val="en-US" w:eastAsia="zh-CN"/>
        </w:rPr>
        <w:t>26</w:t>
      </w:r>
      <w:r>
        <w:rPr>
          <w:rFonts w:hint="default" w:ascii="Times New Roman" w:hAnsi="Times New Roman" w:cs="Times New Roman"/>
          <w:color w:val="auto"/>
          <w:sz w:val="24"/>
        </w:rPr>
        <w:t>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）《新疆达坂城柴窝堡杏树沟铜矿详查报告》，山西地宝能源有限公司，2012年7月,；</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）自治区矿产资源储量评审中心“《新疆达坂城柴窝堡杏树沟铜矿详查报告》矿产资源储量评审意见书，（新国土资储评[2014]050号）；</w:t>
      </w:r>
    </w:p>
    <w:p>
      <w:pPr>
        <w:pStyle w:val="4"/>
        <w:spacing w:line="360" w:lineRule="auto"/>
        <w:ind w:left="0" w:firstLine="0"/>
        <w:jc w:val="both"/>
        <w:rPr>
          <w:rFonts w:hint="default" w:ascii="Times New Roman" w:hAnsi="Times New Roman" w:cs="Times New Roman"/>
          <w:color w:val="auto"/>
          <w:sz w:val="28"/>
          <w:szCs w:val="28"/>
        </w:rPr>
      </w:pPr>
      <w:bookmarkStart w:id="138" w:name="_Toc28103_WPSOffice_Level2"/>
      <w:bookmarkStart w:id="139" w:name="_Toc17709279"/>
      <w:bookmarkStart w:id="140" w:name="_Toc17709345"/>
      <w:bookmarkStart w:id="141" w:name="_Toc7998953"/>
      <w:bookmarkStart w:id="142" w:name="_Toc8836352"/>
      <w:r>
        <w:rPr>
          <w:rFonts w:hint="default" w:ascii="Times New Roman" w:hAnsi="Times New Roman" w:cs="Times New Roman"/>
          <w:color w:val="auto"/>
          <w:sz w:val="28"/>
          <w:szCs w:val="28"/>
        </w:rPr>
        <w:t>2.3环境功能区划</w:t>
      </w:r>
      <w:bookmarkEnd w:id="138"/>
      <w:bookmarkEnd w:id="139"/>
      <w:bookmarkEnd w:id="140"/>
      <w:bookmarkEnd w:id="141"/>
      <w:bookmarkEnd w:id="142"/>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（1）生态环境功能区划</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根据《新疆生态功能区划》，评价区属“Ⅲ 天山山地温性草原、森林生态区--Ⅲ1天山北坡针叶林、草甸水源涵养及草原牧业生态亚区—天山北坡中段高山森林、草甸水源涵养及草原牧业生态功能区”。</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（2）环境空气功能区划</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本项目位于乌鲁木齐市115°方位、直距44km处，行政区划隶属于乌鲁木齐市达坂城区管辖，根据《环境空气质量标准》（GB3095-2012）中环境空气功能区分类要求，确定项目区属于环境空气质量二类区。</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（3）水环境功能区划</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根据现场勘查，项目区周边没有地表水体。</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项目区地下水执行《地下水质量标准》(GB/T14848-2017)中的Ⅲ类标准。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（4）声环境功能区划</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根据《声环境功能区划分技术规范》（GB/T15190-2014）中各类标准的适用区解释，项目区划分为2类声环境功能区。</w:t>
      </w:r>
    </w:p>
    <w:p>
      <w:pPr>
        <w:pStyle w:val="4"/>
        <w:spacing w:line="360" w:lineRule="auto"/>
        <w:ind w:left="0" w:firstLine="0"/>
        <w:jc w:val="both"/>
        <w:rPr>
          <w:rFonts w:hint="default" w:ascii="Times New Roman" w:hAnsi="Times New Roman" w:cs="Times New Roman"/>
          <w:color w:val="auto"/>
          <w:sz w:val="28"/>
          <w:szCs w:val="28"/>
        </w:rPr>
      </w:pPr>
      <w:bookmarkStart w:id="143" w:name="_Toc7998954"/>
      <w:bookmarkStart w:id="144" w:name="_Toc8836353"/>
      <w:bookmarkStart w:id="145" w:name="_Toc17709280"/>
      <w:bookmarkStart w:id="146" w:name="_Toc17709346"/>
      <w:bookmarkStart w:id="147" w:name="_Toc14894_WPSOffice_Level2"/>
      <w:r>
        <w:rPr>
          <w:rFonts w:hint="default" w:ascii="Times New Roman" w:hAnsi="Times New Roman" w:cs="Times New Roman"/>
          <w:color w:val="auto"/>
          <w:sz w:val="28"/>
          <w:szCs w:val="28"/>
        </w:rPr>
        <w:t>2.4评价标准</w:t>
      </w:r>
      <w:bookmarkEnd w:id="143"/>
      <w:bookmarkEnd w:id="144"/>
      <w:bookmarkEnd w:id="145"/>
      <w:bookmarkEnd w:id="146"/>
      <w:bookmarkEnd w:id="147"/>
    </w:p>
    <w:p>
      <w:pPr>
        <w:pStyle w:val="5"/>
        <w:keepLines w:val="0"/>
        <w:spacing w:before="0" w:after="0" w:line="360" w:lineRule="auto"/>
        <w:rPr>
          <w:rFonts w:hint="default" w:ascii="Times New Roman" w:hAnsi="Times New Roman" w:cs="Times New Roman"/>
          <w:bCs w:val="0"/>
          <w:color w:val="auto"/>
          <w:sz w:val="24"/>
          <w:szCs w:val="24"/>
        </w:rPr>
      </w:pPr>
      <w:bookmarkStart w:id="148" w:name="_Toc7998955"/>
      <w:bookmarkStart w:id="149" w:name="_Toc17709347"/>
      <w:r>
        <w:rPr>
          <w:rFonts w:hint="default" w:ascii="Times New Roman" w:hAnsi="Times New Roman" w:cs="Times New Roman"/>
          <w:bCs w:val="0"/>
          <w:color w:val="auto"/>
          <w:sz w:val="24"/>
          <w:szCs w:val="24"/>
        </w:rPr>
        <w:t>2.4.1环境质量标准</w:t>
      </w:r>
      <w:bookmarkEnd w:id="148"/>
      <w:bookmarkEnd w:id="149"/>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（1）环境空气质量标准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本项目位于乌鲁木齐市115°方位、直距44km处，根据《环境空气质量标准》（GB3095-2012）功能区分类要求，本项目执行《环境空气质量标准》（GB3095-2012）的二级标准。标准值详见表2.4-1。</w:t>
      </w:r>
    </w:p>
    <w:p>
      <w:pPr>
        <w:jc w:val="center"/>
        <w:rPr>
          <w:rFonts w:hint="default" w:ascii="Times New Roman" w:hAnsi="Times New Roman" w:eastAsia="黑体" w:cs="Times New Roman"/>
          <w:color w:val="auto"/>
          <w:szCs w:val="21"/>
          <w:vertAlign w:val="superscript"/>
        </w:rPr>
      </w:pPr>
      <w:r>
        <w:rPr>
          <w:rFonts w:hint="default" w:ascii="Times New Roman" w:hAnsi="Times New Roman" w:eastAsia="黑体" w:cs="Times New Roman"/>
          <w:color w:val="auto"/>
          <w:szCs w:val="21"/>
        </w:rPr>
        <w:t>表2.4-1</w:t>
      </w:r>
      <w:r>
        <w:rPr>
          <w:rFonts w:hint="default" w:ascii="Times New Roman" w:hAnsi="Times New Roman" w:eastAsia="黑体" w:cs="Times New Roman"/>
          <w:color w:val="auto"/>
          <w:szCs w:val="21"/>
          <w:lang w:val="en-US" w:eastAsia="zh-CN"/>
        </w:rPr>
        <w:t xml:space="preserve"> </w:t>
      </w:r>
      <w:r>
        <w:rPr>
          <w:rFonts w:hint="eastAsia"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环境空气质量标准              单位：mg/m</w:t>
      </w:r>
      <w:r>
        <w:rPr>
          <w:rFonts w:hint="default" w:ascii="Times New Roman" w:hAnsi="Times New Roman" w:eastAsia="黑体" w:cs="Times New Roman"/>
          <w:color w:val="auto"/>
          <w:szCs w:val="21"/>
          <w:vertAlign w:val="superscript"/>
        </w:rPr>
        <w:t>3</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0"/>
        <w:gridCol w:w="2529"/>
        <w:gridCol w:w="1844"/>
        <w:gridCol w:w="25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252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取值时间</w:t>
            </w:r>
          </w:p>
        </w:tc>
        <w:tc>
          <w:tcPr>
            <w:tcW w:w="184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浓度限值</w:t>
            </w:r>
          </w:p>
        </w:tc>
        <w:tc>
          <w:tcPr>
            <w:tcW w:w="250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0.50</w:t>
            </w:r>
          </w:p>
        </w:tc>
        <w:tc>
          <w:tcPr>
            <w:tcW w:w="2509" w:type="dxa"/>
            <w:vMerge w:val="restart"/>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w:t>
            </w:r>
          </w:p>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（GB3095－2012）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年均值</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0.06</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年均值</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0.04</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cs="Times New Roman"/>
                <w:color w:val="auto"/>
              </w:rPr>
            </w:pPr>
            <w:r>
              <w:rPr>
                <w:rFonts w:hint="default" w:ascii="Times New Roman" w:hAnsi="Times New Roman" w:eastAsia="宋体" w:cs="Times New Roman"/>
                <w:color w:val="auto"/>
              </w:rPr>
              <w:t>CO</w:t>
            </w: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10.00</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4.00</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日最大8小时平均</w:t>
            </w:r>
          </w:p>
        </w:tc>
        <w:tc>
          <w:tcPr>
            <w:tcW w:w="1844" w:type="dxa"/>
            <w:noWrap w:val="0"/>
            <w:vAlign w:val="center"/>
          </w:tcPr>
          <w:p>
            <w:pPr>
              <w:pStyle w:val="213"/>
              <w:rPr>
                <w:rFonts w:hint="default" w:ascii="Times New Roman" w:hAnsi="Times New Roman" w:cs="Times New Roman"/>
                <w:color w:val="auto"/>
                <w:szCs w:val="21"/>
              </w:rPr>
            </w:pPr>
            <w:r>
              <w:rPr>
                <w:rFonts w:hint="default" w:ascii="Times New Roman" w:hAnsi="Times New Roman" w:eastAsia="宋体" w:cs="Times New Roman"/>
                <w:color w:val="auto"/>
                <w:szCs w:val="21"/>
              </w:rPr>
              <w:t>0.16</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2529" w:type="dxa"/>
            <w:noWrap w:val="0"/>
            <w:vAlign w:val="center"/>
          </w:tcPr>
          <w:p>
            <w:pPr>
              <w:pStyle w:val="213"/>
              <w:rPr>
                <w:rFonts w:hint="default" w:ascii="Times New Roman" w:hAnsi="Times New Roman"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0.075</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cs="Times New Roman"/>
                <w:color w:val="auto"/>
                <w:szCs w:val="21"/>
              </w:rPr>
            </w:pPr>
            <w:r>
              <w:rPr>
                <w:rFonts w:hint="default" w:ascii="Times New Roman" w:hAnsi="Times New Roman" w:eastAsia="宋体" w:cs="Times New Roman"/>
                <w:color w:val="auto"/>
                <w:szCs w:val="21"/>
              </w:rPr>
              <w:t>年均值</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0.035</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eastAsia="宋体" w:cs="Times New Roman"/>
                <w:color w:val="auto"/>
                <w:vertAlign w:val="subscript"/>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2529" w:type="dxa"/>
            <w:noWrap w:val="0"/>
            <w:vAlign w:val="center"/>
          </w:tcPr>
          <w:p>
            <w:pPr>
              <w:pStyle w:val="213"/>
              <w:rPr>
                <w:rFonts w:hint="default" w:ascii="Times New Roman" w:hAnsi="Times New Roman"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cs="Times New Roman"/>
                <w:color w:val="auto"/>
              </w:rPr>
            </w:pPr>
          </w:p>
        </w:tc>
        <w:tc>
          <w:tcPr>
            <w:tcW w:w="2529" w:type="dxa"/>
            <w:noWrap w:val="0"/>
            <w:vAlign w:val="center"/>
          </w:tcPr>
          <w:p>
            <w:pPr>
              <w:pStyle w:val="213"/>
              <w:rPr>
                <w:rFonts w:hint="default" w:ascii="Times New Roman" w:hAnsi="Times New Roman" w:cs="Times New Roman"/>
                <w:color w:val="auto"/>
                <w:szCs w:val="21"/>
              </w:rPr>
            </w:pPr>
            <w:r>
              <w:rPr>
                <w:rFonts w:hint="default" w:ascii="Times New Roman" w:hAnsi="Times New Roman" w:eastAsia="宋体" w:cs="Times New Roman"/>
                <w:color w:val="auto"/>
                <w:szCs w:val="21"/>
              </w:rPr>
              <w:t>年均值</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0.07</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restart"/>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TSP</w:t>
            </w: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0.30</w:t>
            </w:r>
          </w:p>
        </w:tc>
        <w:tc>
          <w:tcPr>
            <w:tcW w:w="2509" w:type="dxa"/>
            <w:vMerge w:val="continue"/>
            <w:noWrap w:val="0"/>
            <w:vAlign w:val="center"/>
          </w:tcPr>
          <w:p>
            <w:pPr>
              <w:pStyle w:val="213"/>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trPr>
        <w:tc>
          <w:tcPr>
            <w:tcW w:w="1640" w:type="dxa"/>
            <w:vMerge w:val="continue"/>
            <w:noWrap w:val="0"/>
            <w:vAlign w:val="center"/>
          </w:tcPr>
          <w:p>
            <w:pPr>
              <w:pStyle w:val="213"/>
              <w:rPr>
                <w:rFonts w:hint="default" w:ascii="Times New Roman" w:hAnsi="Times New Roman" w:eastAsia="宋体" w:cs="Times New Roman"/>
                <w:color w:val="auto"/>
                <w:vertAlign w:val="subscript"/>
              </w:rPr>
            </w:pPr>
          </w:p>
        </w:tc>
        <w:tc>
          <w:tcPr>
            <w:tcW w:w="2529"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年均值</w:t>
            </w:r>
          </w:p>
        </w:tc>
        <w:tc>
          <w:tcPr>
            <w:tcW w:w="1844" w:type="dxa"/>
            <w:noWrap w:val="0"/>
            <w:vAlign w:val="center"/>
          </w:tcPr>
          <w:p>
            <w:pPr>
              <w:pStyle w:val="21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w:t>
            </w:r>
          </w:p>
        </w:tc>
        <w:tc>
          <w:tcPr>
            <w:tcW w:w="2509" w:type="dxa"/>
            <w:vMerge w:val="continue"/>
            <w:noWrap w:val="0"/>
            <w:vAlign w:val="center"/>
          </w:tcPr>
          <w:p>
            <w:pPr>
              <w:pStyle w:val="213"/>
              <w:rPr>
                <w:rFonts w:hint="default" w:ascii="Times New Roman" w:hAnsi="Times New Roman" w:eastAsia="宋体" w:cs="Times New Roman"/>
                <w:color w:val="auto"/>
                <w:szCs w:val="21"/>
              </w:rPr>
            </w:pP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（2）地表水环境质量标准：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项目区附近无地表水体。</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（3）地下水环境标准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地下水执行《地下水质量标准》（GB/T14848-2017）中Ⅲ类标准，标准值详见表2.4-2。</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表2.4-2</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地下水环境质量标准           单位：mg/L（pH除外）</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2301"/>
        <w:gridCol w:w="2471"/>
        <w:gridCol w:w="2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30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Ⅲ类标准限值</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2471" w:type="dxa"/>
            <w:noWrap w:val="0"/>
            <w:vAlign w:val="center"/>
          </w:tcPr>
          <w:p>
            <w:pPr>
              <w:spacing w:line="240" w:lineRule="exact"/>
              <w:jc w:val="center"/>
              <w:rPr>
                <w:rFonts w:hint="default" w:ascii="Times New Roman" w:hAnsi="Times New Roman" w:eastAsia="宋体" w:cs="Times New Roman"/>
                <w:color w:val="auto"/>
                <w:spacing w:val="-12"/>
                <w:szCs w:val="21"/>
              </w:rPr>
            </w:pPr>
            <w:r>
              <w:rPr>
                <w:rFonts w:hint="default" w:ascii="Times New Roman" w:hAnsi="Times New Roman" w:eastAsia="宋体" w:cs="Times New Roman"/>
                <w:color w:val="auto"/>
                <w:spacing w:val="-12"/>
                <w:szCs w:val="21"/>
              </w:rPr>
              <w:t>6.5～8.5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2471" w:type="dxa"/>
            <w:noWrap w:val="0"/>
            <w:vAlign w:val="center"/>
          </w:tcPr>
          <w:p>
            <w:pPr>
              <w:spacing w:line="240" w:lineRule="exact"/>
              <w:jc w:val="center"/>
              <w:rPr>
                <w:rFonts w:hint="default" w:ascii="Times New Roman" w:hAnsi="Times New Roman" w:eastAsia="宋体" w:cs="Times New Roman"/>
                <w:color w:val="auto"/>
                <w:spacing w:val="-12"/>
                <w:szCs w:val="21"/>
              </w:rPr>
            </w:pPr>
            <w:r>
              <w:rPr>
                <w:rFonts w:hint="default" w:ascii="Times New Roman" w:hAnsi="Times New Roman" w:eastAsia="宋体" w:cs="Times New Roman"/>
                <w:color w:val="auto"/>
                <w:spacing w:val="-12"/>
                <w:szCs w:val="21"/>
              </w:rPr>
              <w:t>≤0.50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挥发酚</w:t>
            </w:r>
          </w:p>
        </w:tc>
        <w:tc>
          <w:tcPr>
            <w:tcW w:w="2471" w:type="dxa"/>
            <w:noWrap w:val="0"/>
            <w:vAlign w:val="center"/>
          </w:tcPr>
          <w:p>
            <w:pPr>
              <w:spacing w:line="240" w:lineRule="exact"/>
              <w:jc w:val="center"/>
              <w:rPr>
                <w:rFonts w:hint="default" w:ascii="Times New Roman" w:hAnsi="Times New Roman" w:eastAsia="宋体" w:cs="Times New Roman"/>
                <w:color w:val="auto"/>
                <w:spacing w:val="-12"/>
                <w:szCs w:val="21"/>
              </w:rPr>
            </w:pPr>
            <w:r>
              <w:rPr>
                <w:rFonts w:hint="default" w:ascii="Times New Roman" w:hAnsi="Times New Roman" w:eastAsia="宋体" w:cs="Times New Roman"/>
                <w:color w:val="auto"/>
                <w:spacing w:val="-12"/>
                <w:szCs w:val="21"/>
              </w:rPr>
              <w:t>≤0.002</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汞</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≤0.001</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锌</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氟化物</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硒</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砷</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镉</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六价铬</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氰化物</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阴离子表面活性剂</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硫酸盐</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氯化物</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总硬度</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总大肠菌群</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溶解性总固体</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47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23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亚硝酸盐</w:t>
            </w:r>
          </w:p>
        </w:tc>
        <w:tc>
          <w:tcPr>
            <w:tcW w:w="247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mg/L</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（4）声环境质量标准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根据矿区所处地理位置及周边环境状况，声环境执行《声环境质量标准》（GB309 6-2008）中2类标准，详见表2.4-3。</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表2.4-3</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声环境质量标准                   单位：dB（A）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2531"/>
        <w:gridCol w:w="2362"/>
        <w:gridCol w:w="19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9" w:hRule="atLeast"/>
          <w:jc w:val="center"/>
        </w:trPr>
        <w:tc>
          <w:tcPr>
            <w:tcW w:w="1658"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采用级别</w:t>
            </w:r>
          </w:p>
        </w:tc>
        <w:tc>
          <w:tcPr>
            <w:tcW w:w="4893" w:type="dxa"/>
            <w:gridSpan w:val="2"/>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977"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1658"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53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236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197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165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2类</w:t>
            </w:r>
          </w:p>
        </w:tc>
        <w:tc>
          <w:tcPr>
            <w:tcW w:w="253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236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1977"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GB3096-2008</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（4）土壤环境质量标准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项目区场内土壤环境质量执行《土壤环境质量  建设用地土壤污染风险管控标准（试行）》（GB36600-2018）第二类用地标准，其标准值见表2.4-4；项目区场外土壤环境质量执行《土壤环境质量  农用地土壤污染风险管控标准》（试行）（GB15618-2018），详见表2.4-5。</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表2.4-4</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建设用地土壤环境环境质量标准           单位：mg/kg（pH除外）</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1"/>
        <w:gridCol w:w="2947"/>
        <w:gridCol w:w="2471"/>
        <w:gridCol w:w="2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3778" w:type="dxa"/>
            <w:gridSpan w:val="2"/>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筛选值</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管制值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3778" w:type="dxa"/>
            <w:gridSpan w:val="2"/>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重金属和无机物</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第二类用地</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第二类用地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镉</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铬（六价）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18000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汞</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镍</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3778" w:type="dxa"/>
            <w:gridSpan w:val="2"/>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挥发性有机物</w:t>
            </w:r>
          </w:p>
        </w:tc>
        <w:tc>
          <w:tcPr>
            <w:tcW w:w="2471" w:type="dxa"/>
            <w:noWrap w:val="0"/>
            <w:vAlign w:val="center"/>
          </w:tcPr>
          <w:p>
            <w:pPr>
              <w:spacing w:line="240" w:lineRule="exact"/>
              <w:ind w:left="45"/>
              <w:jc w:val="center"/>
              <w:rPr>
                <w:rFonts w:hint="default" w:ascii="Times New Roman" w:hAnsi="Times New Roman" w:cs="Times New Roman"/>
                <w:color w:val="auto"/>
                <w:szCs w:val="21"/>
              </w:rPr>
            </w:pPr>
          </w:p>
        </w:tc>
        <w:tc>
          <w:tcPr>
            <w:tcW w:w="2279" w:type="dxa"/>
            <w:noWrap w:val="0"/>
            <w:vAlign w:val="center"/>
          </w:tcPr>
          <w:p>
            <w:pPr>
              <w:spacing w:line="240" w:lineRule="exact"/>
              <w:ind w:left="45"/>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四氯化碳</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氯仿</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氯甲烷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1,1-二氯乙烷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1,1-二氯乙烯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66</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顺-1,2-二氯乙烯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596</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反-1,2-二氯乙烯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54</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二氯甲烷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616</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1,2-二氯丙烷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1,1,1,2-四氯乙烷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1,12,2-四氯乙烷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1,1,1-三氯乙烷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840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22</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1,1,2-三氯乙烷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1,2,3-三滤丙烷</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0.43</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27</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1,2-二氯苯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1,4-二氯苯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29</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乙苯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苯乙烯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31</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甲苯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32</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间二甲苯+对二甲苯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33</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邻二甲苯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3778" w:type="dxa"/>
            <w:gridSpan w:val="2"/>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半挥发性有机物</w:t>
            </w:r>
          </w:p>
        </w:tc>
        <w:tc>
          <w:tcPr>
            <w:tcW w:w="2471" w:type="dxa"/>
            <w:noWrap w:val="0"/>
            <w:vAlign w:val="center"/>
          </w:tcPr>
          <w:p>
            <w:pPr>
              <w:spacing w:line="240" w:lineRule="exact"/>
              <w:ind w:left="45"/>
              <w:jc w:val="center"/>
              <w:rPr>
                <w:rFonts w:hint="default" w:ascii="Times New Roman" w:hAnsi="Times New Roman" w:cs="Times New Roman"/>
                <w:color w:val="auto"/>
                <w:szCs w:val="21"/>
              </w:rPr>
            </w:pPr>
          </w:p>
        </w:tc>
        <w:tc>
          <w:tcPr>
            <w:tcW w:w="2279" w:type="dxa"/>
            <w:noWrap w:val="0"/>
            <w:vAlign w:val="center"/>
          </w:tcPr>
          <w:p>
            <w:pPr>
              <w:spacing w:line="240" w:lineRule="exact"/>
              <w:ind w:left="45"/>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34</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硝基苯</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76</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苯胺</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2-氯酚</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2256</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苯并[a]蒽</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w:t>
            </w:r>
          </w:p>
        </w:tc>
        <w:tc>
          <w:tcPr>
            <w:tcW w:w="2947" w:type="dxa"/>
            <w:noWrap w:val="0"/>
            <w:vAlign w:val="center"/>
          </w:tcPr>
          <w:p>
            <w:pPr>
              <w:spacing w:line="24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苯并[a]芘</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苯并[b]荧蒽</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2947" w:type="dxa"/>
            <w:noWrap w:val="0"/>
            <w:vAlign w:val="center"/>
          </w:tcPr>
          <w:p>
            <w:pPr>
              <w:spacing w:line="24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苯并[k]荧蒽</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151</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w:t>
            </w:r>
          </w:p>
        </w:tc>
        <w:tc>
          <w:tcPr>
            <w:tcW w:w="2947" w:type="dxa"/>
            <w:noWrap w:val="0"/>
            <w:vAlign w:val="center"/>
          </w:tcPr>
          <w:p>
            <w:pPr>
              <w:spacing w:line="24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䓛</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1293</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二苯并[a,h]蒽</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43</w:t>
            </w:r>
          </w:p>
        </w:tc>
        <w:tc>
          <w:tcPr>
            <w:tcW w:w="2947" w:type="dxa"/>
            <w:noWrap w:val="0"/>
            <w:vAlign w:val="center"/>
          </w:tcPr>
          <w:p>
            <w:pPr>
              <w:spacing w:line="24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茚</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1293</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w:t>
            </w:r>
          </w:p>
        </w:tc>
        <w:tc>
          <w:tcPr>
            <w:tcW w:w="2947" w:type="dxa"/>
            <w:noWrap w:val="0"/>
            <w:vAlign w:val="center"/>
          </w:tcPr>
          <w:p>
            <w:pPr>
              <w:spacing w:line="24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茚并[1,2,3-cd]芘</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83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c>
          <w:tcPr>
            <w:tcW w:w="2947"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萘</w:t>
            </w:r>
          </w:p>
        </w:tc>
        <w:tc>
          <w:tcPr>
            <w:tcW w:w="2471"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2279" w:type="dxa"/>
            <w:noWrap w:val="0"/>
            <w:vAlign w:val="center"/>
          </w:tcPr>
          <w:p>
            <w:pPr>
              <w:spacing w:line="24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700</w:t>
            </w:r>
          </w:p>
        </w:tc>
      </w:tr>
    </w:tbl>
    <w:p>
      <w:pPr>
        <w:spacing w:line="360" w:lineRule="auto"/>
        <w:ind w:firstLine="480" w:firstLineChars="200"/>
        <w:rPr>
          <w:rFonts w:hint="default" w:ascii="Times New Roman" w:hAnsi="Times New Roman" w:cs="Times New Roman"/>
          <w:color w:val="auto"/>
          <w:sz w:val="24"/>
        </w:rPr>
      </w:pPr>
      <w:bookmarkStart w:id="150" w:name="_Toc7998956"/>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表2.4-5</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农用用地土壤环境环境质量标准            单位：mg/kg（pH除外）</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2"/>
        <w:gridCol w:w="425"/>
        <w:gridCol w:w="851"/>
        <w:gridCol w:w="1417"/>
        <w:gridCol w:w="1957"/>
        <w:gridCol w:w="1813"/>
        <w:gridCol w:w="16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276" w:type="dxa"/>
            <w:gridSpan w:val="2"/>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p>
            <w:pPr>
              <w:spacing w:line="32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项目</w:t>
            </w:r>
          </w:p>
        </w:tc>
        <w:tc>
          <w:tcPr>
            <w:tcW w:w="6854" w:type="dxa"/>
            <w:gridSpan w:val="4"/>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1276" w:type="dxa"/>
            <w:gridSpan w:val="2"/>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pH≤5.5</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5.5＜pH≤6.5</w:t>
            </w:r>
          </w:p>
        </w:tc>
        <w:tc>
          <w:tcPr>
            <w:tcW w:w="1813" w:type="dxa"/>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6.5＜pH≤7.5</w:t>
            </w:r>
          </w:p>
        </w:tc>
        <w:tc>
          <w:tcPr>
            <w:tcW w:w="1667" w:type="dxa"/>
            <w:noWrap w:val="0"/>
            <w:vAlign w:val="center"/>
          </w:tcPr>
          <w:p>
            <w:pPr>
              <w:spacing w:line="320" w:lineRule="exact"/>
              <w:ind w:left="45"/>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pH＞7.5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镉</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水田</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0.6</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汞</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水田</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0.6</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砷</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水田</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水田</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铬</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水田</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425" w:type="dxa"/>
            <w:vMerge w:val="restart"/>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w:t>
            </w: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果园</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425" w:type="dxa"/>
            <w:vMerge w:val="continue"/>
            <w:noWrap w:val="0"/>
            <w:vAlign w:val="center"/>
          </w:tcPr>
          <w:p>
            <w:pPr>
              <w:spacing w:line="320" w:lineRule="exact"/>
              <w:ind w:left="45"/>
              <w:jc w:val="center"/>
              <w:rPr>
                <w:rFonts w:hint="default" w:ascii="Times New Roman" w:hAnsi="Times New Roman" w:cs="Times New Roman"/>
                <w:color w:val="auto"/>
                <w:szCs w:val="21"/>
              </w:rPr>
            </w:pPr>
          </w:p>
        </w:tc>
        <w:tc>
          <w:tcPr>
            <w:tcW w:w="851"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276" w:type="dxa"/>
            <w:gridSpan w:val="2"/>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镍</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392"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276" w:type="dxa"/>
            <w:gridSpan w:val="2"/>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锌</w:t>
            </w:r>
          </w:p>
        </w:tc>
        <w:tc>
          <w:tcPr>
            <w:tcW w:w="141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195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1813"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1667" w:type="dxa"/>
            <w:noWrap w:val="0"/>
            <w:vAlign w:val="center"/>
          </w:tcPr>
          <w:p>
            <w:pPr>
              <w:spacing w:line="320" w:lineRule="exact"/>
              <w:ind w:left="4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r>
    </w:tbl>
    <w:p>
      <w:pPr>
        <w:pStyle w:val="5"/>
        <w:keepLines w:val="0"/>
        <w:spacing w:before="0" w:after="0" w:line="360" w:lineRule="auto"/>
        <w:rPr>
          <w:rFonts w:hint="default" w:ascii="Times New Roman" w:hAnsi="Times New Roman" w:cs="Times New Roman"/>
          <w:bCs w:val="0"/>
          <w:color w:val="auto"/>
          <w:sz w:val="24"/>
          <w:szCs w:val="24"/>
        </w:rPr>
      </w:pPr>
      <w:bookmarkStart w:id="151" w:name="_Toc17709348"/>
      <w:r>
        <w:rPr>
          <w:rFonts w:hint="default" w:ascii="Times New Roman" w:hAnsi="Times New Roman" w:cs="Times New Roman"/>
          <w:bCs w:val="0"/>
          <w:color w:val="auto"/>
          <w:sz w:val="24"/>
          <w:szCs w:val="24"/>
        </w:rPr>
        <w:t>2.4.2污染物排放标准</w:t>
      </w:r>
      <w:bookmarkEnd w:id="150"/>
      <w:bookmarkEnd w:id="15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（1）大气污染物排放标准</w:t>
      </w:r>
    </w:p>
    <w:p>
      <w:pPr>
        <w:pStyle w:val="378"/>
        <w:rPr>
          <w:rFonts w:hint="default" w:ascii="Times New Roman" w:hAnsi="Times New Roman" w:cs="Times New Roman"/>
          <w:color w:val="auto"/>
        </w:rPr>
      </w:pPr>
      <w:r>
        <w:rPr>
          <w:rFonts w:hint="default" w:ascii="Times New Roman" w:hAnsi="Times New Roman" w:cs="Times New Roman"/>
          <w:color w:val="auto"/>
        </w:rPr>
        <w:t>本项目矿石出井后由运输车辆直接运至</w:t>
      </w:r>
      <w:r>
        <w:rPr>
          <w:rFonts w:hint="eastAsia" w:ascii="Times New Roman" w:hAnsi="Times New Roman" w:cs="Times New Roman"/>
          <w:color w:val="auto"/>
          <w:lang w:eastAsia="zh-CN"/>
        </w:rPr>
        <w:t>选矿厂</w:t>
      </w:r>
      <w:r>
        <w:rPr>
          <w:rFonts w:hint="default" w:ascii="Times New Roman" w:hAnsi="Times New Roman" w:cs="Times New Roman"/>
          <w:color w:val="auto"/>
        </w:rPr>
        <w:t>，矿区无破碎工段。矿石在开采、转运等生产过程产生的工艺废气及粉尘排放参照执行《铜镍钴工业污染物排放标准》（GB25467-2010）矿石采选颗粒物排放限值，见表2.4-6。</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表2.4-6</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铜矿采选工业污染物排放标准</w:t>
      </w:r>
    </w:p>
    <w:tbl>
      <w:tblPr>
        <w:tblStyle w:val="79"/>
        <w:tblW w:w="852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18"/>
        <w:gridCol w:w="1701"/>
        <w:gridCol w:w="43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5" w:hRule="atLeast"/>
        </w:trPr>
        <w:tc>
          <w:tcPr>
            <w:tcW w:w="2518" w:type="dxa"/>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1701" w:type="dxa"/>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430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44" w:hRule="atLeast"/>
        </w:trPr>
        <w:tc>
          <w:tcPr>
            <w:tcW w:w="2518" w:type="dxa"/>
            <w:vMerge w:val="continue"/>
            <w:noWrap w:val="0"/>
            <w:vAlign w:val="center"/>
          </w:tcPr>
          <w:p>
            <w:pPr>
              <w:jc w:val="center"/>
              <w:rPr>
                <w:rFonts w:hint="default" w:ascii="Times New Roman" w:hAnsi="Times New Roman" w:eastAsia="宋体" w:cs="Times New Roman"/>
                <w:color w:val="auto"/>
                <w:szCs w:val="21"/>
              </w:rPr>
            </w:pPr>
          </w:p>
        </w:tc>
        <w:tc>
          <w:tcPr>
            <w:tcW w:w="1701" w:type="dxa"/>
            <w:vMerge w:val="continue"/>
            <w:noWrap w:val="0"/>
            <w:vAlign w:val="center"/>
          </w:tcPr>
          <w:p>
            <w:pPr>
              <w:jc w:val="center"/>
              <w:rPr>
                <w:rFonts w:hint="default" w:ascii="Times New Roman" w:hAnsi="Times New Roman" w:eastAsia="宋体" w:cs="Times New Roman"/>
                <w:color w:val="auto"/>
                <w:szCs w:val="21"/>
              </w:rPr>
            </w:pPr>
          </w:p>
        </w:tc>
        <w:tc>
          <w:tcPr>
            <w:tcW w:w="430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0" w:hRule="atLeast"/>
        </w:trPr>
        <w:tc>
          <w:tcPr>
            <w:tcW w:w="2518" w:type="dxa"/>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（周界外浓度最高点）</w:t>
            </w:r>
          </w:p>
        </w:tc>
        <w:tc>
          <w:tcPr>
            <w:tcW w:w="1701" w:type="dxa"/>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430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100（破碎、筛分）80（其他工序）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3" w:hRule="atLeast"/>
        </w:trPr>
        <w:tc>
          <w:tcPr>
            <w:tcW w:w="2518" w:type="dxa"/>
            <w:vMerge w:val="continue"/>
            <w:noWrap w:val="0"/>
            <w:vAlign w:val="center"/>
          </w:tcPr>
          <w:p>
            <w:pPr>
              <w:jc w:val="center"/>
              <w:rPr>
                <w:rFonts w:hint="default" w:ascii="Times New Roman" w:hAnsi="Times New Roman" w:cs="Times New Roman"/>
                <w:color w:val="auto"/>
                <w:szCs w:val="21"/>
              </w:rPr>
            </w:pPr>
          </w:p>
        </w:tc>
        <w:tc>
          <w:tcPr>
            <w:tcW w:w="1701" w:type="dxa"/>
            <w:vMerge w:val="continue"/>
            <w:noWrap w:val="0"/>
            <w:vAlign w:val="center"/>
          </w:tcPr>
          <w:p>
            <w:pPr>
              <w:jc w:val="center"/>
              <w:rPr>
                <w:rFonts w:hint="default" w:ascii="Times New Roman" w:hAnsi="Times New Roman" w:cs="Times New Roman"/>
                <w:color w:val="auto"/>
                <w:szCs w:val="21"/>
              </w:rPr>
            </w:pPr>
          </w:p>
        </w:tc>
        <w:tc>
          <w:tcPr>
            <w:tcW w:w="4309" w:type="dxa"/>
            <w:noWrap w:val="0"/>
            <w:vAlign w:val="center"/>
          </w:tcPr>
          <w:p>
            <w:pPr>
              <w:pStyle w:val="213"/>
              <w:rPr>
                <w:rFonts w:hint="default" w:ascii="Times New Roman" w:hAnsi="Times New Roman" w:eastAsia="宋体" w:cs="Times New Roman"/>
                <w:color w:val="auto"/>
              </w:rPr>
            </w:pPr>
            <w:r>
              <w:rPr>
                <w:rFonts w:hint="default" w:ascii="Times New Roman" w:hAnsi="Times New Roman" w:cs="Times New Roman"/>
                <w:color w:val="auto"/>
              </w:rPr>
              <w:t>1.0（厂界）</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（2）污水排放标准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项目在运营期间主要废水为矿井涌水和生活污水。</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矿井涌水——集中收集经沉淀处理后用于生产用水及项目区周边绿化用水，进行综合利用不外排；</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生活污水——集中收集经地埋式一体化生活污水处理装置处理后进行矿区绿化及道路洒水降尘。因此，项目生活污水排放执行《污水综合排放标准》（GB8978-1996）中二级标准值，见表2.4-7。</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表2.4-7</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污水综合排放标准         单位：mg/m</w:t>
      </w:r>
      <w:r>
        <w:rPr>
          <w:rFonts w:hint="default" w:ascii="Times New Roman" w:hAnsi="Times New Roman" w:eastAsia="黑体" w:cs="Times New Roman"/>
          <w:color w:val="auto"/>
          <w:szCs w:val="21"/>
          <w:vertAlign w:val="superscript"/>
        </w:rPr>
        <w:t>3</w:t>
      </w:r>
      <w:r>
        <w:rPr>
          <w:rFonts w:hint="default" w:ascii="Times New Roman" w:hAnsi="Times New Roman" w:eastAsia="黑体" w:cs="Times New Roman"/>
          <w:color w:val="auto"/>
          <w:szCs w:val="21"/>
        </w:rPr>
        <w:t>（pH除外）</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957"/>
        <w:gridCol w:w="2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728"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957"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284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（3）噪声排放标准</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施工期噪声执行《建筑施工场界环境噪声排放标准》（GB12523-2011）中有关限值要求；运营期厂界噪声执行《工业企业厂界环境噪声排放标准》（GB12348-2008）中2类区标准，具体标准值见表2.4-8。</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表2.4-8</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 xml:space="preserve"> 噪声排放标准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 xml:space="preserve"> 单位：dB[A]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3072"/>
        <w:gridCol w:w="35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jc w:val="center"/>
        </w:trPr>
        <w:tc>
          <w:tcPr>
            <w:tcW w:w="1883" w:type="dxa"/>
            <w:vMerge w:val="restart"/>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适应区域</w:t>
            </w:r>
          </w:p>
        </w:tc>
        <w:tc>
          <w:tcPr>
            <w:tcW w:w="6645" w:type="dxa"/>
            <w:gridSpan w:val="2"/>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jc w:val="center"/>
        </w:trPr>
        <w:tc>
          <w:tcPr>
            <w:tcW w:w="1883" w:type="dxa"/>
            <w:vMerge w:val="continue"/>
            <w:noWrap w:val="0"/>
            <w:vAlign w:val="center"/>
          </w:tcPr>
          <w:p>
            <w:pPr>
              <w:spacing w:line="260" w:lineRule="atLeast"/>
              <w:jc w:val="center"/>
              <w:rPr>
                <w:rFonts w:hint="default" w:ascii="Times New Roman" w:hAnsi="Times New Roman" w:eastAsia="宋体" w:cs="Times New Roman"/>
                <w:color w:val="auto"/>
                <w:szCs w:val="21"/>
              </w:rPr>
            </w:pPr>
          </w:p>
        </w:tc>
        <w:tc>
          <w:tcPr>
            <w:tcW w:w="3072"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357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jc w:val="center"/>
        </w:trPr>
        <w:tc>
          <w:tcPr>
            <w:tcW w:w="188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运营厂界噪声</w:t>
            </w:r>
          </w:p>
        </w:tc>
        <w:tc>
          <w:tcPr>
            <w:tcW w:w="3072"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357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jc w:val="center"/>
        </w:trPr>
        <w:tc>
          <w:tcPr>
            <w:tcW w:w="188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施工噪声</w:t>
            </w:r>
          </w:p>
        </w:tc>
        <w:tc>
          <w:tcPr>
            <w:tcW w:w="3072" w:type="dxa"/>
            <w:noWrap w:val="0"/>
            <w:vAlign w:val="center"/>
          </w:tcPr>
          <w:p>
            <w:pPr>
              <w:pStyle w:val="52"/>
              <w:pBdr>
                <w:bottom w:val="none" w:color="auto" w:sz="0" w:space="0"/>
              </w:pBdr>
              <w:tabs>
                <w:tab w:val="clear" w:pos="4153"/>
                <w:tab w:val="clear" w:pos="8306"/>
              </w:tabs>
              <w:snapToGrid/>
              <w:spacing w:line="260" w:lineRule="atLeast"/>
              <w:ind w:left="420" w:hanging="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357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（4）固体废物排放标准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主要固体废物是废石，废石执行《一般工业固体废弃物贮存、处置场污染控制标准》（GB18599-2001）中的固体废物执行标准，固体废物鉴别执行《危险废物鉴别标准腐蚀鉴别》（GB5085.1—2007）和《危险废物鉴别标准-浸出毒性鉴别》（GB5085.3—2007）（浸出液最高允许浓度）标准，有关标准限值见表2.4-9。固体废弃物储存处置按照执行《有色金属工业固体废物污染控制标准》（GB5085-85）、《一般工业固体废物贮存、处置场污染控制标准》（GB18599-2001）及修改单（环保部公告[2013]第36号）中第Ⅰ类一般工业固体废物的有关规定。</w:t>
      </w:r>
    </w:p>
    <w:p>
      <w:pPr>
        <w:jc w:val="center"/>
        <w:rPr>
          <w:rFonts w:hint="default" w:ascii="Times New Roman" w:hAnsi="Times New Roman" w:cs="Times New Roman"/>
          <w:b/>
          <w:color w:val="auto"/>
          <w:szCs w:val="20"/>
        </w:rPr>
      </w:pPr>
      <w:r>
        <w:rPr>
          <w:rFonts w:hint="default" w:ascii="Times New Roman" w:hAnsi="Times New Roman" w:eastAsia="黑体" w:cs="Times New Roman"/>
          <w:color w:val="auto"/>
          <w:szCs w:val="21"/>
        </w:rPr>
        <w:t>表2.4-9</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 xml:space="preserve"> 项目固体废物鉴别标准             浓度单位：mg/l</w:t>
      </w:r>
    </w:p>
    <w:tbl>
      <w:tblPr>
        <w:tblStyle w:val="79"/>
        <w:tblW w:w="0" w:type="auto"/>
        <w:tblInd w:w="5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67"/>
        <w:gridCol w:w="1369"/>
        <w:gridCol w:w="2920"/>
        <w:gridCol w:w="18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2367"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GB5085.1-2007</w:t>
            </w:r>
          </w:p>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腐蚀性鉴别</w:t>
            </w:r>
          </w:p>
        </w:tc>
        <w:tc>
          <w:tcPr>
            <w:tcW w:w="6103" w:type="dxa"/>
            <w:gridSpan w:val="3"/>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按照GB/T15555.12-1995制备的浸出液，pH≥12.5或pH≤2.0时，该废物是具有腐蚀性的危险物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2367" w:type="dxa"/>
            <w:vMerge w:val="restart"/>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GB5085.3-2007浸出毒性鉴别标准</w:t>
            </w:r>
          </w:p>
        </w:tc>
        <w:tc>
          <w:tcPr>
            <w:tcW w:w="6103" w:type="dxa"/>
            <w:gridSpan w:val="3"/>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浸出液中任何一种危险成分的浓度超过下列浓度值，则该废物是具有侵出毒性的危险废物。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汞及其化合物（以总汞计）</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铅（以总铅计）</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镍</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总铬</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六价铬</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铜（以总铜计）</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锌（以总锌计）</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总银</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367" w:type="dxa"/>
            <w:vMerge w:val="continue"/>
            <w:noWrap w:val="0"/>
            <w:vAlign w:val="center"/>
          </w:tcPr>
          <w:p>
            <w:pPr>
              <w:pStyle w:val="213"/>
              <w:rPr>
                <w:rFonts w:hint="default" w:ascii="Times New Roman" w:hAnsi="Times New Roman" w:eastAsia="宋体" w:cs="Times New Roman"/>
                <w:color w:val="auto"/>
              </w:rPr>
            </w:pPr>
          </w:p>
        </w:tc>
        <w:tc>
          <w:tcPr>
            <w:tcW w:w="1369"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2920"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砷（以总砷计）</w:t>
            </w:r>
          </w:p>
        </w:tc>
        <w:tc>
          <w:tcPr>
            <w:tcW w:w="1814" w:type="dxa"/>
            <w:noWrap w:val="0"/>
            <w:vAlign w:val="center"/>
          </w:tcPr>
          <w:p>
            <w:pPr>
              <w:pStyle w:val="21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r>
    </w:tbl>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（5）水土流失土壤侵蚀标准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水土流失根据《土壤侵蚀分类分级标准》（SL190-2007）以不改变土壤侵蚀等级类型现状为标准，其土壤水力侵蚀的强度分级标准见表2.4-10。</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表2.4-10   土壤侵蚀分类分级标准——风力侵蚀强度分级（SL190-2007）</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2923"/>
        <w:gridCol w:w="3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等级</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平均侵蚀模数（t/km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×a）</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平均流失厚度（mm/a）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微度侵蚀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＜200，＜500，＜1000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＜0.15，＜0.37，＜0.74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轻度侵蚀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200，500，500-2500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0.15，0.37，0.74-1.9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等级</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平均侵蚀模数（t/km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×a）</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平均流失厚度（mm/a）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中度侵蚀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2500-5000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强度侵蚀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5000-8000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极强烈侵蚀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8000-15000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366"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剧烈侵蚀</w:t>
            </w:r>
          </w:p>
        </w:tc>
        <w:tc>
          <w:tcPr>
            <w:tcW w:w="2923"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＞15000</w:t>
            </w:r>
          </w:p>
        </w:tc>
        <w:tc>
          <w:tcPr>
            <w:tcW w:w="3239"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w:t>
            </w:r>
          </w:p>
        </w:tc>
      </w:tr>
    </w:tbl>
    <w:p>
      <w:pPr>
        <w:rPr>
          <w:rFonts w:hint="default" w:ascii="Times New Roman" w:hAnsi="Times New Roman" w:cs="Times New Roman"/>
          <w:bCs/>
          <w:color w:val="auto"/>
          <w:szCs w:val="21"/>
        </w:rPr>
      </w:pPr>
      <w:r>
        <w:rPr>
          <w:rFonts w:hint="default" w:ascii="Times New Roman" w:hAnsi="Times New Roman" w:cs="Times New Roman"/>
          <w:bCs/>
          <w:color w:val="auto"/>
          <w:szCs w:val="21"/>
        </w:rPr>
        <w:t>注：①本表流失厚度系按土壤容重1.35g/cm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折算，各地可按当地土壤容重计算；</w:t>
      </w:r>
    </w:p>
    <w:p>
      <w:pPr>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②地质环境质量评价中，当评价项目强弱等级按四级划分时，表中微度与轻度合并为第I级，极强度与剧烈合并为第Ⅳ级。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（6）清洁生产指标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由于目前相关部门尚未发布铜矿开采行业相关的清洁生产标准，因此本项目清洁生产指标通过类比《清洁生产技术要求-铁矿采选行业》（HJ/T294-2006）进行对照</w:t>
      </w:r>
      <w:r>
        <w:rPr>
          <w:rFonts w:hint="default" w:ascii="Times New Roman" w:hAnsi="Times New Roman" w:cs="Times New Roman"/>
          <w:color w:val="auto"/>
          <w:sz w:val="24"/>
        </w:rPr>
        <w:t>相关指标。</w:t>
      </w:r>
    </w:p>
    <w:p>
      <w:pPr>
        <w:pStyle w:val="4"/>
        <w:spacing w:line="360" w:lineRule="auto"/>
        <w:ind w:left="0" w:firstLine="0"/>
        <w:jc w:val="both"/>
        <w:rPr>
          <w:rFonts w:hint="default" w:ascii="Times New Roman" w:hAnsi="Times New Roman" w:cs="Times New Roman"/>
          <w:color w:val="auto"/>
          <w:sz w:val="28"/>
          <w:szCs w:val="28"/>
        </w:rPr>
      </w:pPr>
      <w:bookmarkStart w:id="152" w:name="_Toc17709281"/>
      <w:bookmarkStart w:id="153" w:name="_Toc8836354"/>
      <w:bookmarkStart w:id="154" w:name="_Toc7998957"/>
      <w:bookmarkStart w:id="155" w:name="_Toc17709349"/>
      <w:bookmarkStart w:id="156" w:name="_Toc12719_WPSOffice_Level2"/>
      <w:r>
        <w:rPr>
          <w:rFonts w:hint="default" w:ascii="Times New Roman" w:hAnsi="Times New Roman" w:cs="Times New Roman"/>
          <w:color w:val="auto"/>
          <w:sz w:val="28"/>
          <w:szCs w:val="28"/>
        </w:rPr>
        <w:t>2.5评价等级与评价范围</w:t>
      </w:r>
      <w:bookmarkEnd w:id="152"/>
      <w:bookmarkEnd w:id="153"/>
      <w:bookmarkEnd w:id="154"/>
      <w:bookmarkEnd w:id="155"/>
      <w:bookmarkEnd w:id="156"/>
    </w:p>
    <w:p>
      <w:pPr>
        <w:pStyle w:val="5"/>
        <w:keepLines w:val="0"/>
        <w:spacing w:before="0" w:after="0" w:line="360" w:lineRule="auto"/>
        <w:rPr>
          <w:rFonts w:hint="default" w:ascii="Times New Roman" w:hAnsi="Times New Roman" w:cs="Times New Roman"/>
          <w:color w:val="auto"/>
          <w:sz w:val="24"/>
          <w:szCs w:val="24"/>
        </w:rPr>
      </w:pPr>
      <w:bookmarkStart w:id="157" w:name="_Toc17709350"/>
      <w:bookmarkStart w:id="158" w:name="_Toc7998958"/>
      <w:r>
        <w:rPr>
          <w:rFonts w:hint="default" w:ascii="Times New Roman" w:hAnsi="Times New Roman" w:cs="Times New Roman"/>
          <w:bCs w:val="0"/>
          <w:color w:val="auto"/>
          <w:sz w:val="24"/>
          <w:szCs w:val="24"/>
        </w:rPr>
        <w:t>2.5.1大气环境影响评价等级及范围</w:t>
      </w:r>
      <w:bookmarkEnd w:id="157"/>
      <w:bookmarkEnd w:id="158"/>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（1）大气环境影响评价等级</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①污染物最大地面浓度估算</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大气环境》（HJ2.2-2018），一个项目有多个污染源排放同一种污染物时，按各污染源分别确定其评价等级，并取评价等级最高者作为项目的评价等级。本项目生产过程中特征污染物为TSP，根据工程特点、污染特征及周围环境状况，采用《环境影响评价技术导则-大气环境》（HJ2.2-2018）中规定的方法，选取TSP为候选因子核算，计算各污染物的最大地面浓度占标率Pi（第i个污染物）及第i个污染物的地面浓度达标准值10%时所对应的最远距离D</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。其中Pi定义为：</w:t>
      </w:r>
    </w:p>
    <w:p>
      <w:pPr>
        <w:spacing w:before="220" w:line="280" w:lineRule="exact"/>
        <w:ind w:left="3400"/>
        <w:jc w:val="left"/>
        <w:rPr>
          <w:rFonts w:hint="default" w:ascii="Times New Roman" w:hAnsi="Times New Roman" w:cs="Times New Roman"/>
          <w:color w:val="auto"/>
          <w:sz w:val="24"/>
        </w:rPr>
      </w:pPr>
      <w:r>
        <w:rPr>
          <w:rFonts w:hint="default" w:ascii="Times New Roman" w:hAnsi="Times New Roman" w:cs="Times New Roman"/>
          <w:color w:val="auto"/>
          <w:sz w:val="24"/>
        </w:rPr>
        <w:t>Pi＝Ci/C0i×100%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式中：P</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——第i个污染物的最大地面浓度占标率，%；</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——采用估算模式计算出的第i个污染物的最大地面浓度，mg/m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oi</w:t>
      </w:r>
      <w:r>
        <w:rPr>
          <w:rFonts w:hint="default" w:ascii="Times New Roman" w:hAnsi="Times New Roman" w:cs="Times New Roman"/>
          <w:color w:val="auto"/>
          <w:sz w:val="24"/>
        </w:rPr>
        <w:t>——第i个污染物的环境空气质量标准，mg/m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注：C</w:t>
      </w:r>
      <w:r>
        <w:rPr>
          <w:rFonts w:hint="default" w:ascii="Times New Roman" w:hAnsi="Times New Roman" w:cs="Times New Roman"/>
          <w:color w:val="auto"/>
          <w:sz w:val="24"/>
          <w:vertAlign w:val="subscript"/>
        </w:rPr>
        <w:t>oi</w:t>
      </w:r>
      <w:r>
        <w:rPr>
          <w:rFonts w:hint="default" w:ascii="Times New Roman" w:hAnsi="Times New Roman" w:cs="Times New Roman"/>
          <w:color w:val="auto"/>
          <w:sz w:val="24"/>
        </w:rPr>
        <w:t>一般选用GB3095-2012中1小时平均取样时间的二级标准的浓度限值；对于没有小时浓度限值的污染物可取日平均浓度限值的3倍值。</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评价工作等级按《环境影响评价技术导则-大气环境》（HJ2.2-2008）中规定的分级判据进行划分，见表2.5-1。</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表2.5-1</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评价工作等级</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6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267"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6255"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267"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6255"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267"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6255"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267"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6255" w:type="dxa"/>
            <w:noWrap w:val="0"/>
            <w:vAlign w:val="center"/>
          </w:tcPr>
          <w:p>
            <w:pPr>
              <w:adjustRightInd w:val="0"/>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Pmax&lt;1.0%</w:t>
            </w:r>
          </w:p>
        </w:tc>
      </w:tr>
    </w:tbl>
    <w:p>
      <w:pPr>
        <w:pStyle w:val="378"/>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baseline"/>
        <w:rPr>
          <w:rFonts w:hint="default" w:ascii="Times New Roman" w:hAnsi="Times New Roman" w:cs="Times New Roman"/>
          <w:color w:val="auto"/>
        </w:rPr>
      </w:pPr>
      <w:r>
        <w:rPr>
          <w:rFonts w:hint="default" w:ascii="Times New Roman" w:hAnsi="Times New Roman" w:cs="Times New Roman"/>
          <w:color w:val="auto"/>
        </w:rPr>
        <w:t>②判别估算过程</w:t>
      </w:r>
    </w:p>
    <w:p>
      <w:pPr>
        <w:pStyle w:val="378"/>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ascii="Times New Roman" w:hAnsi="Times New Roman" w:cs="Times New Roman"/>
          <w:color w:val="auto"/>
        </w:rPr>
      </w:pPr>
      <w:r>
        <w:rPr>
          <w:rFonts w:hint="default" w:ascii="Times New Roman" w:hAnsi="Times New Roman" w:cs="Times New Roman"/>
          <w:color w:val="auto"/>
        </w:rPr>
        <w:t>项目废石堆场污染源的参数建表2.5-2和估算模型所用参数见表2.5-3</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表2.5-2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项目废石堆场污染源参数选取一览表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1559"/>
        <w:gridCol w:w="1134"/>
        <w:gridCol w:w="1134"/>
        <w:gridCol w:w="993"/>
        <w:gridCol w:w="1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85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55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污染源强（g/s）</w:t>
            </w:r>
          </w:p>
        </w:tc>
        <w:tc>
          <w:tcPr>
            <w:tcW w:w="113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面源宽度</w:t>
            </w:r>
          </w:p>
        </w:tc>
        <w:tc>
          <w:tcPr>
            <w:tcW w:w="113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面源长度</w:t>
            </w:r>
          </w:p>
        </w:tc>
        <w:tc>
          <w:tcPr>
            <w:tcW w:w="99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有效高</w:t>
            </w:r>
          </w:p>
        </w:tc>
        <w:tc>
          <w:tcPr>
            <w:tcW w:w="1751"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01"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废石堆场</w:t>
            </w:r>
          </w:p>
        </w:tc>
        <w:tc>
          <w:tcPr>
            <w:tcW w:w="85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5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16</w:t>
            </w:r>
          </w:p>
        </w:tc>
        <w:tc>
          <w:tcPr>
            <w:tcW w:w="113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13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9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51"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面源排放</w:t>
            </w:r>
          </w:p>
        </w:tc>
      </w:tr>
    </w:tbl>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表2.5-3</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估算模型参数表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955"/>
        <w:gridCol w:w="2300"/>
        <w:gridCol w:w="41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4255"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restart"/>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continue"/>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人口数(城市选项时)</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4255"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4255"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4255"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荒漠戈壁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4255"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restart"/>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continue"/>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restart"/>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是否考虑岸线熏烟</w:t>
            </w: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考虑岸线熏烟</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continue"/>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1955" w:type="dxa"/>
            <w:vMerge w:val="continue"/>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p>
        </w:tc>
        <w:tc>
          <w:tcPr>
            <w:tcW w:w="23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410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378"/>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baseline"/>
        <w:rPr>
          <w:rFonts w:hint="default" w:ascii="Times New Roman" w:hAnsi="Times New Roman" w:cs="Times New Roman"/>
          <w:color w:val="auto"/>
        </w:rPr>
      </w:pPr>
      <w:r>
        <w:rPr>
          <w:rFonts w:hint="default" w:ascii="Times New Roman" w:hAnsi="Times New Roman" w:cs="Times New Roman"/>
          <w:color w:val="auto"/>
        </w:rPr>
        <w:t>③确定评价等级</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w:t>
      </w:r>
      <w:r>
        <w:rPr>
          <w:rFonts w:hint="default" w:ascii="Times New Roman" w:hAnsi="Times New Roman" w:eastAsia="黑体" w:cs="Times New Roman"/>
          <w:color w:val="auto"/>
          <w:szCs w:val="21"/>
          <w:lang w:val="en-US" w:eastAsia="zh-CN"/>
        </w:rPr>
        <w:t xml:space="preserve">4  </w:t>
      </w:r>
      <w:r>
        <w:rPr>
          <w:rFonts w:hint="default" w:ascii="Times New Roman" w:hAnsi="Times New Roman" w:eastAsia="黑体" w:cs="Times New Roman"/>
          <w:color w:val="auto"/>
          <w:szCs w:val="21"/>
        </w:rPr>
        <w:t>项目废石堆场污染源估算一览表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71"/>
        <w:gridCol w:w="3431"/>
        <w:gridCol w:w="1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矿体废石场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978" w:type="pc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距离中心</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下风向距离D/m</w:t>
            </w:r>
          </w:p>
        </w:tc>
        <w:tc>
          <w:tcPr>
            <w:tcW w:w="2013" w:type="pc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下风向预测浓度</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color w:val="auto"/>
                <w:sz w:val="21"/>
                <w:szCs w:val="21"/>
              </w:rPr>
              <w:t>C</w:t>
            </w:r>
            <w:r>
              <w:rPr>
                <w:rFonts w:hint="default" w:ascii="Times New Roman" w:hAnsi="Times New Roman" w:eastAsia="宋体" w:cs="Times New Roman"/>
                <w:i/>
                <w:color w:val="auto"/>
                <w:sz w:val="21"/>
                <w:szCs w:val="21"/>
                <w:vertAlign w:val="subscript"/>
              </w:rPr>
              <w:t>i</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07" w:type="pct"/>
            <w:noWrap w:val="0"/>
            <w:vAlign w:val="center"/>
          </w:tcPr>
          <w:p>
            <w:pPr>
              <w:pStyle w:val="32"/>
              <w:spacing w:line="24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占标率</w:t>
            </w:r>
          </w:p>
          <w:p>
            <w:pPr>
              <w:pStyle w:val="32"/>
              <w:spacing w:line="240" w:lineRule="exact"/>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w:t>
            </w:r>
            <w:r>
              <w:rPr>
                <w:rFonts w:hint="eastAsia" w:ascii="Times New Roman" w:hAnsi="Times New Roman" w:eastAsia="宋体"/>
                <w:color w:val="auto"/>
              </w:rPr>
              <w:t>08383</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w:t>
            </w:r>
            <w:r>
              <w:rPr>
                <w:rFonts w:hint="eastAsia" w:ascii="Times New Roman" w:hAnsi="Times New Roman" w:eastAsia="宋体"/>
                <w:color w:val="auto"/>
              </w:rPr>
              <w:t>7275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8.08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0.05497</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6.10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0.03815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500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0.02975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600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0.02144</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700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0.01707</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800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0.01399</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900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0.01175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0.01005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0.003772</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0.002159</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0.001495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5000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0.001133</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最大浓度</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w:t>
            </w:r>
            <w:r>
              <w:rPr>
                <w:rFonts w:hint="eastAsia" w:ascii="Times New Roman" w:hAnsi="Times New Roman" w:eastAsia="宋体"/>
                <w:color w:val="auto"/>
              </w:rPr>
              <w:t>08598</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9.55</w:t>
            </w:r>
          </w:p>
        </w:tc>
      </w:tr>
    </w:tbl>
    <w:p>
      <w:pPr>
        <w:spacing w:line="360" w:lineRule="auto"/>
        <w:ind w:firstLine="480" w:firstLineChars="200"/>
        <w:rPr>
          <w:rFonts w:hint="eastAsia" w:ascii="Times New Roman" w:hAnsi="Times New Roman" w:cs="Times New Roman"/>
          <w:color w:val="auto"/>
          <w:sz w:val="24"/>
          <w:lang w:val="zh-CN"/>
        </w:rPr>
      </w:pPr>
      <w:r>
        <w:rPr>
          <w:rFonts w:hint="default" w:ascii="Times New Roman" w:hAnsi="Times New Roman" w:cs="Times New Roman"/>
          <w:color w:val="auto"/>
          <w:sz w:val="24"/>
        </w:rPr>
        <w:t>根据表2.5-4估算结果表明，</w:t>
      </w:r>
      <w:r>
        <w:rPr>
          <w:rFonts w:hint="eastAsia" w:ascii="Times New Roman" w:hAnsi="Times New Roman" w:cs="Times New Roman"/>
          <w:color w:val="auto"/>
          <w:sz w:val="24"/>
          <w:lang w:val="zh-CN"/>
        </w:rPr>
        <w:t>各污染源中污染物最大地面浓度占标率为</w:t>
      </w:r>
      <w:r>
        <w:rPr>
          <w:rFonts w:hint="eastAsia" w:ascii="Times New Roman" w:hAnsi="Times New Roman" w:cs="Times New Roman"/>
          <w:color w:val="auto"/>
          <w:sz w:val="24"/>
        </w:rPr>
        <w:t>9.55</w:t>
      </w:r>
      <w:r>
        <w:rPr>
          <w:rFonts w:hint="eastAsia" w:ascii="Times New Roman" w:hAnsi="Times New Roman" w:cs="Times New Roman"/>
          <w:color w:val="auto"/>
          <w:sz w:val="24"/>
          <w:lang w:val="zh-CN"/>
        </w:rPr>
        <w:t>%，</w:t>
      </w:r>
      <w:r>
        <w:rPr>
          <w:rFonts w:hint="eastAsia" w:ascii="Times New Roman" w:hAnsi="Times New Roman" w:cs="Times New Roman"/>
          <w:color w:val="auto"/>
          <w:sz w:val="24"/>
        </w:rPr>
        <w:t>最大落地距离距离废石堆场约122m（矿区范围内），大</w:t>
      </w:r>
      <w:r>
        <w:rPr>
          <w:rFonts w:hint="default" w:ascii="Times New Roman" w:hAnsi="Times New Roman" w:cs="Times New Roman"/>
          <w:color w:val="auto"/>
          <w:sz w:val="24"/>
        </w:rPr>
        <w:t>于</w:t>
      </w:r>
      <w:r>
        <w:rPr>
          <w:rFonts w:hint="eastAsia" w:ascii="Times New Roman" w:hAnsi="Times New Roman" w:cs="Times New Roman"/>
          <w:color w:val="auto"/>
          <w:sz w:val="24"/>
        </w:rPr>
        <w:t>1</w:t>
      </w:r>
      <w:r>
        <w:rPr>
          <w:rFonts w:hint="default" w:ascii="Times New Roman" w:hAnsi="Times New Roman" w:cs="Times New Roman"/>
          <w:color w:val="auto"/>
          <w:sz w:val="24"/>
        </w:rPr>
        <w:t>%</w:t>
      </w:r>
      <w:r>
        <w:rPr>
          <w:rFonts w:hint="eastAsia" w:ascii="Times New Roman" w:hAnsi="Times New Roman" w:cs="Times New Roman"/>
          <w:color w:val="auto"/>
          <w:sz w:val="24"/>
        </w:rPr>
        <w:t>小于10%</w:t>
      </w:r>
      <w:r>
        <w:rPr>
          <w:rFonts w:hint="eastAsia" w:ascii="Times New Roman" w:hAnsi="Times New Roman" w:cs="Times New Roman"/>
          <w:color w:val="auto"/>
          <w:sz w:val="24"/>
          <w:lang w:val="zh-CN"/>
        </w:rPr>
        <w:t>。根据《环境影响评价技术导则•大气环境》(HJ 2.2-2018)，本项目大气环境影响评价工作等级为二级。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）评价范围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范围：根据项目排放污染物的最远影响范围确定项目的大气环境影响评价范围。即以废石堆场为中心，自矿界外延D10％的矩形作为大气环境影响评价范围，据此确定本次大气评价范围为以矿界为中心、边长5km的矩形区域，</w:t>
      </w:r>
    </w:p>
    <w:p>
      <w:pPr>
        <w:pStyle w:val="5"/>
        <w:keepLines w:val="0"/>
        <w:spacing w:before="0" w:after="0" w:line="360" w:lineRule="auto"/>
        <w:rPr>
          <w:rFonts w:hint="default" w:ascii="Times New Roman" w:hAnsi="Times New Roman" w:cs="Times New Roman"/>
          <w:color w:val="auto"/>
          <w:sz w:val="24"/>
          <w:szCs w:val="24"/>
        </w:rPr>
      </w:pPr>
      <w:bookmarkStart w:id="159" w:name="_Toc7998959"/>
      <w:bookmarkStart w:id="160" w:name="_Toc17709351"/>
      <w:r>
        <w:rPr>
          <w:rFonts w:hint="default" w:ascii="Times New Roman" w:hAnsi="Times New Roman" w:cs="Times New Roman"/>
          <w:color w:val="auto"/>
          <w:sz w:val="24"/>
          <w:szCs w:val="24"/>
        </w:rPr>
        <w:t>2.5.2地表水环境影响评价工作等级及范围</w:t>
      </w:r>
      <w:bookmarkEnd w:id="159"/>
      <w:bookmarkEnd w:id="160"/>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地表水环境影响评价工作等级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根据《环境影响评价技术导则—地面水环境》（HJ2.3-2018），地表水评价工作等级分级见表2.5-5。</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表2.5-5</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地表水评价工作等级分级表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5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9" w:hRule="atLeast"/>
          <w:jc w:val="center"/>
        </w:trPr>
        <w:tc>
          <w:tcPr>
            <w:tcW w:w="1384" w:type="dxa"/>
            <w:vMerge w:val="restart"/>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7138" w:type="dxa"/>
            <w:gridSpan w:val="2"/>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4" w:hRule="atLeast"/>
          <w:jc w:val="center"/>
        </w:trPr>
        <w:tc>
          <w:tcPr>
            <w:tcW w:w="1384" w:type="dxa"/>
            <w:vMerge w:val="continue"/>
            <w:noWrap w:val="0"/>
            <w:vAlign w:val="center"/>
          </w:tcPr>
          <w:p>
            <w:pPr>
              <w:pStyle w:val="244"/>
              <w:spacing w:before="0" w:line="240" w:lineRule="auto"/>
              <w:ind w:firstLine="0" w:firstLineChars="0"/>
              <w:jc w:val="center"/>
              <w:rPr>
                <w:rFonts w:hint="default" w:ascii="Times New Roman" w:hAnsi="Times New Roman" w:cs="Times New Roman"/>
                <w:color w:val="auto"/>
                <w:sz w:val="21"/>
                <w:szCs w:val="21"/>
              </w:rPr>
            </w:pPr>
          </w:p>
        </w:tc>
        <w:tc>
          <w:tcPr>
            <w:tcW w:w="19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排放方式</w:t>
            </w:r>
          </w:p>
        </w:tc>
        <w:tc>
          <w:tcPr>
            <w:tcW w:w="515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废水排放量Q（m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4" w:hRule="atLeast"/>
          <w:jc w:val="center"/>
        </w:trPr>
        <w:tc>
          <w:tcPr>
            <w:tcW w:w="138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9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直接排放</w:t>
            </w:r>
          </w:p>
        </w:tc>
        <w:tc>
          <w:tcPr>
            <w:tcW w:w="515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7" w:hRule="atLeast"/>
          <w:jc w:val="center"/>
        </w:trPr>
        <w:tc>
          <w:tcPr>
            <w:tcW w:w="138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985" w:type="dxa"/>
            <w:noWrap w:val="0"/>
            <w:vAlign w:val="top"/>
          </w:tcPr>
          <w:p>
            <w:pPr>
              <w:jc w:val="center"/>
              <w:rPr>
                <w:rFonts w:hint="default" w:ascii="Times New Roman" w:hAnsi="Times New Roman" w:cs="Times New Roman"/>
                <w:color w:val="auto"/>
              </w:rPr>
            </w:pPr>
            <w:r>
              <w:rPr>
                <w:rFonts w:hint="default" w:ascii="Times New Roman" w:hAnsi="Times New Roman" w:eastAsia="宋体" w:cs="Times New Roman"/>
                <w:color w:val="auto"/>
                <w:szCs w:val="21"/>
              </w:rPr>
              <w:t>直接排放</w:t>
            </w:r>
          </w:p>
        </w:tc>
        <w:tc>
          <w:tcPr>
            <w:tcW w:w="515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9" w:hRule="atLeast"/>
          <w:jc w:val="center"/>
        </w:trPr>
        <w:tc>
          <w:tcPr>
            <w:tcW w:w="138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三级A</w:t>
            </w:r>
          </w:p>
        </w:tc>
        <w:tc>
          <w:tcPr>
            <w:tcW w:w="1985" w:type="dxa"/>
            <w:noWrap w:val="0"/>
            <w:vAlign w:val="top"/>
          </w:tcPr>
          <w:p>
            <w:pPr>
              <w:jc w:val="center"/>
              <w:rPr>
                <w:rFonts w:hint="default" w:ascii="Times New Roman" w:hAnsi="Times New Roman" w:cs="Times New Roman"/>
                <w:color w:val="auto"/>
              </w:rPr>
            </w:pPr>
            <w:r>
              <w:rPr>
                <w:rFonts w:hint="default" w:ascii="Times New Roman" w:hAnsi="Times New Roman" w:eastAsia="宋体" w:cs="Times New Roman"/>
                <w:color w:val="auto"/>
                <w:szCs w:val="21"/>
              </w:rPr>
              <w:t>直接排放</w:t>
            </w:r>
          </w:p>
        </w:tc>
        <w:tc>
          <w:tcPr>
            <w:tcW w:w="515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4" w:hRule="atLeast"/>
          <w:jc w:val="center"/>
        </w:trPr>
        <w:tc>
          <w:tcPr>
            <w:tcW w:w="1384"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三级B</w:t>
            </w:r>
          </w:p>
        </w:tc>
        <w:tc>
          <w:tcPr>
            <w:tcW w:w="19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间接排放</w:t>
            </w:r>
          </w:p>
        </w:tc>
        <w:tc>
          <w:tcPr>
            <w:tcW w:w="5153"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本项目生产废水为矿井涌水。矿井涌水经沉淀生产用水及项目区周边绿化用水，进行综合利用不外排。</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矿山年工作250d，项目区生活污水经污水处理措施处理后，全部用于周边绿化及道路洒水降尘，不外排。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总之，本工程产生的废（污）水在矿区进行处理后，可做到综合利用不外排，且项目区周边没有地表水，因此根据《环境影响评价技术导则 地面水环境》(HJ2.3-2018)，本项目地表水评价等级为三级 B，可不进行地表水影响预测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只需要对其简要分析。</w:t>
      </w:r>
    </w:p>
    <w:p>
      <w:pPr>
        <w:numPr>
          <w:ilvl w:val="0"/>
          <w:numId w:val="2"/>
        </w:numPr>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rPr>
        <w:t>地表水环境影响评价</w:t>
      </w:r>
      <w:r>
        <w:rPr>
          <w:rFonts w:hint="default" w:ascii="Times New Roman" w:hAnsi="Times New Roman" w:cs="Times New Roman"/>
          <w:color w:val="auto"/>
          <w:sz w:val="24"/>
          <w:szCs w:val="24"/>
          <w:lang w:eastAsia="zh-CN"/>
        </w:rPr>
        <w:t>范围</w:t>
      </w:r>
    </w:p>
    <w:p>
      <w:pPr>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本项目地表水评价等级为三级B，</w:t>
      </w:r>
      <w:r>
        <w:rPr>
          <w:rFonts w:hint="default" w:ascii="Times New Roman" w:hAnsi="Times New Roman" w:eastAsia="宋体" w:cs="Times New Roman"/>
          <w:color w:val="auto"/>
          <w:sz w:val="24"/>
          <w:szCs w:val="24"/>
          <w:lang w:eastAsia="zh-CN"/>
        </w:rPr>
        <w:t>因此不设置评价范围。</w:t>
      </w:r>
    </w:p>
    <w:p>
      <w:pPr>
        <w:pStyle w:val="5"/>
        <w:keepLines w:val="0"/>
        <w:spacing w:before="0" w:after="0" w:line="360" w:lineRule="auto"/>
        <w:rPr>
          <w:rFonts w:hint="default" w:ascii="Times New Roman" w:hAnsi="Times New Roman" w:cs="Times New Roman"/>
          <w:color w:val="auto"/>
          <w:sz w:val="24"/>
          <w:szCs w:val="24"/>
        </w:rPr>
      </w:pPr>
      <w:bookmarkStart w:id="161" w:name="_Toc28733_WPSOffice_Level2"/>
      <w:bookmarkStart w:id="162" w:name="_Toc7998960"/>
      <w:bookmarkStart w:id="163" w:name="_Toc17709352"/>
      <w:r>
        <w:rPr>
          <w:rFonts w:hint="default" w:ascii="Times New Roman" w:hAnsi="Times New Roman" w:cs="Times New Roman"/>
          <w:color w:val="auto"/>
          <w:sz w:val="24"/>
          <w:szCs w:val="24"/>
        </w:rPr>
        <w:t>2.5. 3地下水环境影响评价工作等级及范围</w:t>
      </w:r>
      <w:bookmarkEnd w:id="161"/>
      <w:bookmarkEnd w:id="162"/>
      <w:bookmarkEnd w:id="163"/>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szCs w:val="24"/>
        </w:rPr>
        <w:t>地下水环境影响评价工作等级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①地下水环境影响评价行业分类</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据《环境影响评价技术导则—地下水环境》（HJ610-2016）附录A，本建设项目从行业分类依次判断其类别如下表2.5-6所示。本项目为铜矿开采项目，同时结合其开采特点，确定本项目废石场属于Ⅰ类项目，其余场地属于Ⅲ类，</w:t>
      </w:r>
      <w:r>
        <w:rPr>
          <w:rFonts w:hint="default" w:ascii="Times New Roman" w:hAnsi="Times New Roman" w:cs="Times New Roman"/>
          <w:color w:val="auto"/>
          <w:sz w:val="24"/>
          <w:lang w:val="en-US" w:eastAsia="zh-CN"/>
        </w:rPr>
        <w:t>根据《环境影响评价技术导则—地下水环境》（HJ610-2016）6.2.2.3 当同一建设项目涉及两个或两个以上场地时，各场地应分别判定评价工作等级，并按相应等级开展评价工作。故本次报告书开展排土场及采矿区地下水评价等级划分及环境影响分析。本项目中排土场即为废石堆场，为防止混淆，报告书均称为“废石堆场”。</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表2.5-6</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建设项目地下水环境影响评价行业分类表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77"/>
        <w:gridCol w:w="779"/>
        <w:gridCol w:w="777"/>
        <w:gridCol w:w="3470"/>
        <w:gridCol w:w="1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9" w:hRule="atLeast"/>
        </w:trPr>
        <w:tc>
          <w:tcPr>
            <w:tcW w:w="2277" w:type="dxa"/>
            <w:vMerge w:val="restart"/>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       环评类别</w:t>
            </w:r>
          </w:p>
          <w:p>
            <w:pPr>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779" w:type="dxa"/>
            <w:vMerge w:val="restart"/>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报告书</w:t>
            </w:r>
          </w:p>
        </w:tc>
        <w:tc>
          <w:tcPr>
            <w:tcW w:w="777" w:type="dxa"/>
            <w:vMerge w:val="restart"/>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报告表</w:t>
            </w:r>
          </w:p>
        </w:tc>
        <w:tc>
          <w:tcPr>
            <w:tcW w:w="4689" w:type="dxa"/>
            <w:gridSpan w:val="2"/>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地下水环境影响评价类别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93" w:hRule="atLeast"/>
        </w:trPr>
        <w:tc>
          <w:tcPr>
            <w:tcW w:w="2277" w:type="dxa"/>
            <w:vMerge w:val="continue"/>
            <w:noWrap w:val="0"/>
            <w:vAlign w:val="center"/>
          </w:tcPr>
          <w:p>
            <w:pPr>
              <w:snapToGrid w:val="0"/>
              <w:jc w:val="center"/>
              <w:rPr>
                <w:rFonts w:hint="default" w:ascii="Times New Roman" w:hAnsi="Times New Roman" w:eastAsia="宋体" w:cs="Times New Roman"/>
                <w:color w:val="auto"/>
                <w:szCs w:val="21"/>
              </w:rPr>
            </w:pPr>
          </w:p>
        </w:tc>
        <w:tc>
          <w:tcPr>
            <w:tcW w:w="779" w:type="dxa"/>
            <w:vMerge w:val="continue"/>
            <w:noWrap w:val="0"/>
            <w:vAlign w:val="center"/>
          </w:tcPr>
          <w:p>
            <w:pPr>
              <w:snapToGrid w:val="0"/>
              <w:jc w:val="center"/>
              <w:rPr>
                <w:rFonts w:hint="default" w:ascii="Times New Roman" w:hAnsi="Times New Roman" w:eastAsia="宋体" w:cs="Times New Roman"/>
                <w:color w:val="auto"/>
                <w:szCs w:val="21"/>
              </w:rPr>
            </w:pPr>
          </w:p>
        </w:tc>
        <w:tc>
          <w:tcPr>
            <w:tcW w:w="777" w:type="dxa"/>
            <w:vMerge w:val="continue"/>
            <w:noWrap w:val="0"/>
            <w:vAlign w:val="center"/>
          </w:tcPr>
          <w:p>
            <w:pPr>
              <w:snapToGrid w:val="0"/>
              <w:jc w:val="center"/>
              <w:rPr>
                <w:rFonts w:hint="default" w:ascii="Times New Roman" w:hAnsi="Times New Roman" w:eastAsia="宋体" w:cs="Times New Roman"/>
                <w:color w:val="auto"/>
                <w:szCs w:val="21"/>
              </w:rPr>
            </w:pPr>
          </w:p>
        </w:tc>
        <w:tc>
          <w:tcPr>
            <w:tcW w:w="3470"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报告书</w:t>
            </w:r>
          </w:p>
        </w:tc>
        <w:tc>
          <w:tcPr>
            <w:tcW w:w="1219"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5" w:hRule="atLeast"/>
        </w:trPr>
        <w:tc>
          <w:tcPr>
            <w:tcW w:w="8522" w:type="dxa"/>
            <w:gridSpan w:val="5"/>
            <w:noWrap w:val="0"/>
            <w:vAlign w:val="center"/>
          </w:tcPr>
          <w:p>
            <w:pPr>
              <w:snapToGrid w:val="0"/>
              <w:ind w:firstLine="735" w:firstLineChars="3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H有色金属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1" w:hRule="atLeast"/>
        </w:trPr>
        <w:tc>
          <w:tcPr>
            <w:tcW w:w="2277"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47采选</w:t>
            </w:r>
          </w:p>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（含单独尾矿库）</w:t>
            </w:r>
          </w:p>
        </w:tc>
        <w:tc>
          <w:tcPr>
            <w:tcW w:w="779"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全部</w:t>
            </w:r>
          </w:p>
        </w:tc>
        <w:tc>
          <w:tcPr>
            <w:tcW w:w="777"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470" w:type="dxa"/>
            <w:noWrap w:val="0"/>
            <w:vAlign w:val="center"/>
          </w:tcPr>
          <w:p>
            <w:pPr>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排土场、尾矿库Ⅰ类，选矿厂</w:t>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2 \* ROMAN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lang/>
              </w:rPr>
              <w:t>II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类，其余Ⅲ类</w:t>
            </w:r>
          </w:p>
        </w:tc>
        <w:tc>
          <w:tcPr>
            <w:tcW w:w="1219" w:type="dxa"/>
            <w:noWrap w:val="0"/>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②项目地下水敏感程度判定  </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地下水环境》（HJ610-2016），将建设项目场地的地下水环境敏感程度可分为敏感、较敏感、不敏感三级，具体见表2.5-7。</w: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表2.5-7</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地下水环境敏感程度分级</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3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220"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分级</w:t>
            </w:r>
          </w:p>
        </w:tc>
        <w:tc>
          <w:tcPr>
            <w:tcW w:w="7302"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220"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敏感</w:t>
            </w:r>
          </w:p>
        </w:tc>
        <w:tc>
          <w:tcPr>
            <w:tcW w:w="7302" w:type="dxa"/>
            <w:noWrap w:val="0"/>
            <w:vAlign w:val="top"/>
          </w:tcPr>
          <w:p>
            <w:pPr>
              <w:spacing w:line="26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集中式饮用水水源地（包括己建成的在用、备用、应急水源地，在建和规划的水源地）准保护区；除集中式饮用水水源地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220"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较敏感</w:t>
            </w:r>
          </w:p>
        </w:tc>
        <w:tc>
          <w:tcPr>
            <w:tcW w:w="7302" w:type="dxa"/>
            <w:noWrap w:val="0"/>
            <w:vAlign w:val="top"/>
          </w:tcPr>
          <w:p>
            <w:pPr>
              <w:spacing w:line="26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集中式饮用水水源地（包括已建成的在用、备用、应急水源地，在建和规划的水源地）准保护区以外的补给径流区；特殊地下水资源（如矿泉水、温泉等）保护区以外的分布区以及分散式居民饮用水源等其它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220" w:type="dxa"/>
            <w:noWrap w:val="0"/>
            <w:vAlign w:val="center"/>
          </w:tcPr>
          <w:p>
            <w:pPr>
              <w:spacing w:line="2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不敏感</w:t>
            </w:r>
          </w:p>
        </w:tc>
        <w:tc>
          <w:tcPr>
            <w:tcW w:w="7302" w:type="dxa"/>
            <w:noWrap w:val="0"/>
            <w:vAlign w:val="center"/>
          </w:tcPr>
          <w:p>
            <w:pPr>
              <w:spacing w:line="26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上述地区之外的其它地区</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本矿区位于</w:t>
      </w:r>
      <w:r>
        <w:rPr>
          <w:rFonts w:hint="default" w:ascii="Times New Roman" w:hAnsi="Times New Roman" w:cs="Times New Roman"/>
          <w:color w:val="auto"/>
          <w:kern w:val="0"/>
          <w:sz w:val="24"/>
        </w:rPr>
        <w:t>乌鲁木齐市115°方位、直距44km处</w:t>
      </w:r>
      <w:r>
        <w:rPr>
          <w:rFonts w:hint="default" w:ascii="Times New Roman" w:hAnsi="Times New Roman" w:cs="Times New Roman"/>
          <w:color w:val="auto"/>
          <w:sz w:val="24"/>
        </w:rPr>
        <w:t>，矿区中心地理坐标为：东经</w:t>
      </w:r>
      <w:r>
        <w:rPr>
          <w:rFonts w:hint="default" w:ascii="Times New Roman" w:hAnsi="Times New Roman" w:cs="Times New Roman"/>
          <w:color w:val="auto"/>
          <w:kern w:val="0"/>
          <w:sz w:val="24"/>
        </w:rPr>
        <w:t>88°07′46″，北纬43°39′07″</w:t>
      </w:r>
      <w:r>
        <w:rPr>
          <w:rFonts w:hint="default" w:ascii="Times New Roman" w:hAnsi="Times New Roman" w:cs="Times New Roman"/>
          <w:color w:val="auto"/>
          <w:sz w:val="24"/>
        </w:rPr>
        <w:t>。项目区不在集中式饮用水源地准保护区范围内，也不在国家或地方政府设定的与地下水环境相关的其它保护区内；不在集中式饮用水水源地准保护区以外的补给径流区内，也不属于特殊地下水资源保护区以外的分布区以及分散居民饮用水源等环境敏感区。因此，项目区地下水环境敏感程度分级为不敏感。</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③评价工作等级判定</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《环境影响评价技术导则 地下水环境》（HJ 610-2016）中，评价工作等级的划分应依据建设项目行业分类和地下水环境敏感程度分级进行判定，可划分为一、二、三级。地下水环境影响评价工作等级划分见表2.5-8。</w:t>
      </w:r>
    </w:p>
    <w:p>
      <w:pPr>
        <w:overflowPunct w:val="0"/>
        <w:jc w:val="center"/>
        <w:rPr>
          <w:rFonts w:hint="default" w:ascii="Times New Roman" w:hAnsi="Times New Roman" w:cs="Times New Roman"/>
          <w:b/>
          <w:color w:val="auto"/>
          <w:szCs w:val="21"/>
        </w:rPr>
      </w:pPr>
      <w:r>
        <w:rPr>
          <w:rFonts w:hint="default" w:ascii="Times New Roman" w:hAnsi="Times New Roman" w:eastAsia="黑体" w:cs="Times New Roman"/>
          <w:color w:val="auto"/>
          <w:szCs w:val="21"/>
        </w:rPr>
        <w:t>表2.5-8   评价工作等级分级表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45"/>
        <w:gridCol w:w="2192"/>
        <w:gridCol w:w="2193"/>
        <w:gridCol w:w="21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tblHeader/>
          <w:jc w:val="center"/>
        </w:trPr>
        <w:tc>
          <w:tcPr>
            <w:tcW w:w="1945"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szCs w:val="21"/>
              </w:rPr>
              <mc:AlternateContent>
                <mc:Choice Requires="wps">
                  <w:drawing>
                    <wp:anchor distT="0" distB="0" distL="114300" distR="114300" simplePos="0" relativeHeight="251670528" behindDoc="0" locked="0" layoutInCell="1" allowOverlap="1">
                      <wp:simplePos x="0" y="0"/>
                      <wp:positionH relativeFrom="column">
                        <wp:posOffset>-33020</wp:posOffset>
                      </wp:positionH>
                      <wp:positionV relativeFrom="paragraph">
                        <wp:posOffset>11430</wp:posOffset>
                      </wp:positionV>
                      <wp:extent cx="1173480" cy="320675"/>
                      <wp:effectExtent l="1270" t="4445" r="6350" b="17780"/>
                      <wp:wrapNone/>
                      <wp:docPr id="13" name="直线 10"/>
                      <wp:cNvGraphicFramePr/>
                      <a:graphic xmlns:a="http://schemas.openxmlformats.org/drawingml/2006/main">
                        <a:graphicData uri="http://schemas.microsoft.com/office/word/2010/wordprocessingShape">
                          <wps:wsp>
                            <wps:cNvSpPr/>
                            <wps:spPr>
                              <a:xfrm>
                                <a:off x="0" y="0"/>
                                <a:ext cx="1173480" cy="320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2.6pt;margin-top:0.9pt;height:25.25pt;width:92.4pt;z-index:251670528;mso-width-relative:page;mso-height-relative:page;" filled="f" stroked="t" coordsize="21600,21600" o:gfxdata="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p0SMNUAAAAHAQAADwAAAAAAAAABACAAAAAiAAAA&#10;ZHJzL2Rvd25yZXYueG1sUEsBAhQAFAAAAAgAh07iQAVSuwbRAQAAlAMAAA4AAAAAAAAAAQAgAAAA&#10;JAEAAGRycy9lMm9Eb2MueG1sUEsFBgAAAAAGAAYAWQEAAGcFA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kern w:val="21"/>
                <w:szCs w:val="21"/>
              </w:rPr>
              <w:t xml:space="preserve">      项目类别</w:t>
            </w:r>
          </w:p>
          <w:p>
            <w:pPr>
              <w:tabs>
                <w:tab w:val="left" w:pos="422"/>
                <w:tab w:val="center" w:pos="925"/>
              </w:tabs>
              <w:overflowPunct w:val="0"/>
              <w:adjustRightInd w:val="0"/>
              <w:snapToGrid w:val="0"/>
              <w:jc w:val="left"/>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环境</w:t>
            </w:r>
            <w:r>
              <w:rPr>
                <w:rFonts w:hint="default" w:ascii="Times New Roman" w:hAnsi="Times New Roman" w:eastAsia="宋体" w:cs="Times New Roman"/>
                <w:color w:val="auto"/>
                <w:kern w:val="21"/>
                <w:szCs w:val="21"/>
              </w:rPr>
              <w:tab/>
            </w:r>
            <w:r>
              <w:rPr>
                <w:rFonts w:hint="default" w:ascii="Times New Roman" w:hAnsi="Times New Roman" w:eastAsia="宋体" w:cs="Times New Roman"/>
                <w:color w:val="auto"/>
                <w:kern w:val="21"/>
                <w:szCs w:val="21"/>
              </w:rPr>
              <w:t>敏感程度</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fldChar w:fldCharType="begin"/>
            </w:r>
            <w:r>
              <w:rPr>
                <w:rFonts w:hint="default" w:ascii="Times New Roman" w:hAnsi="Times New Roman" w:eastAsia="宋体" w:cs="Times New Roman"/>
                <w:color w:val="auto"/>
                <w:kern w:val="21"/>
                <w:szCs w:val="21"/>
              </w:rPr>
              <w:instrText xml:space="preserve"> = 1 \* ROMAN \* MERGEFORMAT </w:instrText>
            </w:r>
            <w:r>
              <w:rPr>
                <w:rFonts w:hint="default" w:ascii="Times New Roman" w:hAnsi="Times New Roman" w:eastAsia="宋体" w:cs="Times New Roman"/>
                <w:color w:val="auto"/>
                <w:kern w:val="21"/>
                <w:szCs w:val="21"/>
              </w:rPr>
              <w:fldChar w:fldCharType="separate"/>
            </w:r>
            <w:r>
              <w:rPr>
                <w:rFonts w:hint="default" w:ascii="Times New Roman" w:hAnsi="Times New Roman" w:eastAsia="宋体" w:cs="Times New Roman"/>
                <w:color w:val="auto"/>
                <w:szCs w:val="21"/>
              </w:rPr>
              <w:t>I</w:t>
            </w:r>
            <w:r>
              <w:rPr>
                <w:rFonts w:hint="default" w:ascii="Times New Roman" w:hAnsi="Times New Roman" w:eastAsia="宋体" w:cs="Times New Roman"/>
                <w:color w:val="auto"/>
                <w:kern w:val="21"/>
                <w:szCs w:val="21"/>
              </w:rPr>
              <w:fldChar w:fldCharType="end"/>
            </w:r>
            <w:r>
              <w:rPr>
                <w:rFonts w:hint="default" w:ascii="Times New Roman" w:hAnsi="Times New Roman" w:eastAsia="宋体" w:cs="Times New Roman"/>
                <w:color w:val="auto"/>
                <w:kern w:val="21"/>
                <w:szCs w:val="21"/>
              </w:rPr>
              <w:t xml:space="preserve"> 类项目</w:t>
            </w:r>
          </w:p>
        </w:tc>
        <w:tc>
          <w:tcPr>
            <w:tcW w:w="2193"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fldChar w:fldCharType="begin"/>
            </w:r>
            <w:r>
              <w:rPr>
                <w:rFonts w:hint="default" w:ascii="Times New Roman" w:hAnsi="Times New Roman" w:eastAsia="宋体" w:cs="Times New Roman"/>
                <w:color w:val="auto"/>
                <w:kern w:val="21"/>
                <w:szCs w:val="21"/>
              </w:rPr>
              <w:instrText xml:space="preserve"> = 2 \* ROMAN \* MERGEFORMAT </w:instrText>
            </w:r>
            <w:r>
              <w:rPr>
                <w:rFonts w:hint="default" w:ascii="Times New Roman" w:hAnsi="Times New Roman" w:eastAsia="宋体" w:cs="Times New Roman"/>
                <w:color w:val="auto"/>
                <w:kern w:val="21"/>
                <w:szCs w:val="21"/>
              </w:rPr>
              <w:fldChar w:fldCharType="separate"/>
            </w:r>
            <w:r>
              <w:rPr>
                <w:rFonts w:hint="default" w:ascii="Times New Roman" w:hAnsi="Times New Roman" w:eastAsia="宋体" w:cs="Times New Roman"/>
                <w:color w:val="auto"/>
                <w:szCs w:val="21"/>
              </w:rPr>
              <w:t>II</w:t>
            </w:r>
            <w:r>
              <w:rPr>
                <w:rFonts w:hint="default" w:ascii="Times New Roman" w:hAnsi="Times New Roman" w:eastAsia="宋体" w:cs="Times New Roman"/>
                <w:color w:val="auto"/>
                <w:kern w:val="21"/>
                <w:szCs w:val="21"/>
              </w:rPr>
              <w:fldChar w:fldCharType="end"/>
            </w:r>
            <w:r>
              <w:rPr>
                <w:rFonts w:hint="default" w:ascii="Times New Roman" w:hAnsi="Times New Roman" w:eastAsia="宋体" w:cs="Times New Roman"/>
                <w:color w:val="auto"/>
                <w:kern w:val="21"/>
                <w:szCs w:val="21"/>
              </w:rPr>
              <w:t xml:space="preserve"> 类项目</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fldChar w:fldCharType="begin"/>
            </w:r>
            <w:r>
              <w:rPr>
                <w:rFonts w:hint="default" w:ascii="Times New Roman" w:hAnsi="Times New Roman" w:eastAsia="宋体" w:cs="Times New Roman"/>
                <w:color w:val="auto"/>
                <w:kern w:val="21"/>
                <w:szCs w:val="21"/>
              </w:rPr>
              <w:instrText xml:space="preserve"> = 3 \* ROMAN \* MERGEFORMAT </w:instrText>
            </w:r>
            <w:r>
              <w:rPr>
                <w:rFonts w:hint="default" w:ascii="Times New Roman" w:hAnsi="Times New Roman" w:eastAsia="宋体" w:cs="Times New Roman"/>
                <w:color w:val="auto"/>
                <w:kern w:val="21"/>
                <w:szCs w:val="21"/>
              </w:rPr>
              <w:fldChar w:fldCharType="separate"/>
            </w:r>
            <w:r>
              <w:rPr>
                <w:rFonts w:hint="default" w:ascii="Times New Roman" w:hAnsi="Times New Roman" w:eastAsia="宋体" w:cs="Times New Roman"/>
                <w:color w:val="auto"/>
                <w:szCs w:val="21"/>
              </w:rPr>
              <w:t>III</w:t>
            </w:r>
            <w:r>
              <w:rPr>
                <w:rFonts w:hint="default" w:ascii="Times New Roman" w:hAnsi="Times New Roman" w:eastAsia="宋体" w:cs="Times New Roman"/>
                <w:color w:val="auto"/>
                <w:kern w:val="21"/>
                <w:szCs w:val="21"/>
              </w:rPr>
              <w:fldChar w:fldCharType="end"/>
            </w:r>
            <w:r>
              <w:rPr>
                <w:rFonts w:hint="default" w:ascii="Times New Roman" w:hAnsi="Times New Roman" w:eastAsia="宋体" w:cs="Times New Roman"/>
                <w:color w:val="auto"/>
                <w:kern w:val="21"/>
                <w:szCs w:val="21"/>
              </w:rPr>
              <w:t xml:space="preserve"> 类项目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tblHeader/>
          <w:jc w:val="center"/>
        </w:trPr>
        <w:tc>
          <w:tcPr>
            <w:tcW w:w="1945"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敏感</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一</w:t>
            </w:r>
          </w:p>
        </w:tc>
        <w:tc>
          <w:tcPr>
            <w:tcW w:w="2193"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一</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tblHeader/>
          <w:jc w:val="center"/>
        </w:trPr>
        <w:tc>
          <w:tcPr>
            <w:tcW w:w="1945"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较敏感</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一</w:t>
            </w:r>
          </w:p>
        </w:tc>
        <w:tc>
          <w:tcPr>
            <w:tcW w:w="2193"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二</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tblHeader/>
          <w:jc w:val="center"/>
        </w:trPr>
        <w:tc>
          <w:tcPr>
            <w:tcW w:w="1945"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不敏感</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二</w:t>
            </w:r>
          </w:p>
        </w:tc>
        <w:tc>
          <w:tcPr>
            <w:tcW w:w="2193"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三</w:t>
            </w:r>
          </w:p>
        </w:tc>
        <w:tc>
          <w:tcPr>
            <w:tcW w:w="2192" w:type="dxa"/>
            <w:noWrap w:val="0"/>
            <w:vAlign w:val="center"/>
          </w:tcPr>
          <w:p>
            <w:pPr>
              <w:overflowPunct w:val="0"/>
              <w:adjustRightInd w:val="0"/>
              <w:snapToGrid w:val="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三</w:t>
            </w:r>
          </w:p>
        </w:tc>
      </w:tr>
    </w:tbl>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本项目废石场地下水属于Ⅰ类建设项目、采矿区域地下水属于Ⅲ类建设项目，所在区域地下水环境敏感程度为不敏感。因此依据地下水导则规定确定，本项目废石场地下水环境评价等级为二级，采矿区域（Ⅲ类建设项目）地下水环境评价等级为</w:t>
      </w:r>
      <w:r>
        <w:rPr>
          <w:rFonts w:hint="default" w:ascii="Times New Roman" w:hAnsi="Times New Roman" w:cs="Times New Roman"/>
          <w:color w:val="auto"/>
          <w:sz w:val="24"/>
          <w:lang w:eastAsia="zh-CN"/>
        </w:rPr>
        <w:t>三</w:t>
      </w:r>
      <w:r>
        <w:rPr>
          <w:rFonts w:hint="default" w:ascii="Times New Roman" w:hAnsi="Times New Roman" w:cs="Times New Roman"/>
          <w:color w:val="auto"/>
          <w:sz w:val="24"/>
        </w:rPr>
        <w:t>级</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szCs w:val="24"/>
        </w:rPr>
        <w:t>具体见表2.5-9。</w:t>
      </w:r>
    </w:p>
    <w:p>
      <w:pPr>
        <w:overflowPunct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w:t>
      </w:r>
      <w:r>
        <w:rPr>
          <w:rFonts w:hint="default" w:ascii="Times New Roman" w:hAnsi="Times New Roman" w:eastAsia="黑体" w:cs="Times New Roman"/>
          <w:color w:val="auto"/>
          <w:szCs w:val="21"/>
          <w:lang w:val="en-US" w:eastAsia="zh-CN"/>
        </w:rPr>
        <w:t xml:space="preserve">9  </w:t>
      </w:r>
      <w:r>
        <w:rPr>
          <w:rFonts w:hint="default" w:ascii="Times New Roman" w:hAnsi="Times New Roman" w:eastAsia="黑体" w:cs="Times New Roman"/>
          <w:color w:val="auto"/>
          <w:szCs w:val="21"/>
        </w:rPr>
        <w:t>各采区地下水评价分级一览表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2079"/>
        <w:gridCol w:w="1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项目</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地下水敏感程度</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Ⅰ号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Ⅱ号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Ⅲ号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Ⅳ号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Ⅳ号矿体</w:t>
            </w:r>
            <w:r>
              <w:rPr>
                <w:rFonts w:hint="default" w:ascii="Times New Roman" w:hAnsi="Times New Roman" w:eastAsia="宋体" w:cs="Times New Roman"/>
                <w:b w:val="0"/>
                <w:bCs/>
                <w:color w:val="auto"/>
                <w:sz w:val="21"/>
                <w:szCs w:val="21"/>
                <w:u w:val="none"/>
              </w:rPr>
              <w:t>工业场地</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lang w:eastAsia="zh-CN"/>
              </w:rPr>
              <w:t>三</w:t>
            </w:r>
            <w:r>
              <w:rPr>
                <w:rFonts w:hint="default" w:ascii="Times New Roman" w:hAnsi="Times New Roman" w:eastAsia="宋体" w:cs="Times New Roman"/>
                <w:b w:val="0"/>
                <w:bCs/>
                <w:color w:val="auto"/>
                <w:sz w:val="21"/>
                <w:szCs w:val="21"/>
                <w:u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Ⅴ号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Ⅵ号</w:t>
            </w:r>
            <w:r>
              <w:rPr>
                <w:rFonts w:hint="default" w:ascii="Times New Roman" w:hAnsi="Times New Roman" w:eastAsia="宋体" w:cs="Times New Roman"/>
                <w:b w:val="0"/>
                <w:bCs/>
                <w:color w:val="auto"/>
                <w:sz w:val="21"/>
                <w:szCs w:val="21"/>
                <w:u w:val="none"/>
              </w:rPr>
              <w:t>采区开拓系统</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sz w:val="21"/>
                <w:szCs w:val="21"/>
              </w:rPr>
              <w:t>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Ⅵ号矿体</w:t>
            </w:r>
            <w:r>
              <w:rPr>
                <w:rFonts w:hint="default" w:ascii="Times New Roman" w:hAnsi="Times New Roman" w:eastAsia="宋体" w:cs="Times New Roman"/>
                <w:b w:val="0"/>
                <w:bCs/>
                <w:color w:val="auto"/>
                <w:sz w:val="21"/>
                <w:szCs w:val="21"/>
                <w:u w:val="none"/>
              </w:rPr>
              <w:t>工业场地</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lang w:eastAsia="zh-CN"/>
              </w:rPr>
              <w:t>三</w:t>
            </w:r>
            <w:r>
              <w:rPr>
                <w:rFonts w:hint="default" w:ascii="Times New Roman" w:hAnsi="Times New Roman" w:eastAsia="宋体" w:cs="Times New Roman"/>
                <w:b w:val="0"/>
                <w:bCs/>
                <w:color w:val="auto"/>
                <w:sz w:val="21"/>
                <w:szCs w:val="21"/>
                <w:u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8"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废石场</w:t>
            </w:r>
          </w:p>
        </w:tc>
        <w:tc>
          <w:tcPr>
            <w:tcW w:w="207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不敏感</w:t>
            </w:r>
          </w:p>
        </w:tc>
        <w:tc>
          <w:tcPr>
            <w:tcW w:w="1905"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u w:val="none"/>
                <w:lang w:eastAsia="zh-CN"/>
              </w:rPr>
            </w:pPr>
            <w:r>
              <w:rPr>
                <w:rFonts w:hint="default" w:ascii="Times New Roman" w:hAnsi="Times New Roman" w:eastAsia="宋体" w:cs="Times New Roman"/>
                <w:b w:val="0"/>
                <w:bCs/>
                <w:color w:val="auto"/>
                <w:sz w:val="21"/>
                <w:szCs w:val="21"/>
                <w:u w:val="none"/>
                <w:lang w:eastAsia="zh-CN"/>
              </w:rPr>
              <w:t>二</w:t>
            </w:r>
            <w:r>
              <w:rPr>
                <w:rFonts w:hint="default" w:ascii="Times New Roman" w:hAnsi="Times New Roman" w:eastAsia="宋体" w:cs="Times New Roman"/>
                <w:b w:val="0"/>
                <w:bCs/>
                <w:color w:val="auto"/>
                <w:sz w:val="21"/>
                <w:szCs w:val="21"/>
                <w:u w:val="none"/>
              </w:rPr>
              <w:t>级</w:t>
            </w:r>
          </w:p>
        </w:tc>
      </w:tr>
    </w:tbl>
    <w:p>
      <w:pPr>
        <w:pStyle w:val="2"/>
        <w:rPr>
          <w:rFonts w:hint="default" w:ascii="Times New Roman" w:hAnsi="Times New Roman" w:cs="Times New Roman"/>
          <w:color w:val="auto"/>
          <w:lang w:eastAsia="zh-CN"/>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）地下水评价范围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根据区域水文地质资料，地下水呈北向南方向径流。该项目</w:t>
      </w:r>
      <w:r>
        <w:rPr>
          <w:rFonts w:hint="default" w:ascii="Times New Roman" w:hAnsi="Times New Roman" w:cs="Times New Roman"/>
          <w:color w:val="auto"/>
          <w:sz w:val="24"/>
          <w:lang w:eastAsia="zh-CN"/>
        </w:rPr>
        <w:t>废石场</w:t>
      </w:r>
      <w:r>
        <w:rPr>
          <w:rFonts w:hint="default" w:ascii="Times New Roman" w:hAnsi="Times New Roman" w:cs="Times New Roman"/>
          <w:color w:val="auto"/>
          <w:sz w:val="24"/>
        </w:rPr>
        <w:t>地下水评价等级为二级</w:t>
      </w:r>
      <w:r>
        <w:rPr>
          <w:rFonts w:hint="default" w:ascii="Times New Roman" w:hAnsi="Times New Roman" w:cs="Times New Roman"/>
          <w:color w:val="auto"/>
          <w:sz w:val="24"/>
          <w:lang w:eastAsia="zh-CN"/>
        </w:rPr>
        <w:t>，采矿区及工业广场</w:t>
      </w:r>
      <w:r>
        <w:rPr>
          <w:rFonts w:hint="default" w:ascii="Times New Roman" w:hAnsi="Times New Roman" w:cs="Times New Roman"/>
          <w:color w:val="auto"/>
          <w:sz w:val="24"/>
        </w:rPr>
        <w:t>地下水评价等级为</w:t>
      </w:r>
      <w:r>
        <w:rPr>
          <w:rFonts w:hint="default" w:ascii="Times New Roman" w:hAnsi="Times New Roman" w:cs="Times New Roman"/>
          <w:color w:val="auto"/>
          <w:sz w:val="24"/>
          <w:lang w:eastAsia="zh-CN"/>
        </w:rPr>
        <w:t>三</w:t>
      </w:r>
      <w:r>
        <w:rPr>
          <w:rFonts w:hint="default" w:ascii="Times New Roman" w:hAnsi="Times New Roman" w:cs="Times New Roman"/>
          <w:color w:val="auto"/>
          <w:sz w:val="24"/>
        </w:rPr>
        <w:t>级；根据查表法，地下水二级评价的评价范围为6-20km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三</w:t>
      </w:r>
      <w:r>
        <w:rPr>
          <w:rFonts w:hint="default" w:ascii="Times New Roman" w:hAnsi="Times New Roman" w:cs="Times New Roman"/>
          <w:color w:val="auto"/>
          <w:sz w:val="24"/>
        </w:rPr>
        <w:t>级评价的评价范围为≤6km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，必要时可适当扩大范围；本项目地下水评价范围以废石场为中心，地下水环境评价范围拟定为项目区地下水区域上游1.0km，下游1.5km，侧向各1km 的区域，向地下水流侧向各延伸约500~1000m，同时兼顾废石场所在的独立的水文地质单元，因此项目地下水环境评价范围最终确定约为6.25km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，评价范围见图2-1。</w:t>
      </w:r>
    </w:p>
    <w:p>
      <w:pPr>
        <w:pStyle w:val="5"/>
        <w:keepLines w:val="0"/>
        <w:spacing w:before="0" w:after="0" w:line="360" w:lineRule="auto"/>
        <w:rPr>
          <w:rFonts w:hint="default" w:ascii="Times New Roman" w:hAnsi="Times New Roman" w:cs="Times New Roman"/>
          <w:bCs w:val="0"/>
          <w:color w:val="auto"/>
          <w:sz w:val="24"/>
          <w:szCs w:val="24"/>
        </w:rPr>
      </w:pPr>
      <w:bookmarkStart w:id="164" w:name="_Toc17709353"/>
      <w:bookmarkStart w:id="165" w:name="_Toc7998961"/>
      <w:r>
        <w:rPr>
          <w:rFonts w:hint="default" w:ascii="Times New Roman" w:hAnsi="Times New Roman" w:cs="Times New Roman"/>
          <w:bCs w:val="0"/>
          <w:color w:val="auto"/>
          <w:sz w:val="24"/>
          <w:szCs w:val="24"/>
        </w:rPr>
        <w:t>2.5.4声环境影响评价工作等级及范围</w:t>
      </w:r>
      <w:bookmarkEnd w:id="164"/>
      <w:bookmarkEnd w:id="165"/>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（1）声环境影响评价工作等级</w:t>
      </w:r>
    </w:p>
    <w:p>
      <w:pPr>
        <w:pStyle w:val="31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声环境影响评价工作等级一般分为三级，一级为详细评价，二级为一般性评价，三级为简要评价。评价等级划分原则如下：</w:t>
      </w:r>
    </w:p>
    <w:p>
      <w:pPr>
        <w:pStyle w:val="315"/>
        <w:jc w:val="both"/>
        <w:rPr>
          <w:rFonts w:hint="default" w:ascii="Times New Roman" w:hAnsi="Times New Roman" w:cs="Times New Roman"/>
          <w:color w:val="auto"/>
          <w:sz w:val="24"/>
        </w:rPr>
      </w:pPr>
      <w:r>
        <w:rPr>
          <w:rFonts w:hint="default" w:ascii="Times New Roman" w:hAnsi="Times New Roman" w:cs="Times New Roman"/>
          <w:color w:val="auto"/>
          <w:sz w:val="24"/>
          <w:szCs w:val="24"/>
        </w:rPr>
        <w:t>建设项目所处的声环境功能区为GB3096规定的1类、2类地区，或建设项目建设前后评价范围内敏感目标噪声级增高量达3dB（A）～5dB（A）以上（含5dB（A）），或受噪声影响人口数量增加较多时，按二级评价。</w:t>
      </w:r>
      <w:r>
        <w:rPr>
          <w:rFonts w:hint="default" w:ascii="Times New Roman" w:hAnsi="Times New Roman" w:cs="Times New Roman"/>
          <w:color w:val="auto"/>
          <w:sz w:val="24"/>
        </w:rPr>
        <w:t>评价主要以厂界噪声为评价对象，本项目矿山开采强噪声设备主要安装在井下，对地面声环境无影响。地面的噪声源主要有提升机、井口风机、备用柴油发电机、空压机、装载机及运输车辆等，噪声值在85～105dB（A）。项目区声环境功能区划为2类，且矿区边界外1km内无噪声敏感建筑物，根据《环境影响评价技术导则》（HJ2.4－2009）有关规定，本项目的声环境影响评价工作等级确定为二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（2）评价范围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本项目声评价范围为矿界外200m，运输道路两侧200m范围。</w:t>
      </w:r>
    </w:p>
    <w:p>
      <w:pPr>
        <w:pStyle w:val="5"/>
        <w:keepLines w:val="0"/>
        <w:spacing w:before="0" w:after="0" w:line="360" w:lineRule="auto"/>
        <w:rPr>
          <w:rFonts w:hint="default" w:ascii="Times New Roman" w:hAnsi="Times New Roman" w:cs="Times New Roman"/>
          <w:bCs w:val="0"/>
          <w:color w:val="auto"/>
          <w:sz w:val="24"/>
          <w:szCs w:val="24"/>
        </w:rPr>
      </w:pPr>
      <w:bookmarkStart w:id="166" w:name="_Toc21457_WPSOffice_Level2"/>
      <w:bookmarkStart w:id="167" w:name="_Toc7998962"/>
      <w:bookmarkStart w:id="168" w:name="_Toc17709354"/>
      <w:r>
        <w:rPr>
          <w:rFonts w:hint="default" w:ascii="Times New Roman" w:hAnsi="Times New Roman" w:cs="Times New Roman"/>
          <w:bCs w:val="0"/>
          <w:color w:val="auto"/>
          <w:sz w:val="24"/>
          <w:szCs w:val="24"/>
        </w:rPr>
        <w:t>2.5.5生态影响评价工作等级及范围</w:t>
      </w:r>
      <w:bookmarkEnd w:id="166"/>
      <w:bookmarkEnd w:id="167"/>
      <w:bookmarkEnd w:id="168"/>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（1）生态影响评价工作等级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本项目附近无自然保护区等敏感目标分布，项目区为一般区域。项目铜矿开采为地下井工开采方式，项目对区域生态的影响以占用土地、破坏植被、改变地形地貌等影响为主</w:t>
      </w:r>
      <w:r>
        <w:rPr>
          <w:rFonts w:hint="default" w:ascii="Times New Roman" w:hAnsi="Times New Roman" w:eastAsia="宋体" w:cs="Times New Roman"/>
          <w:color w:val="auto"/>
          <w:sz w:val="24"/>
          <w:szCs w:val="24"/>
          <w:lang w:eastAsia="zh-CN"/>
        </w:rPr>
        <w:t>，没有</w:t>
      </w:r>
      <w:r>
        <w:rPr>
          <w:rFonts w:hint="default" w:ascii="Times New Roman" w:hAnsi="Times New Roman" w:eastAsia="宋体" w:cs="Times New Roman"/>
          <w:color w:val="auto"/>
          <w:sz w:val="24"/>
          <w:szCs w:val="24"/>
          <w:lang w:val="en-US" w:eastAsia="zh-CN"/>
        </w:rPr>
        <w:t>导致矿区土地利用类型明显改变，</w:t>
      </w:r>
      <w:r>
        <w:rPr>
          <w:rFonts w:hint="default" w:ascii="Times New Roman" w:hAnsi="Times New Roman" w:eastAsia="宋体" w:cs="Times New Roman"/>
          <w:color w:val="auto"/>
          <w:sz w:val="24"/>
          <w:szCs w:val="24"/>
          <w:lang w:eastAsia="zh-CN"/>
        </w:rPr>
        <w:t>矿区</w:t>
      </w:r>
      <w:r>
        <w:rPr>
          <w:rFonts w:hint="default" w:ascii="Times New Roman" w:hAnsi="Times New Roman" w:eastAsia="宋体" w:cs="Times New Roman"/>
          <w:color w:val="auto"/>
          <w:sz w:val="24"/>
          <w:szCs w:val="24"/>
        </w:rPr>
        <w:t>划定面积为0.42km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，根据《环境影响评价技术导则-生态影响》（HJ19-2011）判断，生态环境影响评价工作等级定</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三级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具体见表2.5-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adjustRightInd w:val="0"/>
        <w:snapToGrid w:val="0"/>
        <w:ind w:firstLine="2205" w:firstLineChars="1050"/>
        <w:rPr>
          <w:rFonts w:hint="default" w:ascii="Times New Roman" w:hAnsi="Times New Roman" w:cs="Times New Roman"/>
          <w:b/>
          <w:color w:val="auto"/>
          <w:szCs w:val="21"/>
        </w:rPr>
      </w:pPr>
      <w:r>
        <w:rPr>
          <w:rFonts w:hint="default" w:ascii="Times New Roman" w:hAnsi="Times New Roman" w:eastAsia="黑体" w:cs="Times New Roman"/>
          <w:color w:val="auto"/>
          <w:szCs w:val="21"/>
        </w:rPr>
        <w:t>表2.5-</w:t>
      </w:r>
      <w:r>
        <w:rPr>
          <w:rFonts w:hint="default" w:ascii="Times New Roman" w:hAnsi="Times New Roman" w:eastAsia="黑体" w:cs="Times New Roman"/>
          <w:color w:val="auto"/>
          <w:szCs w:val="21"/>
          <w:lang w:val="en-US" w:eastAsia="zh-CN"/>
        </w:rPr>
        <w:t>10</w:t>
      </w:r>
      <w:r>
        <w:rPr>
          <w:rFonts w:hint="default" w:ascii="Times New Roman" w:hAnsi="Times New Roman" w:eastAsia="黑体" w:cs="Times New Roman"/>
          <w:color w:val="auto"/>
          <w:szCs w:val="21"/>
        </w:rPr>
        <w:t xml:space="preserve">  生态评价工作等级判别表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2251"/>
        <w:gridCol w:w="2199"/>
        <w:gridCol w:w="2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6" w:hRule="atLeast"/>
          <w:jc w:val="center"/>
        </w:trPr>
        <w:tc>
          <w:tcPr>
            <w:tcW w:w="2013"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影响区域</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生态敏感性</w:t>
            </w:r>
          </w:p>
        </w:tc>
        <w:tc>
          <w:tcPr>
            <w:tcW w:w="6515" w:type="dxa"/>
            <w:gridSpan w:val="3"/>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工程占地（含水域）范围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4" w:hRule="atLeast"/>
          <w:jc w:val="center"/>
        </w:trPr>
        <w:tc>
          <w:tcPr>
            <w:tcW w:w="2013"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251" w:type="dxa"/>
            <w:noWrap w:val="0"/>
            <w:vAlign w:val="center"/>
          </w:tcPr>
          <w:p>
            <w:pPr>
              <w:autoSpaceDE w:val="0"/>
              <w:autoSpaceDN w:val="0"/>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面积≥20km</w:t>
            </w:r>
            <w:r>
              <w:rPr>
                <w:rFonts w:hint="default" w:ascii="Times New Roman" w:hAnsi="Times New Roman" w:eastAsia="宋体" w:cs="Times New Roman"/>
                <w:color w:val="auto"/>
                <w:szCs w:val="21"/>
                <w:vertAlign w:val="superscript"/>
              </w:rPr>
              <w:t>2</w:t>
            </w:r>
          </w:p>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或长度≥100km</w:t>
            </w:r>
          </w:p>
        </w:tc>
        <w:tc>
          <w:tcPr>
            <w:tcW w:w="2199" w:type="dxa"/>
            <w:noWrap w:val="0"/>
            <w:vAlign w:val="center"/>
          </w:tcPr>
          <w:p>
            <w:pPr>
              <w:autoSpaceDE w:val="0"/>
              <w:autoSpaceDN w:val="0"/>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面积2km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～20km</w:t>
            </w:r>
            <w:r>
              <w:rPr>
                <w:rFonts w:hint="default" w:ascii="Times New Roman" w:hAnsi="Times New Roman" w:eastAsia="宋体" w:cs="Times New Roman"/>
                <w:color w:val="auto"/>
                <w:szCs w:val="21"/>
                <w:vertAlign w:val="superscript"/>
              </w:rPr>
              <w:t>2</w:t>
            </w:r>
          </w:p>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或长度50km～100km</w:t>
            </w:r>
          </w:p>
        </w:tc>
        <w:tc>
          <w:tcPr>
            <w:tcW w:w="2065" w:type="dxa"/>
            <w:noWrap w:val="0"/>
            <w:vAlign w:val="center"/>
          </w:tcPr>
          <w:p>
            <w:pPr>
              <w:autoSpaceDE w:val="0"/>
              <w:autoSpaceDN w:val="0"/>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面积≤2km</w:t>
            </w:r>
            <w:r>
              <w:rPr>
                <w:rFonts w:hint="default" w:ascii="Times New Roman" w:hAnsi="Times New Roman" w:eastAsia="宋体" w:cs="Times New Roman"/>
                <w:color w:val="auto"/>
                <w:szCs w:val="21"/>
                <w:vertAlign w:val="superscript"/>
              </w:rPr>
              <w:t>2</w:t>
            </w:r>
          </w:p>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1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特殊生态敏感区</w:t>
            </w:r>
          </w:p>
        </w:tc>
        <w:tc>
          <w:tcPr>
            <w:tcW w:w="225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p>
        </w:tc>
        <w:tc>
          <w:tcPr>
            <w:tcW w:w="219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p>
        </w:tc>
        <w:tc>
          <w:tcPr>
            <w:tcW w:w="206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1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重要生态敏感区</w:t>
            </w:r>
          </w:p>
        </w:tc>
        <w:tc>
          <w:tcPr>
            <w:tcW w:w="225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p>
        </w:tc>
        <w:tc>
          <w:tcPr>
            <w:tcW w:w="219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c>
          <w:tcPr>
            <w:tcW w:w="206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1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一般区域</w:t>
            </w:r>
          </w:p>
        </w:tc>
        <w:tc>
          <w:tcPr>
            <w:tcW w:w="225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c>
          <w:tcPr>
            <w:tcW w:w="219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三级</w:t>
            </w:r>
          </w:p>
        </w:tc>
        <w:tc>
          <w:tcPr>
            <w:tcW w:w="206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三级</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（2）生态影响评价范围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评价范围为：以矿界范围及周边1km范围为生态环境影响评价范围。</w:t>
      </w:r>
    </w:p>
    <w:p>
      <w:pPr>
        <w:pStyle w:val="5"/>
        <w:keepLines w:val="0"/>
        <w:spacing w:before="0" w:after="0" w:line="360" w:lineRule="auto"/>
        <w:rPr>
          <w:rFonts w:hint="default" w:ascii="Times New Roman" w:hAnsi="Times New Roman" w:cs="Times New Roman"/>
          <w:bCs w:val="0"/>
          <w:color w:val="auto"/>
          <w:sz w:val="24"/>
          <w:szCs w:val="24"/>
        </w:rPr>
      </w:pPr>
      <w:bookmarkStart w:id="169" w:name="_Toc17709355"/>
      <w:r>
        <w:rPr>
          <w:rFonts w:hint="default" w:ascii="Times New Roman" w:hAnsi="Times New Roman" w:cs="Times New Roman"/>
          <w:bCs w:val="0"/>
          <w:color w:val="auto"/>
          <w:sz w:val="24"/>
          <w:szCs w:val="24"/>
        </w:rPr>
        <w:t>2.5.6土壤影响评价工作等级及范围</w:t>
      </w:r>
      <w:bookmarkEnd w:id="16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）土壤影响评价</w:t>
      </w:r>
      <w:r>
        <w:rPr>
          <w:rFonts w:hint="default" w:ascii="Times New Roman" w:hAnsi="Times New Roman" w:eastAsia="宋体" w:cs="Times New Roman"/>
          <w:color w:val="auto"/>
          <w:sz w:val="24"/>
          <w:szCs w:val="24"/>
        </w:rPr>
        <w:t>工作等级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①项目类别</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本项目属于铜矿开采类。依据《环境影响评价技术导则  土壤环境（试行）》（HJ964-2018）附录A土壤环境影响评价项目类别中“采矿业——金属矿、石油、页岩油开采项目为Ⅰ类项目”。因此本项目为Ⅰ类项目。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②识别建设项目土壤环境影响类型与影响途径 </w:t>
      </w:r>
    </w:p>
    <w:p>
      <w:pPr>
        <w:keepNext w:val="0"/>
        <w:keepLines w:val="0"/>
        <w:widowControl/>
        <w:suppressLineNumbers w:val="0"/>
        <w:jc w:val="center"/>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color w:val="auto"/>
          <w:szCs w:val="21"/>
        </w:rPr>
        <w:t>表2.5-1</w:t>
      </w:r>
      <w:r>
        <w:rPr>
          <w:rFonts w:hint="default"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Cs w:val="21"/>
          <w:lang w:val="en-US" w:eastAsia="zh-CN"/>
        </w:rPr>
        <w:t xml:space="preserve">  土壤环境影响类型与影响途径表</w:t>
      </w:r>
    </w:p>
    <w:tbl>
      <w:tblPr>
        <w:tblStyle w:val="8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181"/>
        <w:gridCol w:w="1181"/>
        <w:gridCol w:w="1181"/>
        <w:gridCol w:w="714"/>
        <w:gridCol w:w="711"/>
        <w:gridCol w:w="711"/>
        <w:gridCol w:w="711"/>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时段</w:t>
            </w:r>
          </w:p>
        </w:tc>
        <w:tc>
          <w:tcPr>
            <w:tcW w:w="2498"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污染影响性</w:t>
            </w:r>
          </w:p>
        </w:tc>
        <w:tc>
          <w:tcPr>
            <w:tcW w:w="1670"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生态影响性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大气沉降</w:t>
            </w: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地面漫流</w:t>
            </w: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垂直入渗</w:t>
            </w: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其他</w:t>
            </w: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盐化</w:t>
            </w: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碱化</w:t>
            </w: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酸化</w:t>
            </w: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运营期</w:t>
            </w: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服务期满后</w:t>
            </w: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69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c>
          <w:tcPr>
            <w:tcW w:w="419"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根据表</w:t>
      </w:r>
      <w:r>
        <w:rPr>
          <w:rFonts w:hint="default" w:ascii="Times New Roman" w:hAnsi="Times New Roman" w:cs="Times New Roman"/>
          <w:color w:val="auto"/>
          <w:sz w:val="24"/>
        </w:rPr>
        <w:t>2.5-1</w:t>
      </w:r>
      <w:r>
        <w:rPr>
          <w:rFonts w:hint="default" w:ascii="Times New Roman" w:hAnsi="Times New Roman" w:cs="Times New Roman"/>
          <w:color w:val="auto"/>
          <w:sz w:val="24"/>
          <w:lang w:val="en-US" w:eastAsia="zh-CN"/>
        </w:rPr>
        <w:t xml:space="preserve">1土壤环境影响类型与影响途径表（附录 B 表 B.1）识别，该项目土壤环境影响类型识别为污染影响型。 </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③评价工作等级判定</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根据污染影响型敏感程度分级表（表2.5-12）本项目属于较敏感。</w:t>
      </w:r>
    </w:p>
    <w:p>
      <w:pPr>
        <w:spacing w:line="440" w:lineRule="exact"/>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项目占地面积约</w:t>
      </w:r>
      <w:r>
        <w:rPr>
          <w:rFonts w:hint="default" w:ascii="Times New Roman" w:hAnsi="Times New Roman" w:cs="Times New Roman"/>
          <w:color w:val="auto"/>
          <w:sz w:val="24"/>
          <w:szCs w:val="24"/>
          <w:lang w:val="en-US" w:eastAsia="zh-CN"/>
        </w:rPr>
        <w:t>0.42km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，占地规模为</w:t>
      </w:r>
      <w:r>
        <w:rPr>
          <w:rFonts w:hint="eastAsia" w:ascii="Times New Roman" w:hAnsi="Times New Roman" w:cs="Times New Roman"/>
          <w:color w:val="auto"/>
          <w:sz w:val="24"/>
          <w:szCs w:val="24"/>
          <w:lang w:eastAsia="zh-CN"/>
        </w:rPr>
        <w:t>中</w:t>
      </w:r>
      <w:r>
        <w:rPr>
          <w:rFonts w:hint="default" w:ascii="Times New Roman" w:hAnsi="Times New Roman" w:cs="Times New Roman"/>
          <w:color w:val="auto"/>
          <w:sz w:val="24"/>
          <w:szCs w:val="24"/>
        </w:rPr>
        <w:t>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根据污染影响型评价工作等级划分表（见表2.5-13），本项目评价等级为</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val="en-US" w:eastAsia="zh-CN"/>
        </w:rPr>
        <w:t>级。</w:t>
      </w:r>
    </w:p>
    <w:p>
      <w:pPr>
        <w:pStyle w:val="2"/>
        <w:rPr>
          <w:rFonts w:hint="default" w:ascii="Times New Roman" w:hAnsi="Times New Roman" w:cs="Times New Roman"/>
          <w:color w:val="auto"/>
          <w:sz w:val="24"/>
          <w:szCs w:val="24"/>
          <w:lang w:val="en-US" w:eastAsia="zh-CN"/>
        </w:rPr>
      </w:pPr>
    </w:p>
    <w:p>
      <w:pPr>
        <w:pStyle w:val="2"/>
        <w:rPr>
          <w:rFonts w:hint="default" w:ascii="Times New Roman" w:hAnsi="Times New Roman" w:cs="Times New Roman"/>
          <w:color w:val="auto"/>
          <w:sz w:val="24"/>
          <w:szCs w:val="24"/>
          <w:lang w:val="en-US" w:eastAsia="zh-CN"/>
        </w:rPr>
      </w:pPr>
    </w:p>
    <w:p>
      <w:pPr>
        <w:pStyle w:val="2"/>
        <w:rPr>
          <w:rFonts w:hint="default" w:ascii="Times New Roman" w:hAnsi="Times New Roman" w:cs="Times New Roman"/>
          <w:color w:val="auto"/>
          <w:sz w:val="24"/>
          <w:szCs w:val="24"/>
          <w:lang w:val="en-US" w:eastAsia="zh-CN"/>
        </w:rPr>
      </w:pPr>
    </w:p>
    <w:p>
      <w:pPr>
        <w:pStyle w:val="2"/>
        <w:rPr>
          <w:rFonts w:hint="default" w:ascii="Times New Roman" w:hAnsi="Times New Roman" w:cs="Times New Roman"/>
          <w:color w:val="auto"/>
          <w:sz w:val="24"/>
          <w:szCs w:val="24"/>
          <w:lang w:val="en-US" w:eastAsia="zh-CN"/>
        </w:rPr>
      </w:pPr>
    </w:p>
    <w:p>
      <w:pPr>
        <w:pStyle w:val="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表2.5-12  污染影响型敏感程度分级表</w:t>
      </w:r>
    </w:p>
    <w:tbl>
      <w:tblPr>
        <w:tblStyle w:val="8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6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敏感程度</w:t>
            </w:r>
          </w:p>
        </w:tc>
        <w:tc>
          <w:tcPr>
            <w:tcW w:w="3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399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399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399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其他情况</w:t>
            </w:r>
          </w:p>
        </w:tc>
      </w:tr>
    </w:tbl>
    <w:p>
      <w:pPr>
        <w:pStyle w:val="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表2.5-13  污染影响型评价工作等级划分表</w:t>
      </w:r>
    </w:p>
    <w:tbl>
      <w:tblPr>
        <w:tblStyle w:val="8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717"/>
        <w:gridCol w:w="717"/>
        <w:gridCol w:w="717"/>
        <w:gridCol w:w="717"/>
        <w:gridCol w:w="717"/>
        <w:gridCol w:w="717"/>
        <w:gridCol w:w="718"/>
        <w:gridCol w:w="718"/>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207" w:type="pct"/>
            <w:vMerge w:val="restart"/>
            <w:tcBorders>
              <w:tl2br w:val="nil"/>
              <w:tr2bl w:val="nil"/>
            </w:tcBorders>
            <w:noWrap w:val="0"/>
            <w:vAlign w:val="center"/>
            <mc:AlternateContent>
              <mc:Choice Requires="wpsCustomData">
                <wpsCustomData:diagonals>
                  <wpsCustomData:diagonal from="30000" to="13600">
                    <wpsCustomData:border w:val="single" w:color="auto" w:sz="12" w:space="0"/>
                  </wpsCustomData:diagonal>
                  <wpsCustomData:diagonal from="30000" to="48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mc:AlternateContent>
                <mc:Choice Requires="wpsCustomData">
                  <wpsCustomData:diagonalParaType/>
                </mc:Choice>
              </mc:AlternateContent>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敏感程度</w:t>
            </w: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mc:AlternateContent>
                <mc:Choice Requires="wpsCustomData">
                  <wpsCustomData:diagonalParaType/>
                </mc:Choice>
              </mc:AlternateContent>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评价工作等级</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占地规模</w:t>
            </w:r>
          </w:p>
        </w:tc>
        <w:tc>
          <w:tcPr>
            <w:tcW w:w="126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Ⅰ类</w:t>
            </w:r>
          </w:p>
        </w:tc>
        <w:tc>
          <w:tcPr>
            <w:tcW w:w="126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Ⅱ类</w:t>
            </w:r>
          </w:p>
        </w:tc>
        <w:tc>
          <w:tcPr>
            <w:tcW w:w="126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注：“-”表示可不开展土壤环境影响评价工作</w:t>
            </w:r>
          </w:p>
        </w:tc>
      </w:tr>
    </w:tbl>
    <w:p>
      <w:pPr>
        <w:numPr>
          <w:ilvl w:val="0"/>
          <w:numId w:val="3"/>
        </w:numPr>
        <w:spacing w:line="360" w:lineRule="auto"/>
        <w:ind w:left="0" w:lef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土壤评价范围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污染影响型</w:t>
      </w:r>
      <w:r>
        <w:rPr>
          <w:rFonts w:hint="eastAsia"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lang w:val="en-US" w:eastAsia="zh-CN"/>
        </w:rPr>
        <w:t>级评价调查范围为项目占地范围及占地范围外</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km范围内，预测方法参见导则附录E或进行类比分析，占地范围内应根据土体构型、土壤质地、饱和导水率等分析其可能影响的深度</w:t>
      </w:r>
      <w:r>
        <w:rPr>
          <w:rFonts w:hint="default" w:ascii="Times New Roman" w:hAnsi="Times New Roman" w:cs="Times New Roman"/>
          <w:color w:val="auto"/>
          <w:lang w:val="en-US" w:eastAsia="zh-CN"/>
        </w:rPr>
        <w:t>。</w:t>
      </w:r>
    </w:p>
    <w:p>
      <w:pPr>
        <w:pStyle w:val="5"/>
        <w:keepLines w:val="0"/>
        <w:spacing w:before="0" w:after="0" w:line="360" w:lineRule="auto"/>
        <w:rPr>
          <w:rFonts w:hint="default" w:ascii="Times New Roman" w:hAnsi="Times New Roman" w:cs="Times New Roman"/>
          <w:bCs w:val="0"/>
          <w:color w:val="auto"/>
          <w:sz w:val="24"/>
          <w:szCs w:val="24"/>
        </w:rPr>
      </w:pPr>
      <w:bookmarkStart w:id="170" w:name="_Toc17709356"/>
      <w:bookmarkStart w:id="171" w:name="_Toc7998963"/>
      <w:r>
        <w:rPr>
          <w:rFonts w:hint="default" w:ascii="Times New Roman" w:hAnsi="Times New Roman" w:cs="Times New Roman"/>
          <w:bCs w:val="0"/>
          <w:color w:val="auto"/>
          <w:sz w:val="24"/>
          <w:szCs w:val="24"/>
        </w:rPr>
        <w:t>2.5.7环境风险评价等级及范围</w:t>
      </w:r>
      <w:bookmarkEnd w:id="170"/>
      <w:bookmarkEnd w:id="171"/>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建设项目环境风险评价技术导则（HJ 169-2018）规定，环境风险评价工作等级划分为一级、二级、三级。根据建设项目涉及的物质及 工艺系统危险性和所在地的环境敏感性确定环境风险潜势，确定评价等级。</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szCs w:val="24"/>
        </w:rPr>
        <w:t>风险评价等级判别</w:t>
      </w:r>
      <w:r>
        <w:rPr>
          <w:rFonts w:hint="default" w:ascii="Times New Roman" w:hAnsi="Times New Roman" w:cs="Times New Roman"/>
          <w:color w:val="auto"/>
          <w:sz w:val="24"/>
          <w:szCs w:val="24"/>
          <w:lang w:eastAsia="zh-CN"/>
        </w:rPr>
        <w:t>依据</w:t>
      </w:r>
    </w:p>
    <w:p>
      <w:pPr>
        <w:pStyle w:val="31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风险评价等级判别确定见表2.5-1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overflowPunct w:val="0"/>
        <w:ind w:firstLine="2100" w:firstLineChars="10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表2.5-1</w:t>
      </w:r>
      <w:r>
        <w:rPr>
          <w:rFonts w:hint="default" w:ascii="Times New Roman" w:hAnsi="Times New Roman" w:eastAsia="黑体" w:cs="Times New Roman"/>
          <w:color w:val="auto"/>
          <w:szCs w:val="21"/>
          <w:lang w:val="en-US" w:eastAsia="zh-CN"/>
        </w:rPr>
        <w:t>4</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评价工作等级划分表</w:t>
      </w:r>
    </w:p>
    <w:tbl>
      <w:tblPr>
        <w:tblStyle w:val="7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40"/>
        <w:gridCol w:w="1562"/>
        <w:gridCol w:w="1616"/>
        <w:gridCol w:w="2226"/>
        <w:gridCol w:w="15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70" w:hRule="atLeast"/>
          <w:tblHeader/>
          <w:jc w:val="center"/>
        </w:trPr>
        <w:tc>
          <w:tcPr>
            <w:tcW w:w="807"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环境风险潜势</w:t>
            </w:r>
          </w:p>
        </w:tc>
        <w:tc>
          <w:tcPr>
            <w:tcW w:w="9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IV</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IV</w:t>
            </w:r>
            <w:r>
              <w:rPr>
                <w:rFonts w:hint="default" w:ascii="Times New Roman" w:hAnsi="Times New Roman" w:cs="Times New Roman"/>
                <w:color w:val="auto"/>
                <w:sz w:val="24"/>
              </w:rPr>
              <w:fldChar w:fldCharType="end"/>
            </w:r>
            <w:r>
              <w:rPr>
                <w:rFonts w:hint="default" w:ascii="Times New Roman" w:hAnsi="Times New Roman" w:cs="Times New Roman"/>
                <w:color w:val="auto"/>
                <w:sz w:val="24"/>
                <w:vertAlign w:val="superscript"/>
              </w:rPr>
              <w:t>+</w:t>
            </w:r>
          </w:p>
        </w:tc>
        <w:tc>
          <w:tcPr>
            <w:tcW w:w="973" w:type="pct"/>
            <w:noWrap w:val="0"/>
            <w:vAlign w:val="center"/>
          </w:tcPr>
          <w:p>
            <w:pPr>
              <w:pStyle w:val="176"/>
              <w:rPr>
                <w:rFonts w:hint="default" w:ascii="Times New Roman" w:hAnsi="Times New Roman" w:cs="Times New Roman"/>
                <w:color w:val="auto"/>
                <w:spacing w:val="-10"/>
              </w:rPr>
            </w:pPr>
            <w:r>
              <w:rPr>
                <w:rFonts w:hint="default" w:ascii="Times New Roman" w:hAnsi="Times New Roman" w:cs="Times New Roman"/>
                <w:color w:val="auto"/>
                <w:spacing w:val="-10"/>
              </w:rPr>
              <w:fldChar w:fldCharType="begin"/>
            </w:r>
            <w:r>
              <w:rPr>
                <w:rFonts w:hint="default" w:ascii="Times New Roman" w:hAnsi="Times New Roman" w:cs="Times New Roman"/>
                <w:color w:val="auto"/>
                <w:spacing w:val="-10"/>
              </w:rPr>
              <w:instrText xml:space="preserve"> = 3 \* ROMAN </w:instrText>
            </w:r>
            <w:r>
              <w:rPr>
                <w:rFonts w:hint="default" w:ascii="Times New Roman" w:hAnsi="Times New Roman" w:cs="Times New Roman"/>
                <w:color w:val="auto"/>
                <w:spacing w:val="-10"/>
              </w:rPr>
              <w:fldChar w:fldCharType="separate"/>
            </w:r>
            <w:r>
              <w:rPr>
                <w:rFonts w:hint="default" w:ascii="Times New Roman" w:hAnsi="Times New Roman" w:cs="Times New Roman"/>
                <w:color w:val="auto"/>
                <w:spacing w:val="-10"/>
              </w:rPr>
              <w:t>III</w:t>
            </w:r>
            <w:r>
              <w:rPr>
                <w:rFonts w:hint="default" w:ascii="Times New Roman" w:hAnsi="Times New Roman" w:cs="Times New Roman"/>
                <w:color w:val="auto"/>
                <w:spacing w:val="-10"/>
              </w:rPr>
              <w:fldChar w:fldCharType="end"/>
            </w:r>
          </w:p>
        </w:tc>
        <w:tc>
          <w:tcPr>
            <w:tcW w:w="13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p>
        </w:tc>
        <w:tc>
          <w:tcPr>
            <w:tcW w:w="9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70" w:hRule="atLeast"/>
          <w:jc w:val="center"/>
        </w:trPr>
        <w:tc>
          <w:tcPr>
            <w:tcW w:w="807"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评价工作等级</w:t>
            </w:r>
          </w:p>
        </w:tc>
        <w:tc>
          <w:tcPr>
            <w:tcW w:w="9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一</w:t>
            </w:r>
          </w:p>
        </w:tc>
        <w:tc>
          <w:tcPr>
            <w:tcW w:w="973"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二</w:t>
            </w:r>
          </w:p>
        </w:tc>
        <w:tc>
          <w:tcPr>
            <w:tcW w:w="13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三</w:t>
            </w:r>
          </w:p>
        </w:tc>
        <w:tc>
          <w:tcPr>
            <w:tcW w:w="940" w:type="pct"/>
            <w:noWrap w:val="0"/>
            <w:vAlign w:val="center"/>
          </w:tcPr>
          <w:p>
            <w:pPr>
              <w:pStyle w:val="176"/>
              <w:rPr>
                <w:rFonts w:hint="default" w:ascii="Times New Roman" w:hAnsi="Times New Roman" w:cs="Times New Roman"/>
                <w:color w:val="auto"/>
              </w:rPr>
            </w:pPr>
            <w:r>
              <w:rPr>
                <w:rFonts w:hint="default" w:ascii="Times New Roman" w:hAnsi="Times New Roman" w:cs="Times New Roman"/>
                <w:color w:val="auto"/>
              </w:rPr>
              <w:t>简单分析</w:t>
            </w:r>
            <w:r>
              <w:rPr>
                <w:rFonts w:hint="default" w:ascii="Times New Roman" w:hAnsi="Times New Roman" w:cs="Times New Roman"/>
                <w:color w:val="auto"/>
                <w:vertAlign w:val="superscript"/>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70" w:hRule="atLeast"/>
          <w:jc w:val="center"/>
        </w:trPr>
        <w:tc>
          <w:tcPr>
            <w:tcW w:w="5000" w:type="pct"/>
            <w:gridSpan w:val="5"/>
            <w:noWrap w:val="0"/>
            <w:vAlign w:val="center"/>
          </w:tcPr>
          <w:p>
            <w:pPr>
              <w:pStyle w:val="176"/>
              <w:ind w:left="420" w:hanging="420" w:hangingChars="200"/>
              <w:jc w:val="both"/>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vertAlign w:val="superscript"/>
              </w:rPr>
              <w:t xml:space="preserve">a   </w:t>
            </w:r>
            <w:r>
              <w:rPr>
                <w:rFonts w:hint="default" w:ascii="Times New Roman" w:hAnsi="Times New Roman" w:eastAsia="宋体" w:cs="Times New Roman"/>
                <w:color w:val="auto"/>
              </w:rPr>
              <w:t>是相对于详细评价工作内容而言，在描述危险物质、环境影响途径、环境危害后果、风险防范措施等方面给出定性的说明。见附录</w:t>
            </w:r>
            <w:r>
              <w:rPr>
                <w:rFonts w:hint="default" w:ascii="Times New Roman" w:hAnsi="Times New Roman" w:cs="Times New Roman"/>
                <w:color w:val="auto"/>
              </w:rPr>
              <w:t>A</w:t>
            </w:r>
            <w:r>
              <w:rPr>
                <w:rFonts w:hint="default" w:ascii="Times New Roman" w:hAnsi="Times New Roman" w:eastAsia="宋体" w:cs="Times New Roman"/>
                <w:color w:val="auto"/>
              </w:rPr>
              <w:t>。</w:t>
            </w:r>
          </w:p>
        </w:tc>
      </w:tr>
    </w:tbl>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风险评价等级判别</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本项目涉及的主要危险性物质主要为炸药。根据《建设项目环境风险评价技术导则》（HJ169-2018）附录B，硝酸铵临界量为50t，本项目所用炸药由</w:t>
      </w:r>
      <w:r>
        <w:rPr>
          <w:rFonts w:hint="default" w:ascii="Times New Roman" w:hAnsi="Times New Roman" w:eastAsia="宋体" w:cs="Times New Roman"/>
          <w:color w:val="auto"/>
          <w:kern w:val="0"/>
          <w:sz w:val="24"/>
          <w:szCs w:val="24"/>
        </w:rPr>
        <w:t>专业爆破公司</w:t>
      </w:r>
      <w:r>
        <w:rPr>
          <w:rFonts w:hint="default" w:ascii="Times New Roman" w:hAnsi="Times New Roman" w:eastAsia="宋体" w:cs="Times New Roman"/>
          <w:color w:val="auto"/>
          <w:sz w:val="24"/>
          <w:szCs w:val="24"/>
        </w:rPr>
        <w:t>定时定量配送并且即时用于爆破作业，矿区不建炸药库，本项目一日使用量约为127.3kg （0.1273t），本项目所涉及危险物质的临界量见表</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当只涉及一种危险物质时，计算该物质的总量与其临界量比值，即为Q。</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当存在多种危险物质时，按照下列公式计算危险物质数量与临界量比值（Q）。</w:t>
      </w:r>
    </w:p>
    <w:p>
      <w:pPr>
        <w:adjustRightInd w:val="0"/>
        <w:snapToGrid w:val="0"/>
        <w:spacing w:line="360" w:lineRule="auto"/>
        <w:ind w:firstLine="48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1600200" cy="499745"/>
            <wp:effectExtent l="0" t="0" r="0" b="14605"/>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10"/>
                    <a:stretch>
                      <a:fillRect/>
                    </a:stretch>
                  </pic:blipFill>
                  <pic:spPr>
                    <a:xfrm>
                      <a:off x="0" y="0"/>
                      <a:ext cx="1600200" cy="499745"/>
                    </a:xfrm>
                    <a:prstGeom prst="rect">
                      <a:avLst/>
                    </a:prstGeom>
                    <a:noFill/>
                    <a:ln>
                      <a:noFill/>
                    </a:ln>
                  </pic:spPr>
                </pic:pic>
              </a:graphicData>
            </a:graphic>
          </wp:inline>
        </w:drawing>
      </w:r>
    </w:p>
    <w:p>
      <w:pPr>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 xml:space="preserve">n  </w:t>
      </w:r>
      <w:r>
        <w:rPr>
          <w:rFonts w:hint="default" w:ascii="Times New Roman" w:hAnsi="Times New Roman" w:cs="Times New Roman"/>
          <w:color w:val="auto"/>
          <w:sz w:val="24"/>
          <w:szCs w:val="24"/>
        </w:rPr>
        <w:t>——每种危险物质的最大存在总量，t；</w:t>
      </w:r>
    </w:p>
    <w:p>
      <w:pPr>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——各危险物质的临界量，t。</w:t>
      </w:r>
    </w:p>
    <w:p>
      <w:pPr>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当Q＜1时，该项目环境风险潜势为I。</w:t>
      </w:r>
    </w:p>
    <w:p>
      <w:pPr>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当Q≥1时，将Q值划分为：（1）1≤Q＜10；（2）10≤Q＜100；（3）Q≥100。</w:t>
      </w:r>
    </w:p>
    <w:p>
      <w:pPr>
        <w:overflowPunct w:val="0"/>
        <w:ind w:firstLine="1890" w:firstLineChars="9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w:t>
      </w:r>
      <w:r>
        <w:rPr>
          <w:rFonts w:hint="default" w:ascii="Times New Roman" w:hAnsi="Times New Roman" w:eastAsia="黑体" w:cs="Times New Roman"/>
          <w:color w:val="auto"/>
          <w:szCs w:val="21"/>
          <w:lang w:val="en-US" w:eastAsia="zh-CN"/>
        </w:rPr>
        <w:t>15</w:t>
      </w:r>
      <w:r>
        <w:rPr>
          <w:rFonts w:hint="default" w:ascii="Times New Roman" w:hAnsi="Times New Roman" w:eastAsia="黑体" w:cs="Times New Roman"/>
          <w:color w:val="auto"/>
          <w:szCs w:val="21"/>
        </w:rPr>
        <w:t xml:space="preserve">   本项目危险物质辨识一览表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5"/>
        <w:gridCol w:w="1395"/>
        <w:gridCol w:w="1091"/>
        <w:gridCol w:w="1654"/>
        <w:gridCol w:w="1652"/>
        <w:gridCol w:w="20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829"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w:t>
            </w:r>
          </w:p>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5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981"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最大存在总量q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980"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临界量Q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11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29"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硝酸铵</w:t>
            </w:r>
          </w:p>
        </w:tc>
        <w:tc>
          <w:tcPr>
            <w:tcW w:w="5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6484-52-2</w:t>
            </w:r>
          </w:p>
        </w:tc>
        <w:tc>
          <w:tcPr>
            <w:tcW w:w="981" w:type="pct"/>
            <w:noWrap w:val="0"/>
            <w:vAlign w:val="center"/>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0.1273</w:t>
            </w:r>
          </w:p>
        </w:tc>
        <w:tc>
          <w:tcPr>
            <w:tcW w:w="980"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50</w:t>
            </w:r>
          </w:p>
        </w:tc>
        <w:tc>
          <w:tcPr>
            <w:tcW w:w="1187"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rPr>
              <w:t>0</w:t>
            </w:r>
            <w:r>
              <w:rPr>
                <w:rFonts w:hint="default" w:ascii="Times New Roman" w:hAnsi="Times New Roman" w:eastAsia="宋体" w:cs="Times New Roman"/>
                <w:color w:val="auto"/>
                <w:sz w:val="21"/>
                <w:szCs w:val="21"/>
              </w:rPr>
              <w:t>2546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3" w:type="pct"/>
            <w:gridSpan w:val="5"/>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项目Q值</w:t>
            </w:r>
          </w:p>
        </w:tc>
        <w:tc>
          <w:tcPr>
            <w:tcW w:w="1187"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w:t>
            </w:r>
            <w:r>
              <w:rPr>
                <w:rFonts w:hint="default" w:ascii="Times New Roman" w:hAnsi="Times New Roman" w:eastAsia="宋体" w:cs="Times New Roman"/>
                <w:color w:val="auto"/>
                <w:sz w:val="21"/>
                <w:szCs w:val="21"/>
              </w:rPr>
              <w:t>025</w:t>
            </w:r>
          </w:p>
        </w:tc>
      </w:tr>
    </w:tbl>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本项目危险物质计算值Q&lt;1，该项目环境风险潜势为Ⅰ，故本次环境风险评价等级为简单分析。在描述危险物质、环境影响途径、环境危害后果、风险防范措施等方面给出定性的说明。</w:t>
      </w:r>
    </w:p>
    <w:p>
      <w:pPr>
        <w:pStyle w:val="5"/>
        <w:keepLines w:val="0"/>
        <w:spacing w:before="0" w:after="0" w:line="360" w:lineRule="auto"/>
        <w:rPr>
          <w:rFonts w:hint="default" w:ascii="Times New Roman" w:hAnsi="Times New Roman" w:cs="Times New Roman"/>
          <w:bCs w:val="0"/>
          <w:color w:val="auto"/>
          <w:sz w:val="24"/>
          <w:szCs w:val="24"/>
        </w:rPr>
      </w:pPr>
      <w:bookmarkStart w:id="172" w:name="_Toc17709357"/>
      <w:r>
        <w:rPr>
          <w:rFonts w:hint="default" w:ascii="Times New Roman" w:hAnsi="Times New Roman" w:cs="Times New Roman"/>
          <w:bCs w:val="0"/>
          <w:color w:val="auto"/>
          <w:sz w:val="24"/>
          <w:szCs w:val="24"/>
        </w:rPr>
        <w:t>2.5.8项目环境影响评价等级及范围汇总</w:t>
      </w:r>
      <w:bookmarkEnd w:id="17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w:t>
      </w:r>
      <w:r>
        <w:rPr>
          <w:rFonts w:hint="default" w:ascii="Times New Roman" w:hAnsi="Times New Roman" w:cs="Times New Roman"/>
          <w:bCs/>
          <w:color w:val="auto"/>
          <w:sz w:val="24"/>
          <w:szCs w:val="24"/>
        </w:rPr>
        <w:t>环境影响评价等级及范围汇总</w:t>
      </w:r>
      <w:r>
        <w:rPr>
          <w:rFonts w:hint="default" w:ascii="Times New Roman" w:hAnsi="Times New Roman" w:cs="Times New Roman"/>
          <w:bCs/>
          <w:color w:val="auto"/>
          <w:sz w:val="24"/>
          <w:szCs w:val="24"/>
          <w:lang w:eastAsia="zh-CN"/>
        </w:rPr>
        <w:t>表见表</w:t>
      </w:r>
      <w:r>
        <w:rPr>
          <w:rFonts w:hint="default" w:ascii="Times New Roman" w:hAnsi="Times New Roman" w:cs="Times New Roman"/>
          <w:bCs/>
          <w:color w:val="auto"/>
          <w:sz w:val="24"/>
          <w:szCs w:val="24"/>
          <w:lang w:val="en-US" w:eastAsia="zh-CN"/>
        </w:rPr>
        <w:t>2.5-16，</w:t>
      </w:r>
      <w:r>
        <w:rPr>
          <w:rFonts w:hint="default" w:ascii="Times New Roman" w:hAnsi="Times New Roman" w:cs="Times New Roman"/>
          <w:color w:val="auto"/>
          <w:sz w:val="24"/>
        </w:rPr>
        <w:t>评价范围</w:t>
      </w:r>
      <w:r>
        <w:rPr>
          <w:rFonts w:hint="default" w:ascii="Times New Roman" w:hAnsi="Times New Roman" w:cs="Times New Roman"/>
          <w:color w:val="auto"/>
          <w:sz w:val="24"/>
          <w:lang w:eastAsia="zh-CN"/>
        </w:rPr>
        <w:t>见</w:t>
      </w:r>
      <w:r>
        <w:rPr>
          <w:rFonts w:hint="default" w:ascii="Times New Roman" w:hAnsi="Times New Roman" w:cs="Times New Roman"/>
          <w:color w:val="auto"/>
          <w:sz w:val="24"/>
        </w:rPr>
        <w:t>图2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-1。</w:t>
      </w:r>
    </w:p>
    <w:p>
      <w:pPr>
        <w:overflowPunct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表2.5-</w:t>
      </w:r>
      <w:r>
        <w:rPr>
          <w:rFonts w:hint="default" w:ascii="Times New Roman" w:hAnsi="Times New Roman" w:eastAsia="黑体" w:cs="Times New Roman"/>
          <w:color w:val="auto"/>
          <w:szCs w:val="21"/>
          <w:lang w:val="en-US" w:eastAsia="zh-CN"/>
        </w:rPr>
        <w:t xml:space="preserve">16  </w:t>
      </w:r>
      <w:r>
        <w:rPr>
          <w:rFonts w:hint="default" w:ascii="Times New Roman" w:hAnsi="Times New Roman" w:eastAsia="黑体" w:cs="Times New Roman"/>
          <w:color w:val="auto"/>
          <w:szCs w:val="21"/>
        </w:rPr>
        <w:t>项目评价指标及评价等级一览表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22"/>
        <w:gridCol w:w="1335"/>
        <w:gridCol w:w="5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评价指标</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二级评价</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以废石堆场为中心，以边长5km的矩形区域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三级B评价</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不设置评价范围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二级评价</w:t>
            </w:r>
          </w:p>
        </w:tc>
        <w:tc>
          <w:tcPr>
            <w:tcW w:w="5190" w:type="dxa"/>
            <w:noWrap w:val="0"/>
            <w:vAlign w:val="center"/>
          </w:tcPr>
          <w:p>
            <w:pPr>
              <w:pStyle w:val="244"/>
              <w:spacing w:before="0" w:line="240" w:lineRule="auto"/>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以废石场为中心，向矿界四周扩大至6.25km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范围圆形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噪声环境</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二级评价</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矿区界外200m范围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三级评价</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矿区为中心，向矿界四周扩大1km的范围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2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133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二级评价</w:t>
            </w:r>
          </w:p>
        </w:tc>
        <w:tc>
          <w:tcPr>
            <w:tcW w:w="519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矿区界外</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km范围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67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322" w:type="dxa"/>
            <w:noWrap w:val="0"/>
            <w:vAlign w:val="center"/>
          </w:tcPr>
          <w:p>
            <w:pPr>
              <w:pStyle w:val="244"/>
              <w:spacing w:before="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val="0"/>
                <w:color w:val="auto"/>
              </w:rPr>
              <w:t>风险评价</w:t>
            </w:r>
          </w:p>
        </w:tc>
        <w:tc>
          <w:tcPr>
            <w:tcW w:w="1335" w:type="dxa"/>
            <w:noWrap w:val="0"/>
            <w:vAlign w:val="center"/>
          </w:tcPr>
          <w:p>
            <w:pPr>
              <w:pStyle w:val="244"/>
              <w:spacing w:before="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简单分析</w:t>
            </w:r>
          </w:p>
        </w:tc>
        <w:tc>
          <w:tcPr>
            <w:tcW w:w="5190" w:type="dxa"/>
            <w:noWrap w:val="0"/>
            <w:vAlign w:val="center"/>
          </w:tcPr>
          <w:p>
            <w:pPr>
              <w:pStyle w:val="244"/>
              <w:spacing w:before="0" w:line="240" w:lineRule="auto"/>
              <w:ind w:firstLine="1785" w:firstLineChars="85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不设置评价范围</w:t>
            </w:r>
          </w:p>
        </w:tc>
      </w:tr>
    </w:tbl>
    <w:p>
      <w:pPr>
        <w:pStyle w:val="4"/>
        <w:spacing w:line="360" w:lineRule="auto"/>
        <w:ind w:left="0" w:firstLine="0"/>
        <w:jc w:val="both"/>
        <w:rPr>
          <w:rFonts w:hint="default" w:ascii="Times New Roman" w:hAnsi="Times New Roman" w:cs="Times New Roman"/>
          <w:color w:val="auto"/>
          <w:sz w:val="28"/>
          <w:szCs w:val="28"/>
        </w:rPr>
      </w:pPr>
      <w:bookmarkStart w:id="173" w:name="_Toc10417"/>
      <w:bookmarkStart w:id="174" w:name="_Toc22570"/>
      <w:bookmarkStart w:id="175" w:name="_Toc4831"/>
      <w:bookmarkStart w:id="176" w:name="_Toc17709282"/>
      <w:bookmarkStart w:id="177" w:name="_Toc24590_WPSOffice_Level2"/>
      <w:bookmarkStart w:id="178" w:name="_Toc17709358"/>
      <w:bookmarkStart w:id="179" w:name="_Toc7998964"/>
      <w:bookmarkStart w:id="180" w:name="_Toc8836355"/>
      <w:bookmarkStart w:id="181" w:name="_Toc15278"/>
      <w:r>
        <w:rPr>
          <w:rFonts w:hint="default" w:ascii="Times New Roman" w:hAnsi="Times New Roman" w:cs="Times New Roman"/>
          <w:color w:val="auto"/>
          <w:sz w:val="28"/>
          <w:szCs w:val="28"/>
        </w:rPr>
        <w:t>2.6环境影响识别及评价因子筛选</w:t>
      </w:r>
      <w:bookmarkEnd w:id="173"/>
      <w:bookmarkEnd w:id="174"/>
      <w:bookmarkEnd w:id="175"/>
      <w:bookmarkEnd w:id="176"/>
      <w:bookmarkEnd w:id="177"/>
      <w:bookmarkEnd w:id="178"/>
      <w:bookmarkEnd w:id="179"/>
      <w:bookmarkEnd w:id="180"/>
      <w:bookmarkEnd w:id="181"/>
    </w:p>
    <w:p>
      <w:pPr>
        <w:pStyle w:val="5"/>
        <w:keepLines w:val="0"/>
        <w:spacing w:before="0" w:after="0" w:line="360" w:lineRule="auto"/>
        <w:rPr>
          <w:rFonts w:hint="default" w:ascii="Times New Roman" w:hAnsi="Times New Roman" w:cs="Times New Roman"/>
          <w:color w:val="auto"/>
          <w:sz w:val="24"/>
          <w:szCs w:val="24"/>
        </w:rPr>
      </w:pPr>
      <w:bookmarkStart w:id="182" w:name="_Toc7998965"/>
      <w:bookmarkStart w:id="183" w:name="_Toc31709"/>
      <w:bookmarkStart w:id="184" w:name="_Toc17709359"/>
      <w:bookmarkStart w:id="185" w:name="_Toc20856"/>
      <w:bookmarkStart w:id="186" w:name="_Toc5209"/>
      <w:bookmarkStart w:id="187" w:name="_Toc10113"/>
      <w:r>
        <w:rPr>
          <w:rFonts w:hint="default" w:ascii="Times New Roman" w:hAnsi="Times New Roman" w:cs="Times New Roman"/>
          <w:color w:val="auto"/>
          <w:sz w:val="24"/>
          <w:szCs w:val="24"/>
        </w:rPr>
        <w:t>2.6.1环境影响因素识别</w:t>
      </w:r>
      <w:bookmarkEnd w:id="182"/>
      <w:bookmarkEnd w:id="183"/>
      <w:bookmarkEnd w:id="184"/>
      <w:bookmarkEnd w:id="185"/>
      <w:bookmarkEnd w:id="186"/>
      <w:bookmarkEnd w:id="18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所在地区特征、项目工程特点，项目对环境造成影响的主要因素有施工占地、扬尘及施工运输机械噪声、废气排放等；矿山生产服务期影响包括机械噪声、机械装卸运输扬尘、废石场废石及废水排放影响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（1）施工期</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项目施工期间对环境的影响很大程度上取决于工程特点、施工季节以及工程</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kern w:val="0"/>
          <w:sz w:val="24"/>
        </w:rPr>
        <w:t>所处的地形、地貌等环境因素。经分析，施工期主要环境影响因素见表2.6-1。</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表2.6-1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施工期主要环境影响因素</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2607"/>
        <w:gridCol w:w="44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24" w:hRule="exact"/>
          <w:jc w:val="center"/>
        </w:trPr>
        <w:tc>
          <w:tcPr>
            <w:tcW w:w="1232"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环境要素</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产生影响的主要影响因素</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主要环境影响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556" w:hRule="exact"/>
          <w:jc w:val="center"/>
        </w:trPr>
        <w:tc>
          <w:tcPr>
            <w:tcW w:w="1232" w:type="dxa"/>
            <w:vMerge w:val="restart"/>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土地平整、挖掘、土石方、建材储运、使用等</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79" w:hRule="exact"/>
          <w:jc w:val="center"/>
        </w:trPr>
        <w:tc>
          <w:tcPr>
            <w:tcW w:w="1232"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施工车辆尾气</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NOx、SO</w:t>
            </w:r>
            <w:r>
              <w:rPr>
                <w:rFonts w:hint="default" w:ascii="Times New Roman" w:hAnsi="Times New Roman" w:eastAsia="宋体" w:cs="Times New Roman"/>
                <w:color w:val="auto"/>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93" w:hRule="exact"/>
          <w:jc w:val="center"/>
        </w:trPr>
        <w:tc>
          <w:tcPr>
            <w:tcW w:w="1232" w:type="dxa"/>
            <w:vMerge w:val="restart"/>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水环境</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施工人员生活废水</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COD、BOD、SS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64" w:hRule="exact"/>
          <w:jc w:val="center"/>
        </w:trPr>
        <w:tc>
          <w:tcPr>
            <w:tcW w:w="1232"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cs="Times New Roman"/>
                <w:color w:val="auto"/>
                <w:szCs w:val="21"/>
              </w:rPr>
            </w:pP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矿井涌水</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38" w:hRule="exact"/>
          <w:jc w:val="center"/>
        </w:trPr>
        <w:tc>
          <w:tcPr>
            <w:tcW w:w="1232"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施工机械、车辆作业噪声</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94" w:hRule="exact"/>
          <w:jc w:val="center"/>
        </w:trPr>
        <w:tc>
          <w:tcPr>
            <w:tcW w:w="1232"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施工垃圾、生活垃圾</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扬尘、占地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08" w:hRule="exact"/>
          <w:jc w:val="center"/>
        </w:trPr>
        <w:tc>
          <w:tcPr>
            <w:tcW w:w="1232" w:type="dxa"/>
            <w:vMerge w:val="restart"/>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生态环境</w:t>
            </w: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土地平整、挖掘及工程占地</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造成地表破坏及水土流失，加剧风蚀及扬尘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292" w:hRule="exact"/>
          <w:jc w:val="center"/>
        </w:trPr>
        <w:tc>
          <w:tcPr>
            <w:tcW w:w="1232"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260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土石方、建材堆放</w:t>
            </w:r>
          </w:p>
        </w:tc>
        <w:tc>
          <w:tcPr>
            <w:tcW w:w="4467"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损失土地资源，改变土壤结构、影响土壤生产力</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（2）运营期</w:t>
      </w:r>
    </w:p>
    <w:p>
      <w:pPr>
        <w:autoSpaceDE w:val="0"/>
        <w:autoSpaceDN w:val="0"/>
        <w:adjustRightInd w:val="0"/>
        <w:spacing w:line="360" w:lineRule="auto"/>
        <w:ind w:firstLine="556" w:firstLineChars="23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本项目运营期产生的废气、废水、噪声以及固废等污染因素，将会对项目场址周围的环境空气、地下水环境、声环境及生态环境等产生不同程度的影响，具体见表2.6-2。   </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表2.6-2  矿山运营期主要环境影响因素</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0"/>
        <w:gridCol w:w="3961"/>
        <w:gridCol w:w="34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3"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影响环境的主要活动</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可能产生的环境影响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39"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矿山开采产生的粉尘</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影响大气环境、土壤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7"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矿山机械、柴油发电机排放烟气、</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运输车辆尾气、爆破粉尘</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影响大气环境、土壤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25"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矿山机械、爆破噪声</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影响野生动物栖息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9"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运输车辆扬尘</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影响大气环境、土壤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5"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矿井涌水</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影响水环境质量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9" w:hRule="atLeast"/>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废石淋溶液</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影响水环境质量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900"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矿山开拓及废石堆放</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占用土地、影响景观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900"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道路建设、矿山开采</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加剧水土流失、地质塌陷</w:t>
            </w:r>
          </w:p>
        </w:tc>
      </w:tr>
    </w:tbl>
    <w:p>
      <w:pPr>
        <w:autoSpaceDE w:val="0"/>
        <w:autoSpaceDN w:val="0"/>
        <w:adjustRightInd w:val="0"/>
        <w:spacing w:line="360" w:lineRule="auto"/>
        <w:ind w:firstLine="556" w:firstLineChars="23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（3）矿山闭矿期</w:t>
      </w:r>
    </w:p>
    <w:p>
      <w:pPr>
        <w:autoSpaceDE w:val="0"/>
        <w:autoSpaceDN w:val="0"/>
        <w:adjustRightInd w:val="0"/>
        <w:spacing w:line="360" w:lineRule="auto"/>
        <w:ind w:firstLine="556" w:firstLineChars="23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矿山闭矿期可能产生的环境影响具体见表2.6-3。</w:t>
      </w:r>
    </w:p>
    <w:p>
      <w:pPr>
        <w:ind w:firstLine="2730" w:firstLineChars="13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表2.6-3   矿山闭矿主要环境影响因素</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0"/>
        <w:gridCol w:w="3961"/>
        <w:gridCol w:w="34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影响环境的活动</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可能产生的环境影响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影响景观、诱发水土流失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900"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96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废弃生产生活设施</w:t>
            </w:r>
          </w:p>
        </w:tc>
        <w:tc>
          <w:tcPr>
            <w:tcW w:w="3451"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影响景观生态</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生产组成及工艺过程，可将本工程的主要影响源概括为三类：一为生态破坏与矿区地质环境破坏源；二为矿区开采过程中产生的水污染源、大气污染源、固体废物污染源、噪声污染源；三为地质灾害等。</w:t>
      </w:r>
    </w:p>
    <w:p>
      <w:pPr>
        <w:pStyle w:val="5"/>
        <w:keepLines w:val="0"/>
        <w:spacing w:before="0" w:after="0" w:line="360" w:lineRule="auto"/>
        <w:rPr>
          <w:rFonts w:hint="default" w:ascii="Times New Roman" w:hAnsi="Times New Roman" w:cs="Times New Roman"/>
          <w:color w:val="auto"/>
          <w:sz w:val="24"/>
          <w:szCs w:val="24"/>
        </w:rPr>
      </w:pPr>
      <w:bookmarkStart w:id="188" w:name="_Toc10530"/>
      <w:bookmarkStart w:id="189" w:name="_Toc10475"/>
      <w:bookmarkStart w:id="190" w:name="_Toc7998966"/>
      <w:bookmarkStart w:id="191" w:name="_Toc1852"/>
      <w:bookmarkStart w:id="192" w:name="_Toc12914"/>
      <w:bookmarkStart w:id="193" w:name="_Toc17709360"/>
      <w:r>
        <w:rPr>
          <w:rFonts w:hint="default" w:ascii="Times New Roman" w:hAnsi="Times New Roman" w:cs="Times New Roman"/>
          <w:color w:val="auto"/>
          <w:sz w:val="24"/>
          <w:szCs w:val="24"/>
        </w:rPr>
        <w:t>2.6.2评价因子筛选</w:t>
      </w:r>
      <w:bookmarkEnd w:id="188"/>
      <w:bookmarkEnd w:id="189"/>
      <w:bookmarkEnd w:id="190"/>
      <w:bookmarkEnd w:id="191"/>
      <w:bookmarkEnd w:id="192"/>
      <w:bookmarkEnd w:id="193"/>
    </w:p>
    <w:p>
      <w:pPr>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根据工程特征及项目所在区环境状况确定本项目环境影响评价因子见表2.6-4。</w:t>
      </w:r>
    </w:p>
    <w:p>
      <w:pPr>
        <w:ind w:firstLine="2730" w:firstLineChars="1300"/>
        <w:rPr>
          <w:rFonts w:hint="default" w:ascii="Times New Roman" w:hAnsi="Times New Roman" w:eastAsia="黑体" w:cs="Times New Roman"/>
          <w:color w:val="auto"/>
          <w:szCs w:val="21"/>
        </w:rPr>
      </w:pPr>
      <w:bookmarkStart w:id="194" w:name="_Toc83355305"/>
      <w:bookmarkStart w:id="195" w:name="_Toc241388148"/>
      <w:bookmarkStart w:id="196" w:name="_Toc242959258"/>
      <w:r>
        <w:rPr>
          <w:rFonts w:hint="default" w:ascii="Times New Roman" w:hAnsi="Times New Roman" w:eastAsia="黑体" w:cs="Times New Roman"/>
          <w:color w:val="auto"/>
          <w:szCs w:val="21"/>
        </w:rPr>
        <w:t>表2.6-4    环境现状及环境影响评价因子</w:t>
      </w:r>
    </w:p>
    <w:tbl>
      <w:tblPr>
        <w:tblStyle w:val="79"/>
        <w:tblW w:w="831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9"/>
        <w:gridCol w:w="665"/>
        <w:gridCol w:w="1305"/>
        <w:gridCol w:w="58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970" w:type="dxa"/>
            <w:gridSpan w:val="2"/>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restart"/>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665" w:type="dxa"/>
            <w:vMerge w:val="restart"/>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1305"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现状评价</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10</w:t>
            </w:r>
            <w:r>
              <w:rPr>
                <w:rFonts w:hint="default" w:ascii="Times New Roman" w:hAnsi="Times New Roman" w:eastAsia="宋体" w:cs="Times New Roman"/>
                <w:color w:val="auto"/>
                <w:szCs w:val="21"/>
              </w:rPr>
              <w:t>、CO、O</w:t>
            </w:r>
            <w:r>
              <w:rPr>
                <w:rFonts w:hint="default" w:ascii="Times New Roman" w:hAnsi="Times New Roman" w:eastAsia="宋体" w:cs="Times New Roman"/>
                <w:color w:val="auto"/>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p>
        </w:tc>
        <w:tc>
          <w:tcPr>
            <w:tcW w:w="665"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颗粒物</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p>
        </w:tc>
        <w:tc>
          <w:tcPr>
            <w:tcW w:w="665" w:type="dxa"/>
            <w:vMerge w:val="continue"/>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462" w:hRule="atLeast"/>
          <w:jc w:val="center"/>
        </w:trPr>
        <w:tc>
          <w:tcPr>
            <w:tcW w:w="529"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5"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现状评价</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、氨氮、总磷、铜、锌、氟化物、砷、镉、六价铬、氰化物、铅、挥发酚、硫化物、粪大肠菌群等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b/>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b/>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b/>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b/>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773" w:hRule="exact"/>
          <w:jc w:val="center"/>
        </w:trPr>
        <w:tc>
          <w:tcPr>
            <w:tcW w:w="529"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65"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现状分析</w:t>
            </w:r>
          </w:p>
        </w:tc>
        <w:tc>
          <w:tcPr>
            <w:tcW w:w="5813" w:type="dxa"/>
            <w:noWrap w:val="0"/>
            <w:tcMar>
              <w:top w:w="74" w:type="dxa"/>
              <w:left w:w="0" w:type="dxa"/>
              <w:bottom w:w="74" w:type="dxa"/>
              <w:right w:w="0" w:type="dxa"/>
            </w:tcMar>
            <w:vAlign w:val="center"/>
          </w:tcPr>
          <w:p>
            <w:pPr>
              <w:spacing w:line="240" w:lineRule="exact"/>
              <w:jc w:val="both"/>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溶解性总固体</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挥发性酚类</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氰化物</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铬（六价）</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氯化物</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硫酸盐</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硝酸盐氮</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亚硝酸盐氮</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耗氧量</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总大肠菌群</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菌落总数</w:t>
            </w:r>
            <w:r>
              <w:rPr>
                <w:rFonts w:hint="eastAsia" w:ascii="Times New Roman" w:hAnsi="Times New Roman" w:eastAsia="宋体" w:cs="Times New Roman"/>
                <w:color w:val="auto"/>
                <w:szCs w:val="21"/>
                <w:lang w:eastAsia="zh-CN"/>
              </w:rPr>
              <w:t>、铁、砷、汞、氨氮、铅、铜、锌、锰、镉、氟化物、总硬度</w:t>
            </w:r>
          </w:p>
          <w:p>
            <w:pPr>
              <w:spacing w:line="24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影响分析</w:t>
            </w:r>
          </w:p>
        </w:tc>
        <w:tc>
          <w:tcPr>
            <w:tcW w:w="5813"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65"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1305" w:type="dxa"/>
            <w:noWrap w:val="0"/>
            <w:tcMar>
              <w:top w:w="74" w:type="dxa"/>
              <w:left w:w="0" w:type="dxa"/>
              <w:bottom w:w="74" w:type="dxa"/>
              <w:right w:w="0" w:type="dxa"/>
            </w:tcMar>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504" w:hRule="exact"/>
          <w:jc w:val="center"/>
        </w:trPr>
        <w:tc>
          <w:tcPr>
            <w:tcW w:w="529"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65"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305"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65" w:type="dxa"/>
            <w:vMerge w:val="restart"/>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305"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植物、动物、土壤、生态系统等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340" w:hRule="exact"/>
          <w:jc w:val="center"/>
        </w:trPr>
        <w:tc>
          <w:tcPr>
            <w:tcW w:w="529"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665" w:type="dxa"/>
            <w:vMerge w:val="continue"/>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p>
        </w:tc>
        <w:tc>
          <w:tcPr>
            <w:tcW w:w="1305"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影响分析</w:t>
            </w:r>
          </w:p>
        </w:tc>
        <w:tc>
          <w:tcPr>
            <w:tcW w:w="5813" w:type="dxa"/>
            <w:noWrap w:val="0"/>
            <w:tcMar>
              <w:top w:w="74" w:type="dxa"/>
              <w:left w:w="0" w:type="dxa"/>
              <w:bottom w:w="74" w:type="dxa"/>
              <w:right w:w="0" w:type="dxa"/>
            </w:tcMar>
            <w:vAlign w:val="center"/>
          </w:tcPr>
          <w:p>
            <w:pPr>
              <w:pStyle w:val="41"/>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动植物、地形地貌、土壤等</w:t>
            </w:r>
          </w:p>
        </w:tc>
      </w:tr>
      <w:bookmarkEnd w:id="126"/>
      <w:bookmarkEnd w:id="127"/>
      <w:bookmarkEnd w:id="128"/>
      <w:bookmarkEnd w:id="129"/>
      <w:bookmarkEnd w:id="130"/>
      <w:bookmarkEnd w:id="131"/>
      <w:bookmarkEnd w:id="132"/>
      <w:bookmarkEnd w:id="133"/>
      <w:bookmarkEnd w:id="134"/>
      <w:bookmarkEnd w:id="135"/>
      <w:bookmarkEnd w:id="136"/>
      <w:bookmarkEnd w:id="137"/>
      <w:bookmarkEnd w:id="194"/>
      <w:bookmarkEnd w:id="195"/>
      <w:bookmarkEnd w:id="196"/>
    </w:tbl>
    <w:p>
      <w:pPr>
        <w:pStyle w:val="4"/>
        <w:keepLines/>
        <w:spacing w:line="360" w:lineRule="auto"/>
        <w:ind w:left="0" w:firstLine="0"/>
        <w:jc w:val="both"/>
        <w:rPr>
          <w:rFonts w:hint="default" w:ascii="Times New Roman" w:hAnsi="Times New Roman" w:cs="Times New Roman"/>
          <w:color w:val="auto"/>
          <w:sz w:val="28"/>
          <w:szCs w:val="28"/>
        </w:rPr>
      </w:pPr>
      <w:bookmarkStart w:id="197" w:name="_Toc7909"/>
      <w:bookmarkStart w:id="198" w:name="_Toc3234"/>
      <w:bookmarkStart w:id="199" w:name="_Toc22705"/>
      <w:bookmarkStart w:id="200" w:name="_Toc23862"/>
      <w:bookmarkStart w:id="201" w:name="_Toc10137"/>
      <w:bookmarkStart w:id="202" w:name="_Toc6239_WPSOffice_Level2"/>
      <w:bookmarkStart w:id="203" w:name="_Toc7998967"/>
      <w:bookmarkStart w:id="204" w:name="_Toc8836356"/>
      <w:bookmarkStart w:id="205" w:name="_Toc17709283"/>
      <w:bookmarkStart w:id="206" w:name="_Toc17709361"/>
      <w:bookmarkStart w:id="207" w:name="_Toc168317188"/>
      <w:bookmarkStart w:id="208" w:name="_Toc180891755"/>
      <w:bookmarkStart w:id="209" w:name="_Toc245882731"/>
      <w:bookmarkStart w:id="210" w:name="_Toc172698645"/>
      <w:bookmarkStart w:id="211" w:name="_Toc164774367"/>
      <w:bookmarkStart w:id="212" w:name="_Toc179653256"/>
      <w:bookmarkStart w:id="213" w:name="_Toc170970643"/>
      <w:bookmarkStart w:id="214" w:name="_Toc187800016"/>
      <w:bookmarkStart w:id="215" w:name="_Toc170869047"/>
      <w:bookmarkStart w:id="216" w:name="_Toc179522797"/>
      <w:r>
        <w:rPr>
          <w:rFonts w:hint="default" w:ascii="Times New Roman" w:hAnsi="Times New Roman" w:cs="Times New Roman"/>
          <w:color w:val="auto"/>
          <w:sz w:val="28"/>
          <w:szCs w:val="28"/>
        </w:rPr>
        <w:t>2.</w:t>
      </w:r>
      <w:bookmarkEnd w:id="197"/>
      <w:bookmarkEnd w:id="198"/>
      <w:bookmarkEnd w:id="199"/>
      <w:bookmarkEnd w:id="200"/>
      <w:bookmarkEnd w:id="201"/>
      <w:r>
        <w:rPr>
          <w:rFonts w:hint="default" w:ascii="Times New Roman" w:hAnsi="Times New Roman" w:cs="Times New Roman"/>
          <w:color w:val="auto"/>
          <w:sz w:val="28"/>
          <w:szCs w:val="28"/>
        </w:rPr>
        <w:t>7评价重点</w:t>
      </w:r>
      <w:bookmarkEnd w:id="202"/>
      <w:bookmarkEnd w:id="203"/>
      <w:bookmarkEnd w:id="204"/>
      <w:bookmarkEnd w:id="205"/>
      <w:bookmarkEnd w:id="206"/>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属典型的资源开采型项目，根据此类项目特点，本评价将工程分析、生态环境影响评价作为评价重点，同时对环境空气、水环境、声环境以及固体废物影响进行分析。项目污染物主要是无组织排放的粉尘等，充分论证所采取污染治理措施的可行性，提出减少污染物排放及尽可能降低对环境影响措施和对策。</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本环评主要针对井下开采引起的地表塌陷对生态环境的影响、废石场一旦发生地质灾害对周边环境的影响。</w:t>
      </w:r>
    </w:p>
    <w:p>
      <w:pPr>
        <w:pStyle w:val="4"/>
        <w:keepLines/>
        <w:spacing w:line="360" w:lineRule="auto"/>
        <w:ind w:left="0" w:firstLine="0"/>
        <w:jc w:val="both"/>
        <w:rPr>
          <w:rFonts w:hint="default" w:ascii="Times New Roman" w:hAnsi="Times New Roman" w:cs="Times New Roman"/>
          <w:color w:val="auto"/>
          <w:sz w:val="28"/>
          <w:szCs w:val="28"/>
        </w:rPr>
      </w:pPr>
      <w:bookmarkStart w:id="217" w:name="_Toc7998968"/>
      <w:bookmarkStart w:id="218" w:name="_Toc17709284"/>
      <w:bookmarkStart w:id="219" w:name="_Toc17709362"/>
      <w:bookmarkStart w:id="220" w:name="_Toc8836357"/>
      <w:bookmarkStart w:id="221" w:name="_Toc4737_WPSOffice_Level2"/>
      <w:r>
        <w:rPr>
          <w:rFonts w:hint="default" w:ascii="Times New Roman" w:hAnsi="Times New Roman" w:cs="Times New Roman"/>
          <w:color w:val="auto"/>
          <w:sz w:val="28"/>
          <w:szCs w:val="28"/>
        </w:rPr>
        <w:t>2.8评价时段</w:t>
      </w:r>
      <w:bookmarkEnd w:id="217"/>
      <w:bookmarkEnd w:id="218"/>
      <w:bookmarkEnd w:id="219"/>
      <w:bookmarkEnd w:id="220"/>
      <w:bookmarkEnd w:id="221"/>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根据矿山工程特点，确定本项目评价时段为项目施工期、生产营运期和闭矿期三个时段，其中以生产营运期的环境影响评价作为重点。</w:t>
      </w:r>
    </w:p>
    <w:p>
      <w:pPr>
        <w:pStyle w:val="4"/>
        <w:keepLines/>
        <w:spacing w:line="360" w:lineRule="auto"/>
        <w:ind w:left="0" w:firstLine="0"/>
        <w:jc w:val="both"/>
        <w:rPr>
          <w:rFonts w:hint="default" w:ascii="Times New Roman" w:hAnsi="Times New Roman" w:cs="Times New Roman"/>
          <w:color w:val="auto"/>
          <w:sz w:val="28"/>
          <w:szCs w:val="28"/>
        </w:rPr>
      </w:pPr>
      <w:bookmarkStart w:id="222" w:name="_Toc8836358"/>
      <w:bookmarkStart w:id="223" w:name="_Toc7998969"/>
      <w:bookmarkStart w:id="224" w:name="_Toc19530_WPSOffice_Level2"/>
      <w:bookmarkStart w:id="225" w:name="_Toc17709363"/>
      <w:bookmarkStart w:id="226" w:name="_Toc17709285"/>
      <w:r>
        <w:rPr>
          <w:rFonts w:hint="default" w:ascii="Times New Roman" w:hAnsi="Times New Roman" w:cs="Times New Roman"/>
          <w:color w:val="auto"/>
          <w:sz w:val="28"/>
          <w:szCs w:val="28"/>
        </w:rPr>
        <w:t>2.9控制污染物与环境保护目标</w:t>
      </w:r>
      <w:bookmarkEnd w:id="222"/>
      <w:bookmarkEnd w:id="223"/>
      <w:bookmarkEnd w:id="224"/>
      <w:bookmarkEnd w:id="225"/>
      <w:bookmarkEnd w:id="226"/>
    </w:p>
    <w:p>
      <w:pPr>
        <w:pStyle w:val="5"/>
        <w:keepLines w:val="0"/>
        <w:spacing w:before="0" w:after="0" w:line="360" w:lineRule="auto"/>
        <w:rPr>
          <w:rFonts w:hint="default" w:ascii="Times New Roman" w:hAnsi="Times New Roman" w:cs="Times New Roman"/>
          <w:color w:val="auto"/>
          <w:sz w:val="24"/>
          <w:szCs w:val="24"/>
        </w:rPr>
      </w:pPr>
      <w:bookmarkStart w:id="227" w:name="_Toc30436"/>
      <w:bookmarkStart w:id="228" w:name="_Toc17709364"/>
      <w:bookmarkStart w:id="229" w:name="_Toc7998970"/>
      <w:bookmarkStart w:id="230" w:name="_Toc20653"/>
      <w:bookmarkStart w:id="231" w:name="_Toc13589"/>
      <w:bookmarkStart w:id="232" w:name="_Toc4917"/>
      <w:r>
        <w:rPr>
          <w:rFonts w:hint="default" w:ascii="Times New Roman" w:hAnsi="Times New Roman" w:cs="Times New Roman"/>
          <w:color w:val="auto"/>
          <w:sz w:val="24"/>
          <w:szCs w:val="24"/>
        </w:rPr>
        <w:t>2.9.1污染与生态影响控制目标</w:t>
      </w:r>
      <w:bookmarkEnd w:id="227"/>
      <w:bookmarkEnd w:id="228"/>
      <w:bookmarkEnd w:id="229"/>
      <w:bookmarkEnd w:id="230"/>
      <w:bookmarkEnd w:id="231"/>
      <w:bookmarkEnd w:id="232"/>
    </w:p>
    <w:p>
      <w:pPr>
        <w:adjustRightInd w:val="0"/>
        <w:snapToGrid w:val="0"/>
        <w:spacing w:line="360" w:lineRule="auto"/>
        <w:rPr>
          <w:rFonts w:hint="default" w:ascii="Times New Roman" w:hAnsi="Times New Roman" w:cs="Times New Roman"/>
          <w:color w:val="auto"/>
          <w:sz w:val="24"/>
        </w:rPr>
      </w:pPr>
      <w:bookmarkStart w:id="233" w:name="_Toc16712"/>
      <w:bookmarkStart w:id="234" w:name="_Toc24266"/>
      <w:r>
        <w:rPr>
          <w:rFonts w:hint="default" w:ascii="Times New Roman" w:hAnsi="Times New Roman" w:cs="Times New Roman"/>
          <w:color w:val="auto"/>
          <w:sz w:val="24"/>
        </w:rPr>
        <w:t>2.9.1.1施工期</w:t>
      </w:r>
      <w:bookmarkEnd w:id="233"/>
      <w:bookmarkEnd w:id="234"/>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施工期矿山开发主要控制开挖、占用土地、植被面积和水土流失，以及施工噪声、施工扬尘等，详见表2.9.1。</w:t>
      </w:r>
    </w:p>
    <w:p>
      <w:pPr>
        <w:ind w:firstLine="2940" w:firstLineChars="14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表2.9-1  施工期污染控制目标</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417"/>
        <w:gridCol w:w="2949"/>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2" w:hRule="atLeast"/>
          <w:jc w:val="center"/>
        </w:trPr>
        <w:tc>
          <w:tcPr>
            <w:tcW w:w="96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41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污染物类型</w:t>
            </w:r>
          </w:p>
        </w:tc>
        <w:tc>
          <w:tcPr>
            <w:tcW w:w="294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控制内容</w:t>
            </w:r>
          </w:p>
        </w:tc>
        <w:tc>
          <w:tcPr>
            <w:tcW w:w="32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6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弃土、</w:t>
            </w:r>
          </w:p>
          <w:p>
            <w:pPr>
              <w:pStyle w:val="244"/>
              <w:spacing w:before="0" w:line="240" w:lineRule="auto"/>
              <w:ind w:firstLine="105" w:firstLineChars="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弃渣</w:t>
            </w:r>
          </w:p>
        </w:tc>
        <w:tc>
          <w:tcPr>
            <w:tcW w:w="141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固体废弃物</w:t>
            </w:r>
          </w:p>
        </w:tc>
        <w:tc>
          <w:tcPr>
            <w:tcW w:w="2949" w:type="dxa"/>
            <w:noWrap w:val="0"/>
            <w:vAlign w:val="top"/>
          </w:tcPr>
          <w:p>
            <w:pPr>
              <w:pStyle w:val="244"/>
              <w:spacing w:before="0"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严格控制工业场地和矿井等地表剥离、弃土和废石占地面积，制定完善的处置措施、禁止乱堆乱放</w:t>
            </w:r>
          </w:p>
        </w:tc>
        <w:tc>
          <w:tcPr>
            <w:tcW w:w="3200" w:type="dxa"/>
            <w:noWrap w:val="0"/>
            <w:vAlign w:val="top"/>
          </w:tcPr>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控制压占土地、植被面积，使矿山范围内的新增水土流失得到有效控制，避免产生环境地质灾害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62" w:type="dxa"/>
            <w:noWrap w:val="0"/>
            <w:vAlign w:val="center"/>
          </w:tcPr>
          <w:p>
            <w:pPr>
              <w:pStyle w:val="244"/>
              <w:spacing w:before="0" w:line="240" w:lineRule="auto"/>
              <w:ind w:firstLine="105" w:firstLineChars="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141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机械、空气</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动力性噪声</w:t>
            </w:r>
          </w:p>
        </w:tc>
        <w:tc>
          <w:tcPr>
            <w:tcW w:w="2949" w:type="dxa"/>
            <w:noWrap w:val="0"/>
            <w:vAlign w:val="top"/>
          </w:tcPr>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合理安排施工时间、采用低噪声机械设备</w:t>
            </w:r>
          </w:p>
        </w:tc>
        <w:tc>
          <w:tcPr>
            <w:tcW w:w="3200" w:type="dxa"/>
            <w:noWrap w:val="0"/>
            <w:vAlign w:val="top"/>
          </w:tcPr>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《建筑施工场界环境噪声排</w:t>
            </w:r>
          </w:p>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62"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场地</w:t>
            </w:r>
          </w:p>
        </w:tc>
        <w:tc>
          <w:tcPr>
            <w:tcW w:w="141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2949" w:type="dxa"/>
            <w:noWrap w:val="0"/>
            <w:vAlign w:val="top"/>
          </w:tcPr>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设围挡、遮蔽措施，阻隔施工扬尘，定期洒水降尘等</w:t>
            </w:r>
          </w:p>
        </w:tc>
        <w:tc>
          <w:tcPr>
            <w:tcW w:w="320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无组织排放监控浓度限值</w:t>
            </w:r>
          </w:p>
        </w:tc>
      </w:tr>
    </w:tbl>
    <w:p>
      <w:pPr>
        <w:adjustRightInd w:val="0"/>
        <w:snapToGrid w:val="0"/>
        <w:spacing w:line="360" w:lineRule="auto"/>
        <w:rPr>
          <w:rFonts w:hint="default" w:ascii="Times New Roman" w:hAnsi="Times New Roman" w:cs="Times New Roman"/>
          <w:color w:val="auto"/>
          <w:sz w:val="24"/>
        </w:rPr>
      </w:pPr>
      <w:bookmarkStart w:id="235" w:name="_Toc12809"/>
      <w:bookmarkStart w:id="236" w:name="_Toc11893"/>
      <w:r>
        <w:rPr>
          <w:rFonts w:hint="default" w:ascii="Times New Roman" w:hAnsi="Times New Roman" w:cs="Times New Roman"/>
          <w:color w:val="auto"/>
          <w:sz w:val="24"/>
        </w:rPr>
        <w:t>2.9.1.2运营期</w:t>
      </w:r>
      <w:bookmarkEnd w:id="235"/>
      <w:bookmarkEnd w:id="236"/>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运营期控制内容与目标见表2.9-2。</w:t>
      </w:r>
    </w:p>
    <w:p>
      <w:pPr>
        <w:adjustRightInd w:val="0"/>
        <w:snapToGrid w:val="0"/>
        <w:ind w:firstLine="2625" w:firstLineChars="1250"/>
        <w:rPr>
          <w:rFonts w:hint="default"/>
          <w:color w:val="auto"/>
        </w:rPr>
      </w:pPr>
      <w:r>
        <w:rPr>
          <w:rFonts w:hint="default" w:ascii="Times New Roman" w:hAnsi="Times New Roman" w:eastAsia="黑体" w:cs="Times New Roman"/>
          <w:color w:val="auto"/>
          <w:szCs w:val="21"/>
        </w:rPr>
        <w:t>表2.9-2  运营期污染控制内容与目标</w:t>
      </w:r>
    </w:p>
    <w:tbl>
      <w:tblPr>
        <w:tblStyle w:val="79"/>
        <w:tblW w:w="87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530"/>
        <w:gridCol w:w="3129"/>
        <w:gridCol w:w="3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86"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53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污染物类型</w:t>
            </w:r>
          </w:p>
        </w:tc>
        <w:tc>
          <w:tcPr>
            <w:tcW w:w="312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控制内容</w:t>
            </w:r>
          </w:p>
        </w:tc>
        <w:tc>
          <w:tcPr>
            <w:tcW w:w="301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86"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53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3129" w:type="dxa"/>
            <w:noWrap w:val="0"/>
            <w:vAlign w:val="top"/>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采取湿式凿岩、喷雾洒水、洗壁和机械通风措施；废石堆场洒水降尘，防止扬尘。</w:t>
            </w:r>
          </w:p>
        </w:tc>
        <w:tc>
          <w:tcPr>
            <w:tcW w:w="3019" w:type="dxa"/>
            <w:noWrap w:val="0"/>
            <w:vAlign w:val="center"/>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达到《铜镍钴工业污染物排放标准》（GB25467-2010）浓度限值要求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53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pH、悬浮物、</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、锌、</w:t>
            </w:r>
          </w:p>
          <w:p>
            <w:pPr>
              <w:pStyle w:val="244"/>
              <w:spacing w:before="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铅、镉、六价铬等</w:t>
            </w:r>
          </w:p>
        </w:tc>
        <w:tc>
          <w:tcPr>
            <w:tcW w:w="3129" w:type="dxa"/>
            <w:noWrap w:val="0"/>
            <w:vAlign w:val="top"/>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①采矿区矿坑涌水经沉淀处理后，回用于采矿生产、废石场、道路降尘综合用水等。②项目区生活污水经一体化污水处理设施处理后用于周边绿化及道路洒水降尘。</w:t>
            </w:r>
          </w:p>
        </w:tc>
        <w:tc>
          <w:tcPr>
            <w:tcW w:w="3019" w:type="dxa"/>
            <w:noWrap w:val="0"/>
            <w:vAlign w:val="center"/>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矿井涌水和生活污水全部综合利用不外排</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3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空气动力噪声</w:t>
            </w:r>
          </w:p>
        </w:tc>
        <w:tc>
          <w:tcPr>
            <w:tcW w:w="3129" w:type="dxa"/>
            <w:noWrap w:val="0"/>
            <w:vAlign w:val="top"/>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采用吸声、减振、隔声和消声等措施</w:t>
            </w:r>
          </w:p>
        </w:tc>
        <w:tc>
          <w:tcPr>
            <w:tcW w:w="3019" w:type="dxa"/>
            <w:noWrap w:val="0"/>
            <w:vAlign w:val="center"/>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符合《工业企业厂界环境噪声排放标准》2 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153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废渣石、</w:t>
            </w:r>
          </w:p>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129" w:type="dxa"/>
            <w:noWrap w:val="0"/>
            <w:vAlign w:val="top"/>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①建设废石场，设置拦渣坝、挡石墙和截排水沟，采取水保和复垦绿化措施。</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②项目生活垃圾集中收集定期运往达坂城区柴窝堡乡垃圾收集站。</w:t>
            </w:r>
          </w:p>
        </w:tc>
        <w:tc>
          <w:tcPr>
            <w:tcW w:w="3019" w:type="dxa"/>
            <w:noWrap w:val="0"/>
            <w:vAlign w:val="center"/>
          </w:tcPr>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符合《一般工业固体废物贮</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存、处置场污染控制标准》</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(GB18599-2001)及 修改 单</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(环保部公 告[2013]第 36</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号)中第Ⅰ类一般工业固体</w:t>
            </w:r>
          </w:p>
          <w:p>
            <w:pPr>
              <w:pStyle w:val="244"/>
              <w:keepNext w:val="0"/>
              <w:keepLines w:val="0"/>
              <w:pageBreakBefore w:val="0"/>
              <w:widowControl w:val="0"/>
              <w:kinsoku/>
              <w:wordWrap/>
              <w:overflowPunct/>
              <w:topLinePunct w:val="0"/>
              <w:autoSpaceDE/>
              <w:autoSpaceDN/>
              <w:bidi w:val="0"/>
              <w:adjustRightInd/>
              <w:snapToGrid/>
              <w:spacing w:before="0"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废物的有关规定</w:t>
            </w:r>
          </w:p>
        </w:tc>
      </w:tr>
    </w:tbl>
    <w:p>
      <w:pPr>
        <w:adjustRightInd w:val="0"/>
        <w:snapToGrid w:val="0"/>
        <w:spacing w:line="360" w:lineRule="auto"/>
        <w:rPr>
          <w:rFonts w:hint="default" w:ascii="Times New Roman" w:hAnsi="Times New Roman" w:cs="Times New Roman"/>
          <w:color w:val="auto"/>
          <w:sz w:val="24"/>
        </w:rPr>
      </w:pPr>
      <w:bookmarkStart w:id="237" w:name="_Toc22416"/>
      <w:bookmarkStart w:id="238" w:name="_Toc7683"/>
    </w:p>
    <w:p>
      <w:pPr>
        <w:adjustRightInd w:val="0"/>
        <w:snapToGrid w:val="0"/>
        <w:spacing w:line="360" w:lineRule="auto"/>
        <w:rPr>
          <w:rFonts w:hint="default" w:ascii="Times New Roman" w:hAnsi="Times New Roman" w:cs="Times New Roman"/>
          <w:color w:val="auto"/>
          <w:sz w:val="24"/>
        </w:rPr>
      </w:pPr>
    </w:p>
    <w:p>
      <w:pPr>
        <w:adjustRightInd w:val="0"/>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2.9.1.3生态影响控制目标</w:t>
      </w:r>
      <w:bookmarkEnd w:id="237"/>
      <w:bookmarkEnd w:id="238"/>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加强矿区生态环境综合整治，对矿区植被破坏区的土地进行复垦和植被恢复治理。根据《矿山生态环境保护与污染防治技术政策》(国家环境保护总局等，环发[2005]109号)要求和项目矿山开采时序，矿山应做到边开采、边回填采坑，同时对工业场地进行平整复绿，复垦率达到85%以上。</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（2）采取工程和生物措施，使本工程防治责任范围内施工过程造成的水土流失得到有效控制，具体防治目标见表2.9-3。</w:t>
      </w:r>
    </w:p>
    <w:p>
      <w:pPr>
        <w:adjustRightInd w:val="0"/>
        <w:snapToGrid w:val="0"/>
        <w:ind w:firstLine="2730" w:firstLineChars="13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表2.9-3   项目水土流失防治目标（%）</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729"/>
        <w:gridCol w:w="1909"/>
        <w:gridCol w:w="1580"/>
        <w:gridCol w:w="885"/>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7" w:hRule="atLeast"/>
          <w:jc w:val="center"/>
        </w:trPr>
        <w:tc>
          <w:tcPr>
            <w:tcW w:w="84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72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扰动土地之利率</w:t>
            </w:r>
          </w:p>
        </w:tc>
        <w:tc>
          <w:tcPr>
            <w:tcW w:w="190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水土流失治理程度</w:t>
            </w:r>
          </w:p>
        </w:tc>
        <w:tc>
          <w:tcPr>
            <w:tcW w:w="158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土壤流失控制比</w:t>
            </w:r>
          </w:p>
        </w:tc>
        <w:tc>
          <w:tcPr>
            <w:tcW w:w="8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拦渣率</w:t>
            </w:r>
          </w:p>
        </w:tc>
        <w:tc>
          <w:tcPr>
            <w:tcW w:w="1578"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植被恢复系数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jc w:val="center"/>
        </w:trPr>
        <w:tc>
          <w:tcPr>
            <w:tcW w:w="84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172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0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8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8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1578"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1" w:hRule="atLeast"/>
          <w:jc w:val="center"/>
        </w:trPr>
        <w:tc>
          <w:tcPr>
            <w:tcW w:w="847"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172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1909"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1580"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885"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1578" w:type="dxa"/>
            <w:noWrap w:val="0"/>
            <w:vAlign w:val="center"/>
          </w:tcPr>
          <w:p>
            <w:pPr>
              <w:pStyle w:val="244"/>
              <w:spacing w:before="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bl>
    <w:p>
      <w:pPr>
        <w:pStyle w:val="5"/>
        <w:keepLines w:val="0"/>
        <w:spacing w:before="0" w:after="0" w:line="360" w:lineRule="auto"/>
        <w:rPr>
          <w:rFonts w:hint="default" w:ascii="Times New Roman" w:hAnsi="Times New Roman" w:cs="Times New Roman"/>
          <w:color w:val="auto"/>
          <w:sz w:val="24"/>
          <w:szCs w:val="24"/>
        </w:rPr>
      </w:pPr>
      <w:bookmarkStart w:id="239" w:name="_Toc17709365"/>
      <w:bookmarkStart w:id="240" w:name="_Toc3204"/>
      <w:bookmarkStart w:id="241" w:name="_Toc18759"/>
      <w:bookmarkStart w:id="242" w:name="_Toc7998971"/>
      <w:bookmarkStart w:id="243" w:name="_Toc16400"/>
      <w:bookmarkStart w:id="244" w:name="_Toc20965"/>
      <w:r>
        <w:rPr>
          <w:rFonts w:hint="default" w:ascii="Times New Roman" w:hAnsi="Times New Roman" w:cs="Times New Roman"/>
          <w:color w:val="auto"/>
          <w:sz w:val="24"/>
          <w:szCs w:val="24"/>
        </w:rPr>
        <w:t>2.9.2环境保护目标</w:t>
      </w:r>
      <w:bookmarkEnd w:id="239"/>
      <w:bookmarkEnd w:id="240"/>
      <w:bookmarkEnd w:id="241"/>
      <w:bookmarkEnd w:id="242"/>
      <w:bookmarkEnd w:id="243"/>
      <w:bookmarkEnd w:id="244"/>
    </w:p>
    <w:bookmarkEnd w:id="207"/>
    <w:bookmarkEnd w:id="208"/>
    <w:bookmarkEnd w:id="209"/>
    <w:bookmarkEnd w:id="210"/>
    <w:bookmarkEnd w:id="211"/>
    <w:bookmarkEnd w:id="212"/>
    <w:bookmarkEnd w:id="213"/>
    <w:bookmarkEnd w:id="214"/>
    <w:bookmarkEnd w:id="215"/>
    <w:bookmarkEnd w:id="216"/>
    <w:p>
      <w:pPr>
        <w:spacing w:line="360" w:lineRule="auto"/>
        <w:ind w:firstLine="480" w:firstLineChars="200"/>
        <w:rPr>
          <w:rFonts w:hint="default" w:ascii="Times New Roman" w:hAnsi="Times New Roman" w:cs="Times New Roman"/>
          <w:color w:val="auto"/>
          <w:sz w:val="24"/>
        </w:rPr>
      </w:pPr>
      <w:bookmarkStart w:id="245" w:name="_Toc149680554"/>
      <w:bookmarkStart w:id="246" w:name="_Toc149680791"/>
      <w:bookmarkStart w:id="247" w:name="_Toc153689543"/>
      <w:bookmarkStart w:id="248" w:name="_Toc164774368"/>
      <w:bookmarkStart w:id="249" w:name="_Toc168317189"/>
      <w:bookmarkStart w:id="250" w:name="_Toc170869048"/>
      <w:bookmarkStart w:id="251" w:name="_Toc170970644"/>
      <w:bookmarkStart w:id="252" w:name="_Toc172698646"/>
      <w:bookmarkStart w:id="253" w:name="_Toc179522798"/>
      <w:bookmarkStart w:id="254" w:name="_Toc179653257"/>
      <w:bookmarkStart w:id="255" w:name="_Toc180891756"/>
      <w:bookmarkStart w:id="256" w:name="_Toc187800017"/>
      <w:r>
        <w:rPr>
          <w:rFonts w:hint="default" w:ascii="Times New Roman" w:hAnsi="Times New Roman" w:cs="Times New Roman"/>
          <w:color w:val="auto"/>
          <w:sz w:val="24"/>
        </w:rPr>
        <w:t>项目区内无风景名胜区、自然保护区、饮用水源保护区等生态敏感区域分布，周围5km范围内无集中或分散居住区居民点，本项目主要环境保护目标见表 2.9-4。</w:t>
      </w:r>
    </w:p>
    <w:p>
      <w:pPr>
        <w:adjustRightInd w:val="0"/>
        <w:snapToGrid w:val="0"/>
        <w:ind w:firstLine="2310" w:firstLineChars="11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表2.9-4    矿区周围主要环境保护目标</w:t>
      </w:r>
    </w:p>
    <w:tbl>
      <w:tblPr>
        <w:tblStyle w:val="7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91"/>
        <w:gridCol w:w="890"/>
        <w:gridCol w:w="915"/>
        <w:gridCol w:w="825"/>
        <w:gridCol w:w="675"/>
        <w:gridCol w:w="930"/>
        <w:gridCol w:w="1260"/>
        <w:gridCol w:w="253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wBefore w:w="0" w:type="auto"/>
          <w:wAfter w:w="0" w:type="auto"/>
          <w:cantSplit/>
          <w:jc w:val="center"/>
        </w:trPr>
        <w:tc>
          <w:tcPr>
            <w:tcW w:w="288"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522"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53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w:t>
            </w:r>
          </w:p>
        </w:tc>
        <w:tc>
          <w:tcPr>
            <w:tcW w:w="484"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w:t>
            </w:r>
          </w:p>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39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人数</w:t>
            </w:r>
          </w:p>
        </w:tc>
        <w:tc>
          <w:tcPr>
            <w:tcW w:w="545"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739"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1487"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wBefore w:w="0" w:type="auto"/>
          <w:wAfter w:w="0" w:type="auto"/>
          <w:cantSplit/>
          <w:trHeight w:val="540" w:hRule="atLeast"/>
          <w:jc w:val="center"/>
        </w:trPr>
        <w:tc>
          <w:tcPr>
            <w:tcW w:w="288"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22"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53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84"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5"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矿区内</w:t>
            </w:r>
          </w:p>
        </w:tc>
        <w:tc>
          <w:tcPr>
            <w:tcW w:w="739" w:type="pct"/>
            <w:noWrap w:val="0"/>
            <w:vAlign w:val="center"/>
          </w:tcPr>
          <w:p>
            <w:pPr>
              <w:tabs>
                <w:tab w:val="left" w:pos="243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p>
            <w:pPr>
              <w:tabs>
                <w:tab w:val="left" w:pos="243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质量</w:t>
            </w:r>
          </w:p>
        </w:tc>
        <w:tc>
          <w:tcPr>
            <w:tcW w:w="1487" w:type="pct"/>
            <w:noWrap w:val="0"/>
            <w:vAlign w:val="center"/>
          </w:tcPr>
          <w:p>
            <w:pPr>
              <w:tabs>
                <w:tab w:val="left" w:pos="243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维持项目区地下水质量，保持现有地下水背景值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wBefore w:w="0" w:type="auto"/>
          <w:wAfter w:w="0" w:type="auto"/>
          <w:cantSplit/>
          <w:trHeight w:val="540" w:hRule="atLeast"/>
          <w:jc w:val="center"/>
        </w:trPr>
        <w:tc>
          <w:tcPr>
            <w:tcW w:w="288"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22"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53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484"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6"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5" w:type="pct"/>
            <w:noWrap w:val="0"/>
            <w:vAlign w:val="center"/>
          </w:tcPr>
          <w:p>
            <w:pPr>
              <w:pStyle w:val="41"/>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矿区及周边</w:t>
            </w:r>
          </w:p>
        </w:tc>
        <w:tc>
          <w:tcPr>
            <w:tcW w:w="739" w:type="pct"/>
            <w:noWrap w:val="0"/>
            <w:vAlign w:val="center"/>
          </w:tcPr>
          <w:p>
            <w:pPr>
              <w:tabs>
                <w:tab w:val="left" w:pos="243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厂址区域</w:t>
            </w:r>
          </w:p>
        </w:tc>
        <w:tc>
          <w:tcPr>
            <w:tcW w:w="1487" w:type="pct"/>
            <w:noWrap w:val="0"/>
            <w:vAlign w:val="center"/>
          </w:tcPr>
          <w:p>
            <w:pPr>
              <w:tabs>
                <w:tab w:val="left" w:pos="243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矿区周边植被</w:t>
            </w:r>
          </w:p>
        </w:tc>
      </w:tr>
      <w:bookmarkEnd w:id="245"/>
      <w:bookmarkEnd w:id="246"/>
      <w:bookmarkEnd w:id="247"/>
      <w:bookmarkEnd w:id="248"/>
      <w:bookmarkEnd w:id="249"/>
      <w:bookmarkEnd w:id="250"/>
      <w:bookmarkEnd w:id="251"/>
      <w:bookmarkEnd w:id="252"/>
      <w:bookmarkEnd w:id="253"/>
      <w:bookmarkEnd w:id="254"/>
      <w:bookmarkEnd w:id="255"/>
      <w:bookmarkEnd w:id="256"/>
    </w:tbl>
    <w:p>
      <w:pPr>
        <w:pageBreakBefore/>
        <w:spacing w:line="360" w:lineRule="auto"/>
        <w:jc w:val="center"/>
        <w:outlineLvl w:val="0"/>
        <w:rPr>
          <w:rFonts w:hint="default" w:ascii="Times New Roman" w:hAnsi="Times New Roman" w:cs="Times New Roman"/>
          <w:b/>
          <w:color w:val="auto"/>
          <w:sz w:val="30"/>
          <w:szCs w:val="30"/>
        </w:rPr>
      </w:pPr>
      <w:bookmarkStart w:id="257" w:name="_Toc22830"/>
      <w:bookmarkStart w:id="258" w:name="_Toc1593"/>
      <w:bookmarkStart w:id="259" w:name="_Toc12817_WPSOffice_Level1"/>
      <w:bookmarkStart w:id="260" w:name="_Toc7998972"/>
      <w:bookmarkStart w:id="261" w:name="_Toc7999154"/>
      <w:bookmarkStart w:id="262" w:name="_Toc11651_WPSOffice_Level1"/>
      <w:bookmarkStart w:id="263" w:name="_Toc8836359"/>
      <w:bookmarkStart w:id="264" w:name="_Toc17709286"/>
      <w:bookmarkStart w:id="265" w:name="_Toc17709366"/>
      <w:bookmarkStart w:id="266" w:name="_Toc170970651"/>
      <w:bookmarkStart w:id="267" w:name="_Toc172698653"/>
      <w:bookmarkStart w:id="268" w:name="_Toc179522805"/>
      <w:bookmarkStart w:id="269" w:name="_Toc179653264"/>
      <w:bookmarkStart w:id="270" w:name="_Toc187800025"/>
      <w:bookmarkStart w:id="271" w:name="_Toc23295"/>
      <w:bookmarkStart w:id="272" w:name="_Toc180891763"/>
      <w:bookmarkStart w:id="273" w:name="_Toc245882738"/>
      <w:bookmarkStart w:id="274" w:name="_Toc149680561"/>
      <w:bookmarkStart w:id="275" w:name="_Toc149680798"/>
      <w:bookmarkStart w:id="276" w:name="_Toc153689550"/>
      <w:bookmarkStart w:id="277" w:name="_Toc26789"/>
      <w:bookmarkStart w:id="278" w:name="_Toc164774375"/>
      <w:bookmarkStart w:id="279" w:name="_Toc168317196"/>
      <w:bookmarkStart w:id="280" w:name="_Toc170869055"/>
      <w:r>
        <w:rPr>
          <w:rFonts w:hint="default" w:ascii="Times New Roman" w:hAnsi="Times New Roman" w:cs="Times New Roman"/>
          <w:b/>
          <w:color w:val="auto"/>
          <w:sz w:val="30"/>
          <w:szCs w:val="30"/>
        </w:rPr>
        <w:t>3工程概况</w:t>
      </w:r>
      <w:bookmarkEnd w:id="257"/>
      <w:bookmarkEnd w:id="258"/>
      <w:r>
        <w:rPr>
          <w:rFonts w:hint="default" w:ascii="Times New Roman" w:hAnsi="Times New Roman" w:cs="Times New Roman"/>
          <w:b/>
          <w:color w:val="auto"/>
          <w:sz w:val="30"/>
          <w:szCs w:val="30"/>
        </w:rPr>
        <w:t>及工程分析</w:t>
      </w:r>
      <w:bookmarkEnd w:id="259"/>
      <w:bookmarkEnd w:id="260"/>
      <w:bookmarkEnd w:id="261"/>
      <w:bookmarkEnd w:id="262"/>
      <w:bookmarkEnd w:id="263"/>
      <w:bookmarkEnd w:id="264"/>
      <w:bookmarkEnd w:id="265"/>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Pr>
        <w:pStyle w:val="4"/>
        <w:keepLines/>
        <w:adjustRightInd w:val="0"/>
        <w:snapToGrid w:val="0"/>
        <w:spacing w:line="360" w:lineRule="auto"/>
        <w:ind w:left="565" w:hanging="565" w:hangingChars="201"/>
        <w:jc w:val="both"/>
        <w:rPr>
          <w:rFonts w:hint="default" w:ascii="Times New Roman" w:hAnsi="Times New Roman" w:cs="Times New Roman"/>
          <w:color w:val="auto"/>
          <w:sz w:val="28"/>
          <w:szCs w:val="28"/>
        </w:rPr>
      </w:pPr>
      <w:bookmarkStart w:id="281" w:name="_Toc9314"/>
      <w:bookmarkStart w:id="282" w:name="_Toc715"/>
      <w:bookmarkStart w:id="283" w:name="_Toc5158"/>
      <w:bookmarkStart w:id="284" w:name="_Toc9543"/>
      <w:bookmarkStart w:id="285" w:name="_Toc27902"/>
      <w:bookmarkStart w:id="286" w:name="_Toc25668_WPSOffice_Level2"/>
      <w:bookmarkStart w:id="287" w:name="_Toc7998973"/>
      <w:bookmarkStart w:id="288" w:name="_Toc30231_WPSOffice_Level1"/>
      <w:bookmarkStart w:id="289" w:name="_Toc8836360"/>
      <w:bookmarkStart w:id="290" w:name="_Toc17709287"/>
      <w:bookmarkStart w:id="291" w:name="_Toc17709367"/>
      <w:bookmarkStart w:id="292" w:name="_Toc1280"/>
      <w:bookmarkStart w:id="293" w:name="_Toc180891778"/>
      <w:bookmarkStart w:id="294" w:name="_Toc168317205"/>
      <w:bookmarkStart w:id="295" w:name="_Toc172698666"/>
      <w:bookmarkStart w:id="296" w:name="_Toc170869068"/>
      <w:bookmarkStart w:id="297" w:name="_Toc179653279"/>
      <w:bookmarkStart w:id="298" w:name="_Toc170970664"/>
      <w:bookmarkStart w:id="299" w:name="_Toc164774385"/>
      <w:bookmarkStart w:id="300" w:name="_Toc187800041"/>
      <w:bookmarkStart w:id="301" w:name="_Toc179522820"/>
      <w:bookmarkStart w:id="302" w:name="_Toc149680806"/>
      <w:bookmarkStart w:id="303" w:name="_Toc153689558"/>
      <w:bookmarkStart w:id="304" w:name="_Toc149680569"/>
      <w:r>
        <w:rPr>
          <w:rFonts w:hint="default" w:ascii="Times New Roman" w:hAnsi="Times New Roman" w:cs="Times New Roman"/>
          <w:color w:val="auto"/>
          <w:sz w:val="28"/>
          <w:szCs w:val="28"/>
        </w:rPr>
        <w:t>3.1项目基本情况</w:t>
      </w:r>
      <w:bookmarkEnd w:id="281"/>
      <w:bookmarkEnd w:id="282"/>
      <w:bookmarkEnd w:id="283"/>
      <w:bookmarkEnd w:id="284"/>
      <w:bookmarkEnd w:id="285"/>
      <w:bookmarkEnd w:id="286"/>
      <w:bookmarkEnd w:id="287"/>
      <w:bookmarkEnd w:id="288"/>
      <w:bookmarkEnd w:id="289"/>
      <w:bookmarkEnd w:id="290"/>
      <w:bookmarkEnd w:id="291"/>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305" w:name="_Toc22796"/>
      <w:bookmarkStart w:id="306" w:name="_Toc7998974"/>
      <w:bookmarkStart w:id="307" w:name="_Toc25101"/>
      <w:bookmarkStart w:id="308" w:name="_Toc14893"/>
      <w:bookmarkStart w:id="309" w:name="_Toc2468_WPSOffice_Level2"/>
      <w:bookmarkStart w:id="310" w:name="_Toc16093"/>
      <w:bookmarkStart w:id="311" w:name="_Toc24643"/>
      <w:bookmarkStart w:id="312" w:name="_Toc17709368"/>
      <w:r>
        <w:rPr>
          <w:rFonts w:hint="default" w:ascii="Times New Roman" w:hAnsi="Times New Roman" w:cs="Times New Roman"/>
          <w:color w:val="auto"/>
          <w:sz w:val="24"/>
        </w:rPr>
        <w:t>3.1.1项目名称、建设地点、建设性质、总投资及建设规模</w:t>
      </w:r>
      <w:bookmarkEnd w:id="305"/>
      <w:bookmarkEnd w:id="306"/>
      <w:bookmarkEnd w:id="307"/>
      <w:bookmarkEnd w:id="308"/>
      <w:bookmarkEnd w:id="309"/>
      <w:bookmarkEnd w:id="310"/>
      <w:bookmarkEnd w:id="311"/>
      <w:r>
        <w:rPr>
          <w:rFonts w:hint="default" w:ascii="Times New Roman" w:hAnsi="Times New Roman" w:cs="Times New Roman"/>
          <w:color w:val="auto"/>
          <w:sz w:val="24"/>
        </w:rPr>
        <w:t>等基本情况</w:t>
      </w:r>
      <w:bookmarkEnd w:id="312"/>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项目名称：乌鲁木齐北天山欣欣矿业有限公司新疆达坂城柴窝堡杏树沟铜矿。</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建设单位：乌鲁木齐北天山欣欣矿业有限公司。</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项目性质：新建。</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项目所属行业：有色金属采选业。</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生产规模：年开采矿石6万t（240t/d）。</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矿区面积：0.42 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建设规模：年产铜矿石6万t，采用地下开采方式。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服务年限：4.38a。</w:t>
      </w:r>
    </w:p>
    <w:p>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项目投资：本工程项目总投资为2699.13万元。</w:t>
      </w:r>
    </w:p>
    <w:p>
      <w:pPr>
        <w:pStyle w:val="5"/>
        <w:keepLines w:val="0"/>
        <w:spacing w:before="0" w:after="0" w:line="360" w:lineRule="auto"/>
        <w:rPr>
          <w:rFonts w:hint="default" w:ascii="Times New Roman" w:hAnsi="Times New Roman" w:cs="Times New Roman"/>
          <w:color w:val="auto"/>
          <w:sz w:val="24"/>
          <w:szCs w:val="24"/>
        </w:rPr>
      </w:pPr>
      <w:bookmarkStart w:id="313" w:name="_Toc1989"/>
      <w:bookmarkStart w:id="314" w:name="_Toc2287"/>
      <w:bookmarkStart w:id="315" w:name="_Toc2890"/>
      <w:bookmarkStart w:id="316" w:name="_Toc20053_WPSOffice_Level2"/>
      <w:bookmarkStart w:id="317" w:name="_Toc7998975"/>
      <w:bookmarkStart w:id="318" w:name="_Toc17709369"/>
      <w:bookmarkStart w:id="319" w:name="_Toc8932"/>
      <w:bookmarkStart w:id="320" w:name="_Toc29345"/>
      <w:r>
        <w:rPr>
          <w:rFonts w:hint="default" w:ascii="Times New Roman" w:hAnsi="Times New Roman" w:cs="Times New Roman"/>
          <w:color w:val="auto"/>
          <w:sz w:val="24"/>
          <w:szCs w:val="24"/>
        </w:rPr>
        <w:t>3.1.2建设地址</w:t>
      </w:r>
      <w:bookmarkEnd w:id="313"/>
      <w:bookmarkEnd w:id="314"/>
      <w:bookmarkEnd w:id="315"/>
      <w:bookmarkEnd w:id="316"/>
      <w:bookmarkEnd w:id="317"/>
      <w:bookmarkEnd w:id="318"/>
      <w:bookmarkEnd w:id="319"/>
      <w:bookmarkEnd w:id="320"/>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乌鲁木齐北天山欣欣矿业有限公司新疆达坂城柴窝堡杏树沟铜矿位于乌鲁木齐市115°方位44km处，距达坂城区柴窝堡乡约31km，行政区划属乌鲁木齐市达坂城区管辖。</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矿区中心地理坐标：东经88°07′46″，北纬43°39′07″。</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矿区南西方向约31km为乌鲁木齐市达坂城区柴窝堡乡，有吐-乌-大高等级公路连接乌鲁木齐市和吐鲁番市；矿区至柴窝堡乡为土路，但相对平整，交通较为方便。</w:t>
      </w:r>
    </w:p>
    <w:p>
      <w:pPr>
        <w:pStyle w:val="5"/>
        <w:keepLines w:val="0"/>
        <w:spacing w:before="0" w:after="0" w:line="360" w:lineRule="auto"/>
        <w:rPr>
          <w:rFonts w:hint="default" w:ascii="Times New Roman" w:hAnsi="Times New Roman" w:cs="Times New Roman"/>
          <w:color w:val="auto"/>
          <w:sz w:val="24"/>
          <w:szCs w:val="24"/>
        </w:rPr>
      </w:pPr>
      <w:bookmarkStart w:id="321" w:name="_Toc7998977"/>
      <w:bookmarkStart w:id="322" w:name="_Toc17709370"/>
      <w:bookmarkStart w:id="323" w:name="_Toc19746_WPSOffice_Level2"/>
      <w:r>
        <w:rPr>
          <w:rFonts w:hint="default" w:ascii="Times New Roman" w:hAnsi="Times New Roman" w:cs="Times New Roman"/>
          <w:color w:val="auto"/>
          <w:sz w:val="24"/>
          <w:szCs w:val="24"/>
        </w:rPr>
        <w:t>3.1.3资源储量及矿界范围</w:t>
      </w:r>
      <w:bookmarkEnd w:id="321"/>
      <w:bookmarkEnd w:id="322"/>
      <w:bookmarkEnd w:id="323"/>
    </w:p>
    <w:p>
      <w:pPr>
        <w:adjustRightInd w:val="0"/>
        <w:snapToGrid w:val="0"/>
        <w:spacing w:line="360" w:lineRule="auto"/>
        <w:outlineLvl w:val="3"/>
        <w:rPr>
          <w:rFonts w:hint="default" w:ascii="Times New Roman" w:hAnsi="Times New Roman" w:cs="Times New Roman"/>
          <w:color w:val="auto"/>
          <w:sz w:val="24"/>
          <w:szCs w:val="22"/>
        </w:rPr>
      </w:pPr>
      <w:bookmarkStart w:id="324" w:name="_Toc7998978"/>
      <w:r>
        <w:rPr>
          <w:rFonts w:hint="default" w:ascii="Times New Roman" w:hAnsi="Times New Roman" w:cs="Times New Roman"/>
          <w:color w:val="auto"/>
          <w:sz w:val="24"/>
          <w:szCs w:val="22"/>
        </w:rPr>
        <w:t>3.1.3.1矿石资源储量估算工业指标</w:t>
      </w:r>
      <w:bookmarkEnd w:id="324"/>
    </w:p>
    <w:p>
      <w:pPr>
        <w:pStyle w:val="32"/>
        <w:spacing w:line="360" w:lineRule="auto"/>
        <w:ind w:firstLine="480"/>
        <w:rPr>
          <w:rFonts w:hint="default" w:ascii="Times New Roman" w:hAnsi="Times New Roman" w:eastAsia="宋体" w:cs="Times New Roman"/>
          <w:color w:val="auto"/>
          <w:sz w:val="24"/>
        </w:rPr>
      </w:pPr>
      <w:bookmarkStart w:id="325" w:name="_Toc7998979"/>
      <w:r>
        <w:rPr>
          <w:rFonts w:hint="default" w:ascii="Times New Roman" w:hAnsi="Times New Roman" w:eastAsia="宋体" w:cs="Times New Roman"/>
          <w:color w:val="auto"/>
          <w:sz w:val="24"/>
        </w:rPr>
        <w:t>铜边界品位： 氧化矿0.5%，原生矿0.30%。</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铜最低工业品位：氧化矿0.7%，原生矿0.</w:t>
      </w:r>
      <w:bookmarkStart w:id="326" w:name="_Hlt59768038"/>
      <w:bookmarkEnd w:id="326"/>
      <w:r>
        <w:rPr>
          <w:rFonts w:hint="default" w:ascii="Times New Roman" w:hAnsi="Times New Roman" w:eastAsia="宋体" w:cs="Times New Roman"/>
          <w:color w:val="auto"/>
          <w:sz w:val="24"/>
        </w:rPr>
        <w:t>5%.</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最低可采厚度：1.0m</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工业米百分值：氧化矿0.7m×%，原生矿0.5m×%</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夹石剔除厚度：2m。</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矿石中除铜达到工业品位外，银和硫达到伴生有益组分利用指标，其伴生有益组分指标为：银1克/吨、硫1%。</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3.1.3.2勘查报告提交的资源储量</w:t>
      </w:r>
      <w:bookmarkEnd w:id="325"/>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（1）核实报告估算的资源储量</w:t>
      </w:r>
    </w:p>
    <w:p>
      <w:pPr>
        <w:pStyle w:val="32"/>
        <w:spacing w:line="360" w:lineRule="auto"/>
        <w:ind w:firstLine="480"/>
        <w:rPr>
          <w:rFonts w:hint="default" w:ascii="Times New Roman" w:hAnsi="Times New Roman" w:eastAsia="宋体" w:cs="Times New Roman"/>
          <w:color w:val="auto"/>
          <w:sz w:val="24"/>
        </w:rPr>
      </w:pPr>
      <w:bookmarkStart w:id="327" w:name="_Toc8539"/>
      <w:bookmarkStart w:id="328" w:name="_Toc762"/>
      <w:bookmarkStart w:id="329" w:name="_Toc14767"/>
      <w:r>
        <w:rPr>
          <w:rFonts w:hint="default" w:ascii="Times New Roman" w:hAnsi="Times New Roman" w:eastAsia="宋体" w:cs="Times New Roman"/>
          <w:color w:val="auto"/>
          <w:sz w:val="24"/>
        </w:rPr>
        <w:t>累计查明资源</w:t>
      </w:r>
      <w:bookmarkEnd w:id="327"/>
      <w:bookmarkEnd w:id="328"/>
      <w:bookmarkEnd w:id="329"/>
      <w:r>
        <w:rPr>
          <w:rFonts w:hint="default" w:ascii="Times New Roman" w:hAnsi="Times New Roman" w:eastAsia="宋体" w:cs="Times New Roman"/>
          <w:color w:val="auto"/>
          <w:sz w:val="24"/>
        </w:rPr>
        <w:t>储量：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区范围内共有矿体7个，编号依次为Ⅰ、Ⅱ、Ⅲ（4（1））、Ⅳ、Ⅴ、Ⅵ、4（2），其中Ⅲ（4（1））、4（2）号矿体为原普查报告中原有矿体，现已闭坑，未对该矿体重新进行估算，仅将原普查报告提交资源量进行了核销，对4（1）号矿体重新编号为Ⅲ号矿体，并对动用资源量及保有资源量重新进行了估算。截止2012年12月31日，采矿许可证范围内累计查明矿石量（122b)+（332）+（333）：371645.85t，铜金属量4941.53t，铜平均品位1.33%；其中氧化矿石量73856.52t，铜金属量973.92t，铜平均品位1.32%。原生矿石量297789.33t，铜金属量3967.61t，铜平均品位1.33%。</w:t>
      </w:r>
    </w:p>
    <w:p>
      <w:pPr>
        <w:pStyle w:val="32"/>
        <w:spacing w:line="360" w:lineRule="auto"/>
        <w:ind w:firstLine="480"/>
        <w:rPr>
          <w:rFonts w:hint="default" w:ascii="Times New Roman" w:hAnsi="Times New Roman" w:eastAsia="宋体" w:cs="Times New Roman"/>
          <w:color w:val="auto"/>
          <w:sz w:val="24"/>
        </w:rPr>
      </w:pPr>
      <w:bookmarkStart w:id="330" w:name="_Toc22519"/>
      <w:bookmarkStart w:id="331" w:name="_Toc18059"/>
      <w:bookmarkStart w:id="332" w:name="_Toc28260"/>
      <w:r>
        <w:rPr>
          <w:rFonts w:hint="default" w:ascii="Times New Roman" w:hAnsi="Times New Roman" w:eastAsia="宋体" w:cs="Times New Roman"/>
          <w:color w:val="auto"/>
          <w:sz w:val="24"/>
        </w:rPr>
        <w:t>动用的资源储量</w:t>
      </w:r>
      <w:bookmarkEnd w:id="330"/>
      <w:bookmarkEnd w:id="331"/>
      <w:bookmarkEnd w:id="332"/>
      <w:r>
        <w:rPr>
          <w:rFonts w:hint="default" w:ascii="Times New Roman" w:hAnsi="Times New Roman" w:eastAsia="宋体" w:cs="Times New Roman"/>
          <w:color w:val="auto"/>
          <w:sz w:val="24"/>
        </w:rPr>
        <w: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矿山共动用控制的铜矿石经济基础储量（122b)50315.08 t，铜金属量687.32t，由于原报告矿体都以原生矿进行估算的，而4（2）号矿体现已全部采完，故动用控制经济基础储量原生矿（122b)15622t，铜金属量187.35t，铜平均品位为1.20%；Ⅲ（原4（1））号矿动用控制经济基础储量（122b)34693.08吨，铜金属量499.97t，铜平均品位为1.44%，其中氧化矿石量28598.90tt，铜金属量411.71t，原生矿石量6094.18t，铜金属量88.26tt。</w:t>
      </w:r>
    </w:p>
    <w:p>
      <w:pPr>
        <w:pStyle w:val="32"/>
        <w:spacing w:line="360" w:lineRule="auto"/>
        <w:ind w:firstLine="480"/>
        <w:rPr>
          <w:rFonts w:hint="default" w:ascii="Times New Roman" w:hAnsi="Times New Roman" w:eastAsia="宋体" w:cs="Times New Roman"/>
          <w:color w:val="auto"/>
          <w:sz w:val="24"/>
        </w:rPr>
      </w:pPr>
      <w:bookmarkStart w:id="333" w:name="_Toc1319"/>
      <w:bookmarkStart w:id="334" w:name="_Toc8396"/>
      <w:bookmarkStart w:id="335" w:name="_Toc28470"/>
      <w:r>
        <w:rPr>
          <w:rFonts w:hint="default" w:ascii="Times New Roman" w:hAnsi="Times New Roman" w:eastAsia="宋体" w:cs="Times New Roman"/>
          <w:color w:val="auto"/>
          <w:sz w:val="24"/>
        </w:rPr>
        <w:t>保有矿产资源储量</w:t>
      </w:r>
      <w:bookmarkEnd w:id="333"/>
      <w:bookmarkEnd w:id="334"/>
      <w:bookmarkEnd w:id="335"/>
      <w:r>
        <w:rPr>
          <w:rFonts w:hint="default" w:ascii="Times New Roman" w:hAnsi="Times New Roman" w:eastAsia="宋体" w:cs="Times New Roman"/>
          <w:color w:val="auto"/>
          <w:sz w:val="24"/>
        </w:rPr>
        <w: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估算矿区范围内矿体有6条，依次编号为Ⅰ、Ⅱ、Ⅲ、Ⅳ、Ⅴ、Ⅵ号，共估算铜矿石量（122b)+(332)+(333）321330.77tt，铜金属量4254.21tt，铜平均品位为1.32%。</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矿许可证限采标高以内（1920m水平以上）矿石量（122b）+（332）+（333）172330.53t，铜金属量2249.81t，铜平均品位1.31%；其中：控制的经济基础储量（122b)矿石量52462.33t，铜金属量717.56t，铜平均品位1.37%；推断的内蕴经济资源量（333）矿石量119868.21 t，铜金属量1532.25t，铜平均品位1.28%。</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采矿许可证限采标高以外（1920m水平以下）矿石量（122b）+（332）+（333）149000.24t，铜金属量2004.40t，铜平均品位1.35%；其中：控制的内蕴经济资源量（332)矿石量91169.89 t，铜金属量1221.10t，铜平均品位1.34%；推断的内蕴经济资源量（333）矿石量57830.34 t，铜金属量783.31t，铜平均品位1.35%。</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各矿体保有资源储量，见表3.1-1。</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表3.1-1   杏树沟铜矿资源量估算结果表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95"/>
        <w:gridCol w:w="1396"/>
        <w:gridCol w:w="1408"/>
        <w:gridCol w:w="1411"/>
        <w:gridCol w:w="1409"/>
        <w:gridCol w:w="15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矿体编号</w:t>
            </w:r>
          </w:p>
        </w:tc>
        <w:tc>
          <w:tcPr>
            <w:tcW w:w="1396"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矿石类型</w:t>
            </w:r>
          </w:p>
        </w:tc>
        <w:tc>
          <w:tcPr>
            <w:tcW w:w="1408"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矿石量(</w:t>
            </w:r>
            <w:r>
              <w:rPr>
                <w:rFonts w:hint="default" w:ascii="Times New Roman" w:hAnsi="Times New Roman" w:eastAsia="宋体" w:cs="Times New Roman"/>
                <w:color w:val="auto"/>
                <w:szCs w:val="21"/>
              </w:rPr>
              <w:t>t</w:t>
            </w:r>
            <w:r>
              <w:rPr>
                <w:rFonts w:hint="default" w:ascii="Times New Roman" w:hAnsi="Times New Roman" w:cs="Times New Roman"/>
                <w:color w:val="auto"/>
                <w:szCs w:val="21"/>
              </w:rPr>
              <w:t>)</w:t>
            </w:r>
          </w:p>
        </w:tc>
        <w:tc>
          <w:tcPr>
            <w:tcW w:w="1411"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Cu金属量(t)</w:t>
            </w:r>
          </w:p>
        </w:tc>
        <w:tc>
          <w:tcPr>
            <w:tcW w:w="1409"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平均品位(%)</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资源量类型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restart"/>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1396"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20667.75</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246.18</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1.19</w:t>
            </w:r>
          </w:p>
        </w:tc>
        <w:tc>
          <w:tcPr>
            <w:tcW w:w="1503" w:type="dxa"/>
            <w:noWrap w:val="0"/>
            <w:vAlign w:val="center"/>
          </w:tcPr>
          <w:p>
            <w:pPr>
              <w:widowControl/>
              <w:autoSpaceDN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原生矿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163850.00</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2133.71</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1.30</w:t>
            </w:r>
          </w:p>
        </w:tc>
        <w:tc>
          <w:tcPr>
            <w:tcW w:w="1503"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合计</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184526.76 </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2379.88 </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1.29 </w:t>
            </w:r>
          </w:p>
        </w:tc>
        <w:tc>
          <w:tcPr>
            <w:tcW w:w="1503" w:type="dxa"/>
            <w:noWrap w:val="0"/>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restart"/>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Ⅱ</w:t>
            </w:r>
          </w:p>
        </w:tc>
        <w:tc>
          <w:tcPr>
            <w:tcW w:w="1396"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10004.37</w:t>
            </w:r>
          </w:p>
        </w:tc>
        <w:tc>
          <w:tcPr>
            <w:tcW w:w="1411"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138.85</w:t>
            </w:r>
          </w:p>
        </w:tc>
        <w:tc>
          <w:tcPr>
            <w:tcW w:w="1409"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1.39</w:t>
            </w:r>
          </w:p>
        </w:tc>
        <w:tc>
          <w:tcPr>
            <w:tcW w:w="1503" w:type="dxa"/>
            <w:noWrap w:val="0"/>
            <w:vAlign w:val="center"/>
          </w:tcPr>
          <w:p>
            <w:pPr>
              <w:widowControl/>
              <w:autoSpaceDN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原生矿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31126.63</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405.47</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1.30</w:t>
            </w:r>
          </w:p>
        </w:tc>
        <w:tc>
          <w:tcPr>
            <w:tcW w:w="1503"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合计</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41131.00 </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544.30 </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1.32 </w:t>
            </w:r>
          </w:p>
        </w:tc>
        <w:tc>
          <w:tcPr>
            <w:tcW w:w="1503" w:type="dxa"/>
            <w:noWrap w:val="0"/>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Ⅲ</w:t>
            </w: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原生矿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36102.59 </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502.70 </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1.39 </w:t>
            </w:r>
          </w:p>
        </w:tc>
        <w:tc>
          <w:tcPr>
            <w:tcW w:w="1503" w:type="dxa"/>
            <w:noWrap w:val="0"/>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restart"/>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Ⅳ</w:t>
            </w:r>
          </w:p>
        </w:tc>
        <w:tc>
          <w:tcPr>
            <w:tcW w:w="1396"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10955.76</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133.86</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w:t>
            </w:r>
          </w:p>
        </w:tc>
        <w:tc>
          <w:tcPr>
            <w:tcW w:w="1503"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122b+333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原生矿</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44993.92</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650.13</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1.44</w:t>
            </w:r>
          </w:p>
        </w:tc>
        <w:tc>
          <w:tcPr>
            <w:tcW w:w="1503"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vMerge w:val="continue"/>
            <w:noWrap w:val="0"/>
            <w:vAlign w:val="center"/>
          </w:tcPr>
          <w:p>
            <w:pPr>
              <w:widowControl/>
              <w:spacing w:line="280" w:lineRule="exact"/>
              <w:jc w:val="center"/>
              <w:rPr>
                <w:rFonts w:hint="default" w:ascii="Times New Roman" w:hAnsi="Times New Roman" w:cs="Times New Roman"/>
                <w:bCs/>
                <w:color w:val="auto"/>
                <w:szCs w:val="21"/>
              </w:rPr>
            </w:pPr>
          </w:p>
        </w:tc>
        <w:tc>
          <w:tcPr>
            <w:tcW w:w="1396"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合计</w:t>
            </w:r>
          </w:p>
        </w:tc>
        <w:tc>
          <w:tcPr>
            <w:tcW w:w="1408"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55949.68</w:t>
            </w:r>
          </w:p>
        </w:tc>
        <w:tc>
          <w:tcPr>
            <w:tcW w:w="1411"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784.01</w:t>
            </w:r>
          </w:p>
        </w:tc>
        <w:tc>
          <w:tcPr>
            <w:tcW w:w="1409" w:type="dxa"/>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c>
          <w:tcPr>
            <w:tcW w:w="1503" w:type="dxa"/>
            <w:noWrap w:val="0"/>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Ⅴ</w:t>
            </w:r>
          </w:p>
        </w:tc>
        <w:tc>
          <w:tcPr>
            <w:tcW w:w="1396"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1945.51 </w:t>
            </w:r>
          </w:p>
        </w:tc>
        <w:tc>
          <w:tcPr>
            <w:tcW w:w="1411"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25.09 </w:t>
            </w:r>
          </w:p>
        </w:tc>
        <w:tc>
          <w:tcPr>
            <w:tcW w:w="1409"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1.29 </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1395"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Ⅵ</w:t>
            </w:r>
          </w:p>
        </w:tc>
        <w:tc>
          <w:tcPr>
            <w:tcW w:w="1396"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1675.23 </w:t>
            </w:r>
          </w:p>
        </w:tc>
        <w:tc>
          <w:tcPr>
            <w:tcW w:w="1411"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18.23 </w:t>
            </w:r>
          </w:p>
        </w:tc>
        <w:tc>
          <w:tcPr>
            <w:tcW w:w="1409"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1.09 </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2791" w:type="dxa"/>
            <w:gridSpan w:val="2"/>
            <w:noWrap w:val="0"/>
            <w:vAlign w:val="center"/>
          </w:tcPr>
          <w:p>
            <w:pPr>
              <w:autoSpaceDN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氧化矿</w:t>
            </w:r>
          </w:p>
        </w:tc>
        <w:tc>
          <w:tcPr>
            <w:tcW w:w="1408"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45257.62 </w:t>
            </w:r>
          </w:p>
        </w:tc>
        <w:tc>
          <w:tcPr>
            <w:tcW w:w="1411"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562.21 </w:t>
            </w:r>
          </w:p>
        </w:tc>
        <w:tc>
          <w:tcPr>
            <w:tcW w:w="1409"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1.24 </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122b+333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2791" w:type="dxa"/>
            <w:gridSpan w:val="2"/>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原生矿</w:t>
            </w:r>
          </w:p>
        </w:tc>
        <w:tc>
          <w:tcPr>
            <w:tcW w:w="1408"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276073.20</w:t>
            </w:r>
          </w:p>
        </w:tc>
        <w:tc>
          <w:tcPr>
            <w:tcW w:w="1411"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3691.99</w:t>
            </w:r>
          </w:p>
        </w:tc>
        <w:tc>
          <w:tcPr>
            <w:tcW w:w="1409"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1.34</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rPr>
        <w:tc>
          <w:tcPr>
            <w:tcW w:w="2791" w:type="dxa"/>
            <w:gridSpan w:val="2"/>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总计</w:t>
            </w:r>
          </w:p>
        </w:tc>
        <w:tc>
          <w:tcPr>
            <w:tcW w:w="1408"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321330.77 </w:t>
            </w:r>
          </w:p>
        </w:tc>
        <w:tc>
          <w:tcPr>
            <w:tcW w:w="1411"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4254.21 </w:t>
            </w:r>
          </w:p>
        </w:tc>
        <w:tc>
          <w:tcPr>
            <w:tcW w:w="1409" w:type="dxa"/>
            <w:noWrap w:val="0"/>
            <w:vAlign w:val="center"/>
          </w:tcPr>
          <w:p>
            <w:pPr>
              <w:autoSpaceDN w:val="0"/>
              <w:spacing w:line="24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1.32 </w:t>
            </w:r>
          </w:p>
        </w:tc>
        <w:tc>
          <w:tcPr>
            <w:tcW w:w="1503" w:type="dxa"/>
            <w:noWrap w:val="0"/>
            <w:vAlign w:val="center"/>
          </w:tcPr>
          <w:p>
            <w:pPr>
              <w:widowControl/>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122b+332+333</w:t>
            </w:r>
          </w:p>
        </w:tc>
      </w:tr>
    </w:tbl>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矿山保有矿石量321330.77t，银金属量6293.06kg，硫资源量16654.63t；动用矿石量34693.08t，银金属量364.97kg，动用硫资源量1602.83t；累计查明矿石量356023.85t，银金属量6658.03kg，硫资源量18257.46t。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（2）评审通过的资源储量</w:t>
      </w:r>
    </w:p>
    <w:p>
      <w:pPr>
        <w:pStyle w:val="32"/>
        <w:spacing w:line="360" w:lineRule="auto"/>
        <w:ind w:firstLine="480"/>
        <w:rPr>
          <w:rFonts w:hint="default" w:ascii="Times New Roman" w:hAnsi="Times New Roman" w:eastAsia="宋体" w:cs="Times New Roman"/>
          <w:color w:val="auto"/>
          <w:sz w:val="24"/>
        </w:rPr>
      </w:pPr>
      <w:bookmarkStart w:id="336" w:name="_Toc7998980"/>
      <w:r>
        <w:rPr>
          <w:rFonts w:hint="default" w:ascii="Times New Roman" w:hAnsi="Times New Roman" w:eastAsia="宋体" w:cs="Times New Roman"/>
          <w:color w:val="auto"/>
          <w:sz w:val="24"/>
        </w:rPr>
        <w:t>根据新疆维吾尔自治区矿产资源储量评审中心《新疆乌鲁木齐市达坂城杏树沟铜矿资源储量核实报告》矿产资源储量评审意见书(新国土资储评[2014]050号)，评审中心同意采矿权范围内2057-1823m标高资源储量通过评审：</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保有资源储量：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矿许可证限采标高以内（1920m水平以上）矿石量（122b）+（332）+（333）172330.53t，铜金属量2249.81t，铜平均品位1.31%。其中：控制的经济基础储量（122b)矿石量52462.33t，铜金属量717.56t，铜平均品位1.37%；推断的内蕴经济资源量（333）矿石量119868.21 t，铜金属量1532.25t，铜平均品位1.28%。</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矿许可证限采标高以外（1920m水平以下）矿石量（332）+（333）149000.24吨，铜金属量2004.40t，铜平均品位1.35%。其中：控制的内蕴经济资源量（332)矿石量91169.89t，铜金属量1221.10tt，铜平均品位1.34%；推断的内蕴经济资源量（333）矿石量57830.34tt，铜金属量783.31t，铜平均品位1.35%。</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另有，估算伴生矿产推断的内蕴经济资源量（333）：银金属量6293.06kg，硫矿物量16654.63t。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动用资源储量：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动用铜矿石控制的经济基础储量（122b)50315.08 t，铜金属量687.32t。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另有，消耗伴生矿产推断的内蕴经济资源量（333）：银金属量364.97kg、硫矿物量1602.82t。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累计查明资源储量：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查明矿石量（122b)+（332）+（333）：371645.85t，铜金属量4941.53t，铜平均品位1.33%。其中：（122b）矿石量102777.40t、铜金属量1404.88t，品位1.37%；（332）矿石量91169.89t、铜金属量1221.10t，品位1.34%；(333)矿石量177698.55t、铜金属量2315.55t，品位1.30%。</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另有，Ⅰ、Ⅱ、Ⅲ、Ⅳ、Ⅴ、Ⅵ号矿体伴生矿产推断的内蕴经济资源量（333）：银金属量6658.03kg、硫矿物量18257.46t。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（3）设计利用资源储量</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设计对《新疆乌鲁木齐市达坂城杏树沟铜矿资源储量核实报告》矿产资源储量评审意见书(新国土资储评[2014]050号)评审通过的矿区范围内保有的（122b）+（332）矿石资源量14.36万t，铜金属量1938.66t、伴生银金属量2812.95kg、伴生硫7444.48t全部利用。其中，采矿许可证限采标高以内（1920米水平以上）经济基础储量（122b)矿石量5.25万t，铜金属量717.56t、伴生银金属量1027.44kg、伴生硫2719.13t；采矿许可证限采标高以外（1920m水平以下）控制的内蕴经济资源量（332)矿石量9.11万t，铜金属量1221.10t、伴生银金属量1785.51kg、伴生硫4725.35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有色金属采矿设计规范》（GB50771-2012）的规定，并结合该矿探矿工程分布情况，为降低资源类别不高带来的经营风险，对其（333）矿石资源量17.77万t，铜金属量2315.56t、伴生银金属量3480.11kg、伴生硫9210.15t取0.7可信度系数（其中，采矿许可证限采标高以内（1920m水平以上）内蕴经济资源量（333）矿石量11.99万t，铜金属量1532.25t、伴生银金属量2347.53kg、伴生硫6212.77t；采矿许可证限采标高以外（1920m水平以下）内蕴经济资源量（333）矿石量5.78万t，铜金属量783.31t、伴生银金属量1132.58kg、伴生硫2997.38t。）因此，设计利用资源量为：（333）矿石量为12.44万t，铜金属量1620.89t，伴生银金属量为2436.08kg、伴生硫6447.11t（其中，采矿许可证限采标高以内（1920m水平以上）内蕴经济资源量（333）矿石量8.39万t，铜金属量1532.25t、伴生银金属量2347.53kg、伴生硫6212.77t；采矿许可证限采标高以外（1920m水平以下）内蕴经济资源量（333）矿石量4.05万t，铜金属量783.31t、伴生银金属量1132.58kg、伴生硫2997.38t。）。</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因此，本次设计合计利用（122b+332+333）矿石资源量26.80万t，铜金属量3559.55t、伴生银金属量5249.03kg、伴生硫13891.59t，矿石平均品位铜1.33%、银19.59g/t、硫 5.18%（其中，采矿许可证限采标高以内（1920m水平以上）（122b+333）矿石资源量13.64万t；采矿许可证限采标高以外（1920m水平以下）（332+333）矿石资源量13.16万t）。</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3.1.3.3矿区范围</w:t>
      </w:r>
      <w:bookmarkEnd w:id="336"/>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矿区面积0.42km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，矿区范围由4个拐点圈定，拐点坐标见表3.1-2。</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表3.1-2   划定矿区范围拐点坐标表</w:t>
      </w:r>
    </w:p>
    <w:tbl>
      <w:tblPr>
        <w:tblStyle w:val="79"/>
        <w:tblW w:w="88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7"/>
        <w:gridCol w:w="1286"/>
        <w:gridCol w:w="1396"/>
        <w:gridCol w:w="1266"/>
        <w:gridCol w:w="1396"/>
        <w:gridCol w:w="1451"/>
        <w:gridCol w:w="15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331" w:hRule="exact"/>
          <w:jc w:val="center"/>
        </w:trPr>
        <w:tc>
          <w:tcPr>
            <w:tcW w:w="567" w:type="dxa"/>
            <w:vMerge w:val="restart"/>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拐点</w:t>
            </w:r>
          </w:p>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编号</w:t>
            </w:r>
          </w:p>
        </w:tc>
        <w:tc>
          <w:tcPr>
            <w:tcW w:w="2682" w:type="dxa"/>
            <w:gridSpan w:val="2"/>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北京54坐标</w:t>
            </w:r>
          </w:p>
        </w:tc>
        <w:tc>
          <w:tcPr>
            <w:tcW w:w="2662" w:type="dxa"/>
            <w:gridSpan w:val="2"/>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西安80坐标</w:t>
            </w:r>
          </w:p>
        </w:tc>
        <w:tc>
          <w:tcPr>
            <w:tcW w:w="2986" w:type="dxa"/>
            <w:gridSpan w:val="2"/>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2000坐标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280" w:hRule="exact"/>
          <w:jc w:val="center"/>
        </w:trPr>
        <w:tc>
          <w:tcPr>
            <w:tcW w:w="567" w:type="dxa"/>
            <w:vMerge w:val="continue"/>
            <w:noWrap w:val="0"/>
            <w:vAlign w:val="center"/>
          </w:tcPr>
          <w:p>
            <w:pPr>
              <w:widowControl/>
              <w:adjustRightInd w:val="0"/>
              <w:snapToGrid w:val="0"/>
              <w:ind w:left="-20"/>
              <w:jc w:val="center"/>
              <w:rPr>
                <w:rFonts w:hint="default" w:ascii="Times New Roman" w:hAnsi="Times New Roman" w:cs="Times New Roman"/>
                <w:color w:val="auto"/>
                <w:kern w:val="0"/>
                <w:szCs w:val="21"/>
              </w:rPr>
            </w:pPr>
          </w:p>
        </w:tc>
        <w:tc>
          <w:tcPr>
            <w:tcW w:w="128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X</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Y</w:t>
            </w:r>
          </w:p>
        </w:tc>
        <w:tc>
          <w:tcPr>
            <w:tcW w:w="126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X</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Y</w:t>
            </w:r>
          </w:p>
        </w:tc>
        <w:tc>
          <w:tcPr>
            <w:tcW w:w="1451"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X</w:t>
            </w:r>
          </w:p>
        </w:tc>
        <w:tc>
          <w:tcPr>
            <w:tcW w:w="1535"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Y</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67"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28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4836449.98</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29590800.04</w:t>
            </w:r>
          </w:p>
        </w:tc>
        <w:tc>
          <w:tcPr>
            <w:tcW w:w="126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4836377.63</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29590682.35</w:t>
            </w:r>
          </w:p>
        </w:tc>
        <w:tc>
          <w:tcPr>
            <w:tcW w:w="1451"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4836416.45</w:t>
            </w:r>
          </w:p>
        </w:tc>
        <w:tc>
          <w:tcPr>
            <w:tcW w:w="1535"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29590776.44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67"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28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4836449.97</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29591500.04</w:t>
            </w:r>
          </w:p>
        </w:tc>
        <w:tc>
          <w:tcPr>
            <w:tcW w:w="126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4836377.63</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29591382.34</w:t>
            </w:r>
          </w:p>
        </w:tc>
        <w:tc>
          <w:tcPr>
            <w:tcW w:w="1451"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4836416.43</w:t>
            </w:r>
          </w:p>
        </w:tc>
        <w:tc>
          <w:tcPr>
            <w:tcW w:w="1535"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29591476.44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67"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28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4835849.97</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29591500.03</w:t>
            </w:r>
          </w:p>
        </w:tc>
        <w:tc>
          <w:tcPr>
            <w:tcW w:w="126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4835777.64</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29591382.34</w:t>
            </w:r>
          </w:p>
        </w:tc>
        <w:tc>
          <w:tcPr>
            <w:tcW w:w="1451"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4835816.44</w:t>
            </w:r>
          </w:p>
        </w:tc>
        <w:tc>
          <w:tcPr>
            <w:tcW w:w="1535"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29591476.44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67"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128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4835849.98</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29590800.03</w:t>
            </w:r>
          </w:p>
        </w:tc>
        <w:tc>
          <w:tcPr>
            <w:tcW w:w="126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4835777.64</w:t>
            </w:r>
          </w:p>
        </w:tc>
        <w:tc>
          <w:tcPr>
            <w:tcW w:w="1396"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29590682.35</w:t>
            </w:r>
          </w:p>
        </w:tc>
        <w:tc>
          <w:tcPr>
            <w:tcW w:w="1451"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4835816.45</w:t>
            </w:r>
          </w:p>
        </w:tc>
        <w:tc>
          <w:tcPr>
            <w:tcW w:w="1535" w:type="dxa"/>
            <w:noWrap w:val="0"/>
            <w:vAlign w:val="center"/>
          </w:tcPr>
          <w:p>
            <w:pPr>
              <w:widowControl/>
              <w:adjustRightInd w:val="0"/>
              <w:snapToGrid w:val="0"/>
              <w:ind w:left="-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29590776.44</w:t>
            </w:r>
          </w:p>
        </w:tc>
      </w:tr>
    </w:tbl>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标高范围：2070m至1920m。</w:t>
      </w: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337" w:name="_Toc1824"/>
      <w:bookmarkStart w:id="338" w:name="_Toc21457"/>
      <w:bookmarkStart w:id="339" w:name="_Toc27956"/>
      <w:bookmarkStart w:id="340" w:name="_Toc15097"/>
      <w:bookmarkStart w:id="341" w:name="_Toc26340"/>
      <w:bookmarkStart w:id="342" w:name="_Toc17709371"/>
      <w:bookmarkStart w:id="343" w:name="_Toc7998981"/>
      <w:bookmarkStart w:id="344" w:name="_Toc14147_WPSOffice_Level2"/>
      <w:r>
        <w:rPr>
          <w:rFonts w:hint="default" w:ascii="Times New Roman" w:hAnsi="Times New Roman" w:cs="Times New Roman"/>
          <w:color w:val="auto"/>
          <w:sz w:val="24"/>
        </w:rPr>
        <w:t>3.1.4原矿规格</w:t>
      </w:r>
      <w:bookmarkEnd w:id="337"/>
      <w:bookmarkEnd w:id="338"/>
      <w:bookmarkEnd w:id="339"/>
      <w:bookmarkEnd w:id="340"/>
      <w:bookmarkEnd w:id="341"/>
      <w:r>
        <w:rPr>
          <w:rFonts w:hint="default" w:ascii="Times New Roman" w:hAnsi="Times New Roman" w:cs="Times New Roman"/>
          <w:color w:val="auto"/>
          <w:sz w:val="24"/>
        </w:rPr>
        <w:t>及产品规格</w:t>
      </w:r>
      <w:bookmarkEnd w:id="342"/>
      <w:bookmarkEnd w:id="343"/>
      <w:bookmarkEnd w:id="344"/>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（1）原矿规格</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床内共采集了组合样5件，ZH1号样为Ⅰ矿体沿脉、穿脉及钻孔内样品的组合样，ZH2为Ⅱ号矿体沿脉及钻孔内所有见矿样品的组合样，ZH3为Ⅲ号矿体沿脉及钻孔所有见矿样品的组合样，ZH4为Ⅳ号矿体沿脉及钻孔内所有见矿样品的组合样，ZH5为Ⅴ、Ⅵ号矿体所有槽探内见矿样品的组合样，组合样分析结果如表3.1-3，其有用元素Ag、S元素达到综合利用要求，有害元素含量较低，对冶选影响不大。</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表3.1-3</w:t>
      </w:r>
      <w:r>
        <w:rPr>
          <w:rFonts w:hint="default" w:ascii="Times New Roman" w:hAnsi="Times New Roman" w:cs="Times New Roman"/>
          <w:bCs/>
          <w:color w:val="auto"/>
          <w:szCs w:val="21"/>
        </w:rPr>
        <w:t xml:space="preserve">   </w:t>
      </w:r>
      <w:r>
        <w:rPr>
          <w:rFonts w:hint="default" w:ascii="Times New Roman" w:hAnsi="Times New Roman" w:eastAsia="黑体" w:cs="Times New Roman"/>
          <w:color w:val="auto"/>
          <w:szCs w:val="21"/>
        </w:rPr>
        <w:t>原矿成分  （%）</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3"/>
        <w:gridCol w:w="833"/>
        <w:gridCol w:w="833"/>
        <w:gridCol w:w="833"/>
        <w:gridCol w:w="833"/>
        <w:gridCol w:w="833"/>
        <w:gridCol w:w="833"/>
        <w:gridCol w:w="833"/>
        <w:gridCol w:w="833"/>
        <w:gridCol w:w="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tcBorders>
              <w:tl2br w:val="single" w:color="auto" w:sz="2" w:space="0"/>
            </w:tcBorders>
            <w:noWrap w:val="0"/>
            <w:tcMar>
              <w:left w:w="28" w:type="dxa"/>
              <w:right w:w="28" w:type="dxa"/>
            </w:tcMar>
            <w:vAlign w:val="center"/>
          </w:tcPr>
          <w:p>
            <w:pPr>
              <w:spacing w:line="300" w:lineRule="exact"/>
              <w:jc w:val="righ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成份</w:t>
            </w:r>
          </w:p>
          <w:p>
            <w:pPr>
              <w:spacing w:line="300" w:lineRule="exac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样号</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vertAlign w:val="subscript"/>
              </w:rPr>
            </w:pPr>
            <w:r>
              <w:rPr>
                <w:rFonts w:hint="default" w:ascii="Times New Roman" w:hAnsi="Times New Roman" w:eastAsia="仿宋_GB2312" w:cs="Times New Roman"/>
                <w:color w:val="auto"/>
                <w:sz w:val="18"/>
              </w:rPr>
              <w:t>SiO</w:t>
            </w:r>
            <w:r>
              <w:rPr>
                <w:rFonts w:hint="default" w:ascii="Times New Roman" w:hAnsi="Times New Roman" w:eastAsia="仿宋_GB2312" w:cs="Times New Roman"/>
                <w:color w:val="auto"/>
                <w:sz w:val="18"/>
                <w:vertAlign w:val="subscript"/>
              </w:rPr>
              <w:t>2</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FeO</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As</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MgO</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CaO</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vertAlign w:val="subscript"/>
              </w:rPr>
            </w:pPr>
            <w:r>
              <w:rPr>
                <w:rFonts w:hint="default" w:ascii="Times New Roman" w:hAnsi="Times New Roman" w:eastAsia="仿宋_GB2312" w:cs="Times New Roman"/>
                <w:color w:val="auto"/>
                <w:sz w:val="18"/>
              </w:rPr>
              <w:t>Al</w:t>
            </w:r>
            <w:r>
              <w:rPr>
                <w:rFonts w:hint="default" w:ascii="Times New Roman" w:hAnsi="Times New Roman" w:eastAsia="仿宋_GB2312" w:cs="Times New Roman"/>
                <w:color w:val="auto"/>
                <w:sz w:val="18"/>
                <w:vertAlign w:val="subscript"/>
              </w:rPr>
              <w:t>2</w:t>
            </w:r>
            <w:r>
              <w:rPr>
                <w:rFonts w:hint="default" w:ascii="Times New Roman" w:hAnsi="Times New Roman" w:eastAsia="仿宋_GB2312" w:cs="Times New Roman"/>
                <w:color w:val="auto"/>
                <w:sz w:val="18"/>
              </w:rPr>
              <w:t>O</w:t>
            </w:r>
            <w:r>
              <w:rPr>
                <w:rFonts w:hint="default" w:ascii="Times New Roman" w:hAnsi="Times New Roman" w:eastAsia="仿宋_GB2312" w:cs="Times New Roman"/>
                <w:color w:val="auto"/>
                <w:sz w:val="18"/>
                <w:vertAlign w:val="subscript"/>
              </w:rPr>
              <w:t>3</w:t>
            </w:r>
          </w:p>
          <w:p>
            <w:pPr>
              <w:autoSpaceDE w:val="0"/>
              <w:autoSpaceDN w:val="0"/>
              <w:spacing w:line="300" w:lineRule="exact"/>
              <w:jc w:val="center"/>
              <w:rPr>
                <w:rFonts w:hint="default" w:ascii="Times New Roman" w:hAnsi="Times New Roman" w:eastAsia="仿宋_GB2312" w:cs="Times New Roman"/>
                <w:color w:val="auto"/>
                <w:sz w:val="18"/>
                <w:vertAlign w:val="subscript"/>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K</w:t>
            </w:r>
            <w:r>
              <w:rPr>
                <w:rFonts w:hint="default" w:ascii="Times New Roman" w:hAnsi="Times New Roman" w:eastAsia="仿宋_GB2312" w:cs="Times New Roman"/>
                <w:color w:val="auto"/>
                <w:sz w:val="18"/>
                <w:vertAlign w:val="subscript"/>
              </w:rPr>
              <w:t>2</w:t>
            </w:r>
            <w:r>
              <w:rPr>
                <w:rFonts w:hint="default" w:ascii="Times New Roman" w:hAnsi="Times New Roman" w:eastAsia="仿宋_GB2312" w:cs="Times New Roman"/>
                <w:color w:val="auto"/>
                <w:sz w:val="18"/>
              </w:rPr>
              <w:t>O</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Na</w:t>
            </w:r>
            <w:r>
              <w:rPr>
                <w:rFonts w:hint="default" w:ascii="Times New Roman" w:hAnsi="Times New Roman" w:eastAsia="仿宋_GB2312" w:cs="Times New Roman"/>
                <w:color w:val="auto"/>
                <w:sz w:val="18"/>
                <w:vertAlign w:val="subscript"/>
              </w:rPr>
              <w:t>2</w:t>
            </w:r>
            <w:r>
              <w:rPr>
                <w:rFonts w:hint="default" w:ascii="Times New Roman" w:hAnsi="Times New Roman" w:eastAsia="仿宋_GB2312" w:cs="Times New Roman"/>
                <w:color w:val="auto"/>
                <w:sz w:val="18"/>
              </w:rPr>
              <w:t>O</w:t>
            </w:r>
          </w:p>
          <w:p>
            <w:pPr>
              <w:autoSpaceDE w:val="0"/>
              <w:autoSpaceDN w:val="0"/>
              <w:spacing w:line="300" w:lineRule="exact"/>
              <w:jc w:val="center"/>
              <w:rPr>
                <w:rFonts w:hint="default" w:ascii="Times New Roman" w:hAnsi="Times New Roman" w:eastAsia="仿宋_GB2312" w:cs="Times New Roman"/>
                <w:color w:val="auto"/>
                <w:sz w:val="18"/>
              </w:rPr>
            </w:pPr>
            <w:r>
              <w:rPr>
                <w:rFonts w:hint="default" w:ascii="Times New Roman" w:hAnsi="Times New Roman" w:eastAsia="仿宋_GB2312" w:cs="Times New Roman"/>
                <w:color w:val="auto"/>
                <w:sz w:val="18"/>
              </w:rPr>
              <w:t>（%）</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vertAlign w:val="subscript"/>
              </w:rPr>
            </w:pPr>
            <w:r>
              <w:rPr>
                <w:rFonts w:hint="default" w:ascii="Times New Roman" w:hAnsi="Times New Roman" w:eastAsia="仿宋_GB2312" w:cs="Times New Roman"/>
                <w:color w:val="auto"/>
                <w:sz w:val="18"/>
              </w:rPr>
              <w:t>P</w:t>
            </w:r>
            <w:r>
              <w:rPr>
                <w:rFonts w:hint="default" w:ascii="Times New Roman" w:hAnsi="Times New Roman" w:eastAsia="仿宋_GB2312" w:cs="Times New Roman"/>
                <w:color w:val="auto"/>
                <w:sz w:val="18"/>
                <w:vertAlign w:val="subscript"/>
              </w:rPr>
              <w:t>2</w:t>
            </w:r>
            <w:r>
              <w:rPr>
                <w:rFonts w:hint="default" w:ascii="Times New Roman" w:hAnsi="Times New Roman" w:eastAsia="仿宋_GB2312" w:cs="Times New Roman"/>
                <w:color w:val="auto"/>
                <w:sz w:val="18"/>
              </w:rPr>
              <w:t>O</w:t>
            </w:r>
            <w:r>
              <w:rPr>
                <w:rFonts w:hint="default" w:ascii="Times New Roman" w:hAnsi="Times New Roman" w:eastAsia="仿宋_GB2312" w:cs="Times New Roman"/>
                <w:color w:val="auto"/>
                <w:sz w:val="18"/>
                <w:vertAlign w:val="subscript"/>
              </w:rPr>
              <w:t>5</w:t>
            </w:r>
          </w:p>
          <w:p>
            <w:pPr>
              <w:autoSpaceDE w:val="0"/>
              <w:autoSpaceDN w:val="0"/>
              <w:spacing w:line="300" w:lineRule="exact"/>
              <w:jc w:val="center"/>
              <w:rPr>
                <w:rFonts w:hint="default" w:ascii="Times New Roman" w:hAnsi="Times New Roman" w:eastAsia="仿宋_GB2312" w:cs="Times New Roman"/>
                <w:color w:val="auto"/>
                <w:sz w:val="18"/>
                <w:vertAlign w:val="subscript"/>
              </w:rPr>
            </w:pPr>
            <w:r>
              <w:rPr>
                <w:rFonts w:hint="default" w:ascii="Times New Roman" w:hAnsi="Times New Roman" w:eastAsia="仿宋_GB2312" w:cs="Times New Roman"/>
                <w:color w:val="auto"/>
                <w:sz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58.36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7.69</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0.28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3.56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6.09</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5.01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0.46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3.58</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59.11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7.44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0.12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3.87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6.72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5.07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0.37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3.92</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ZH3</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57.94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7.38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0.16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2.85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6.84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5.42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0.54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3.65</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57.63</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7.78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0.26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3.49</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6.58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5.46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0.38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4.01</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60.92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7.82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0.24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4.02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5.76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6.04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0.29</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2.87</w:t>
            </w:r>
          </w:p>
        </w:tc>
        <w:tc>
          <w:tcPr>
            <w:tcW w:w="841"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tcBorders>
              <w:tl2br w:val="single" w:color="auto" w:sz="2" w:space="0"/>
            </w:tcBorders>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 xml:space="preserve">       成份</w:t>
            </w:r>
          </w:p>
          <w:p>
            <w:pPr>
              <w:spacing w:line="300" w:lineRule="exac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样号</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S</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vertAlign w:val="subscript"/>
              </w:rPr>
            </w:pPr>
            <w:r>
              <w:rPr>
                <w:rFonts w:hint="default" w:ascii="Times New Roman" w:hAnsi="Times New Roman" w:eastAsia="仿宋_GB2312" w:cs="Times New Roman"/>
                <w:color w:val="auto"/>
                <w:sz w:val="18"/>
                <w:szCs w:val="18"/>
              </w:rPr>
              <w:t>Fe</w:t>
            </w:r>
            <w:r>
              <w:rPr>
                <w:rFonts w:hint="default" w:ascii="Times New Roman" w:hAnsi="Times New Roman" w:eastAsia="仿宋_GB2312" w:cs="Times New Roman"/>
                <w:color w:val="auto"/>
                <w:sz w:val="18"/>
                <w:szCs w:val="18"/>
                <w:vertAlign w:val="subscript"/>
              </w:rPr>
              <w:t>2</w:t>
            </w:r>
            <w:r>
              <w:rPr>
                <w:rFonts w:hint="default" w:ascii="Times New Roman" w:hAnsi="Times New Roman" w:eastAsia="仿宋_GB2312" w:cs="Times New Roman"/>
                <w:color w:val="auto"/>
                <w:sz w:val="18"/>
                <w:szCs w:val="18"/>
              </w:rPr>
              <w:t>O</w:t>
            </w:r>
            <w:r>
              <w:rPr>
                <w:rFonts w:hint="default" w:ascii="Times New Roman" w:hAnsi="Times New Roman" w:eastAsia="仿宋_GB2312" w:cs="Times New Roman"/>
                <w:color w:val="auto"/>
                <w:sz w:val="18"/>
                <w:szCs w:val="18"/>
                <w:vertAlign w:val="subscript"/>
              </w:rPr>
              <w:t>3</w:t>
            </w:r>
          </w:p>
          <w:p>
            <w:pPr>
              <w:spacing w:line="300" w:lineRule="exact"/>
              <w:jc w:val="center"/>
              <w:rPr>
                <w:rFonts w:hint="default" w:ascii="Times New Roman" w:hAnsi="Times New Roman" w:eastAsia="仿宋_GB2312" w:cs="Times New Roman"/>
                <w:color w:val="auto"/>
                <w:sz w:val="18"/>
                <w:szCs w:val="18"/>
                <w:vertAlign w:val="subscript"/>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Co</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Pb</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Zn</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Ti</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Sb</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Au</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r>
              <w:rPr>
                <w:rFonts w:hint="default" w:ascii="Times New Roman" w:hAnsi="Times New Roman" w:eastAsia="仿宋_GB2312" w:cs="Times New Roman"/>
                <w:color w:val="auto"/>
                <w:sz w:val="18"/>
                <w:szCs w:val="18"/>
                <w:vertAlign w:val="superscript"/>
              </w:rPr>
              <w:t>-6</w:t>
            </w:r>
            <w:r>
              <w:rPr>
                <w:rFonts w:hint="default" w:ascii="Times New Roman" w:hAnsi="Times New Roman" w:eastAsia="仿宋_GB2312" w:cs="Times New Roman"/>
                <w:color w:val="auto"/>
                <w:sz w:val="18"/>
                <w:szCs w:val="18"/>
              </w:rPr>
              <w:t>)</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Ag</w:t>
            </w:r>
          </w:p>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r>
              <w:rPr>
                <w:rFonts w:hint="default" w:ascii="Times New Roman" w:hAnsi="Times New Roman" w:eastAsia="仿宋_GB2312" w:cs="Times New Roman"/>
                <w:color w:val="auto"/>
                <w:sz w:val="18"/>
                <w:szCs w:val="18"/>
                <w:vertAlign w:val="superscript"/>
              </w:rPr>
              <w:t>-6</w:t>
            </w:r>
            <w:r>
              <w:rPr>
                <w:rFonts w:hint="default" w:ascii="Times New Roman" w:hAnsi="Times New Roman" w:eastAsia="仿宋_GB2312" w:cs="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5.86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3.48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0.048</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3.95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3.81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0.0018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0.092</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ZH3</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4.62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3.17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0.09</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0.01</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0.003</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0.074</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4.36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3.64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0.13</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0.006</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0.001</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0.086</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ZH5</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3.02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3.77</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0.0028</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0.03</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0.02</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0.004</w:t>
            </w:r>
          </w:p>
        </w:tc>
        <w:tc>
          <w:tcPr>
            <w:tcW w:w="833" w:type="dxa"/>
            <w:noWrap w:val="0"/>
            <w:tcMar>
              <w:left w:w="28" w:type="dxa"/>
              <w:right w:w="28" w:type="dxa"/>
            </w:tcMar>
            <w:vAlign w:val="center"/>
          </w:tcPr>
          <w:p>
            <w:pPr>
              <w:autoSpaceDE w:val="0"/>
              <w:autoSpaceDN w:val="0"/>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rPr>
              <w:t>0.001</w:t>
            </w:r>
          </w:p>
        </w:tc>
        <w:tc>
          <w:tcPr>
            <w:tcW w:w="833"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0.091</w:t>
            </w:r>
          </w:p>
        </w:tc>
        <w:tc>
          <w:tcPr>
            <w:tcW w:w="841" w:type="dxa"/>
            <w:noWrap w:val="0"/>
            <w:tcMar>
              <w:left w:w="28" w:type="dxa"/>
              <w:right w:w="28" w:type="dxa"/>
            </w:tcMar>
            <w:vAlign w:val="center"/>
          </w:tcPr>
          <w:p>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10.47</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（2）产品规格</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设计最终产品方案为含银铜精矿（品位铜 20.00%；银270.46g/t；硫5.83%）、硫精矿（品位铜 1.01%；银15.03g/t；硫50.0%）。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本项目开采的矿石（开采矿石6万t/a，240t/d），不进行破碎、筛分等工序，全部直接运至购买单位。</w:t>
      </w:r>
    </w:p>
    <w:p>
      <w:pPr>
        <w:pStyle w:val="5"/>
        <w:keepLines w:val="0"/>
        <w:spacing w:before="0" w:after="0" w:line="360" w:lineRule="auto"/>
        <w:rPr>
          <w:rFonts w:hint="default" w:ascii="Times New Roman" w:hAnsi="Times New Roman" w:cs="Times New Roman"/>
          <w:color w:val="auto"/>
          <w:sz w:val="24"/>
          <w:szCs w:val="24"/>
        </w:rPr>
      </w:pPr>
      <w:bookmarkStart w:id="345" w:name="_Toc1955"/>
      <w:bookmarkStart w:id="346" w:name="_Toc17709372"/>
      <w:bookmarkStart w:id="347" w:name="_Toc18808"/>
      <w:bookmarkStart w:id="348" w:name="_Toc7998982"/>
      <w:bookmarkStart w:id="349" w:name="_Toc5251"/>
      <w:bookmarkStart w:id="350" w:name="_Toc23661_WPSOffice_Level2"/>
      <w:bookmarkStart w:id="351" w:name="_Toc19154"/>
      <w:bookmarkStart w:id="352" w:name="_Toc15253"/>
      <w:r>
        <w:rPr>
          <w:rFonts w:hint="default" w:ascii="Times New Roman" w:hAnsi="Times New Roman" w:cs="Times New Roman"/>
          <w:color w:val="auto"/>
          <w:sz w:val="24"/>
          <w:szCs w:val="24"/>
        </w:rPr>
        <w:t>3.1.5工程组成</w:t>
      </w:r>
      <w:bookmarkEnd w:id="345"/>
      <w:bookmarkEnd w:id="346"/>
      <w:bookmarkEnd w:id="347"/>
      <w:bookmarkEnd w:id="348"/>
      <w:bookmarkEnd w:id="349"/>
      <w:bookmarkEnd w:id="350"/>
      <w:bookmarkEnd w:id="351"/>
      <w:bookmarkEnd w:id="35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矿工程组成包括地下采场、地下开拓运输系统、井下通风系统、地下排水系统、地面工业场地（包括卷扬机房、高位水池、空压机房）、配电室、机修车间等；另外有场内道路等。项目主要工程内容表见表3.1-4。</w: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pStyle w:val="2"/>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sz w:val="24"/>
        </w:rPr>
      </w:pP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表3.1-4  项目主要工程组成内容一览表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77"/>
        <w:gridCol w:w="5948"/>
        <w:gridCol w:w="8"/>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bookmarkStart w:id="353" w:name="_Toc28602_WPSOffice_Level2"/>
            <w:bookmarkStart w:id="354" w:name="_Toc3577"/>
            <w:bookmarkStart w:id="355" w:name="_Toc17709373"/>
            <w:bookmarkStart w:id="356" w:name="_Toc21199"/>
            <w:bookmarkStart w:id="357" w:name="_Toc19357"/>
            <w:bookmarkStart w:id="358" w:name="_Toc19487"/>
            <w:bookmarkStart w:id="359" w:name="_Toc6939"/>
            <w:bookmarkStart w:id="360" w:name="_Toc7998983"/>
            <w:r>
              <w:rPr>
                <w:rFonts w:hint="default" w:ascii="Times New Roman" w:hAnsi="Times New Roman" w:eastAsia="宋体" w:cs="Times New Roman"/>
                <w:color w:val="auto"/>
                <w:szCs w:val="21"/>
              </w:rPr>
              <w:t>工程名称</w:t>
            </w:r>
          </w:p>
        </w:tc>
        <w:tc>
          <w:tcPr>
            <w:tcW w:w="3537" w:type="pct"/>
            <w:gridSpan w:val="2"/>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工程内容</w:t>
            </w:r>
          </w:p>
        </w:tc>
        <w:tc>
          <w:tcPr>
            <w:tcW w:w="58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一、主体工程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10" w:hRule="atLeast"/>
          <w:jc w:val="center"/>
        </w:trPr>
        <w:tc>
          <w:tcPr>
            <w:tcW w:w="877" w:type="pct"/>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矿体及工业场地</w:t>
            </w:r>
          </w:p>
        </w:tc>
        <w:tc>
          <w:tcPr>
            <w:tcW w:w="3537" w:type="pct"/>
            <w:gridSpan w:val="2"/>
            <w:noWrap w:val="0"/>
            <w:vAlign w:val="center"/>
          </w:tcPr>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Ⅰ号矿体:地表已开采，开采深度约18m，矿体向下延伸，呈透镜状，地表由TCⅠ-1、TCⅠ-2、TCⅠ-3号探槽控制，深部由ZKⅠ-1、ZKⅠ-2、ZKⅠ-3、ZKⅠ-4、ZKⅠ-5、沿脉YMⅠ，穿脉CMⅠ-1和CMⅠ-2控制，矿体倾向北西244°左右。</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Ⅱ号矿体:地表已开采，开采深度约25m，矿体呈透镜状，地表有TCⅡ-1、TCⅡ-2、TCⅡ-3号探槽控制，深部由ZKⅡ-1、ZKⅡ-2及沿脉Ⅱ-YM1控制，矿体倾向90°左右，倾角68-80°。</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号矿体：呈透镜状出露于地表，采空区地表长约180m，在1968m水平处长140m，采矿从地表到1968m水平最深处为65m，最低处深度约为23m，采坑沿矿体倾向方向向下延伸，呈不规则形，采空区矿体真厚度1.10-1.74m，平均真厚度1.45m；矿石铜品位1.27-1.54%，平均品位为1.38%。矿体深部由YMⅢ及钻孔控制ZKⅢ-1控制，矿体倾向290°，倾角约50-65°。</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Ⅳ号矿体：地表已被开采，开采深度约为3.4m，地表由探槽TCⅣ-1、TCⅣ-2、TCⅣ-3控制，深部由沿脉YMⅣ、穿脉CMⅣ-1、穿脉CMⅣ-2及钻孔ZKⅣ-1、ZKⅣ-2控制，矿体倾向约215°，倾角约76-81°。</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Ⅴ号矿体：地表呈透镜状出露，该矿体仅地表通过TC11、TC13号槽探进行了控制，矿体倾向约320°，倾角约60°。</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Ⅵ号矿体：地表呈透镜状出露，该矿体仅地表通过TC19、TC21号槽探进行了控制，矿体倾向约319°，倾角约63°。</w:t>
            </w:r>
          </w:p>
        </w:tc>
        <w:tc>
          <w:tcPr>
            <w:tcW w:w="586" w:type="pct"/>
            <w:noWrap w:val="0"/>
            <w:vAlign w:val="center"/>
          </w:tcPr>
          <w:p>
            <w:pPr>
              <w:pStyle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Ⅱ号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Ⅳ号矿体</w:t>
            </w:r>
            <w:r>
              <w:rPr>
                <w:rFonts w:hint="eastAsia" w:ascii="Times New Roman" w:hAnsi="Times New Roman" w:eastAsia="宋体" w:cs="Times New Roman"/>
                <w:color w:val="auto"/>
                <w:sz w:val="21"/>
                <w:szCs w:val="21"/>
                <w:lang w:eastAsia="zh-CN"/>
              </w:rPr>
              <w:t>地表以前开采过。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4" w:hRule="atLeast"/>
          <w:jc w:val="center"/>
        </w:trPr>
        <w:tc>
          <w:tcPr>
            <w:tcW w:w="877" w:type="pct"/>
            <w:vMerge w:val="continue"/>
            <w:noWrap w:val="0"/>
            <w:vAlign w:val="center"/>
          </w:tcPr>
          <w:p>
            <w:pPr>
              <w:jc w:val="center"/>
              <w:rPr>
                <w:rFonts w:hint="default" w:ascii="Times New Roman" w:hAnsi="Times New Roman" w:eastAsia="宋体" w:cs="Times New Roman"/>
                <w:color w:val="auto"/>
                <w:szCs w:val="21"/>
              </w:rPr>
            </w:pPr>
          </w:p>
        </w:tc>
        <w:tc>
          <w:tcPr>
            <w:tcW w:w="3537" w:type="pct"/>
            <w:gridSpan w:val="2"/>
            <w:noWrap w:val="0"/>
            <w:vAlign w:val="center"/>
          </w:tcPr>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工业场地：该工业场地南距生活区200m。罐笼竖井布置在开拓系统东北部错动带边缘以外40m位置，井筒净直径4.0m，设计工业场地的空压机房、发电机房依次布置在罐笼竖井东北侧，卷扬机房布置在罐笼竖井东侧偏北，坑口值班室置在罐笼竖井东南，矿石堆场布置在罐笼竖井南侧沟洼地带，其它设施均根据生产工艺顺序布置。该工业场地占地面积3600㎡左右，地表工业设施建筑面积450㎡左右。</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Ⅴ矿体及Ⅵ矿体工业场地：由于Ⅴ矿体与Ⅵ矿体平硐口相距较近，设计上述两个矿体地表工业场地合建。</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1952m平硐口布置在该矿体西南侧位置，设计工业场地的空压机房、发电机房依次布置在Ⅴ矿体1952m平硐口西北侧，矿石堆场布置在1952m平硐口南侧沟洼地带，其它设施均根据生产工艺顺序布置。工业场地占地面积1200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，地表工业设施建筑面积120m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由于Ⅵ矿体2015m平硐口距离Ⅴ矿体1952m平硐口仅100m左右，因此，设计Ⅴ矿体与Ⅵ矿体工业场地共用，Ⅵ矿体不再新建。</w:t>
            </w:r>
          </w:p>
        </w:tc>
        <w:tc>
          <w:tcPr>
            <w:tcW w:w="586" w:type="pct"/>
            <w:vMerge w:val="restart"/>
            <w:noWrap w:val="0"/>
            <w:vAlign w:val="center"/>
          </w:tcPr>
          <w:p>
            <w:pPr>
              <w:pStyle w:val="2"/>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工业广场利用原有的</w:t>
            </w:r>
          </w:p>
          <w:p>
            <w:pPr>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4" w:hRule="atLeast"/>
          <w:jc w:val="center"/>
        </w:trPr>
        <w:tc>
          <w:tcPr>
            <w:tcW w:w="877" w:type="pct"/>
            <w:vMerge w:val="continue"/>
            <w:noWrap w:val="0"/>
            <w:vAlign w:val="center"/>
          </w:tcPr>
          <w:p>
            <w:pPr>
              <w:jc w:val="center"/>
              <w:rPr>
                <w:rFonts w:hint="default" w:ascii="Times New Roman" w:hAnsi="Times New Roman" w:eastAsia="宋体" w:cs="Times New Roman"/>
                <w:color w:val="auto"/>
                <w:szCs w:val="21"/>
              </w:rPr>
            </w:pPr>
          </w:p>
        </w:tc>
        <w:tc>
          <w:tcPr>
            <w:tcW w:w="3537" w:type="pct"/>
            <w:gridSpan w:val="2"/>
            <w:noWrap w:val="0"/>
            <w:vAlign w:val="center"/>
          </w:tcPr>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矿部生活区</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矿山矿部生活区已建成，位于矿区南部沟谷内的平缓开阔地带，北距Ⅰ、Ⅱ、Ⅲ、Ⅳ号矿体工业场地2000m。区内建设宿舍、食堂、浴室、车库等砖混结构房屋，总建筑面积744m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，占地面积约6000m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586" w:type="pct"/>
            <w:vMerge w:val="continue"/>
            <w:noWrap w:val="0"/>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000" w:type="pct"/>
            <w:gridSpan w:val="4"/>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二、辅助工程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爆破器材库区</w:t>
            </w:r>
          </w:p>
        </w:tc>
        <w:tc>
          <w:tcPr>
            <w:tcW w:w="3537" w:type="pct"/>
            <w:gridSpan w:val="2"/>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本项目所用炸药、雷管等由</w:t>
            </w:r>
            <w:r>
              <w:rPr>
                <w:rFonts w:hint="default" w:ascii="Times New Roman" w:hAnsi="Times New Roman" w:eastAsia="宋体" w:cs="Times New Roman"/>
                <w:color w:val="auto"/>
                <w:kern w:val="0"/>
                <w:szCs w:val="21"/>
              </w:rPr>
              <w:t>专业爆破公司</w:t>
            </w:r>
            <w:r>
              <w:rPr>
                <w:rFonts w:hint="default" w:ascii="Times New Roman" w:hAnsi="Times New Roman" w:eastAsia="宋体" w:cs="Times New Roman"/>
                <w:color w:val="auto"/>
                <w:szCs w:val="21"/>
              </w:rPr>
              <w:t>定时定量配送并且即时用于爆破作业，矿区不建爆破器材库。</w:t>
            </w:r>
          </w:p>
        </w:tc>
        <w:tc>
          <w:tcPr>
            <w:tcW w:w="58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开发利用</w:t>
            </w:r>
          </w:p>
          <w:p>
            <w:pPr>
              <w:ind w:firstLine="105" w:firstLine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三、公用工程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6"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1、供水</w:t>
            </w:r>
          </w:p>
        </w:tc>
        <w:tc>
          <w:tcPr>
            <w:tcW w:w="3537" w:type="pct"/>
            <w:gridSpan w:val="2"/>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生产用水：项目开采过程中井下涌水经集中收集回用于生产。</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生活用水：矿区自有水井提供。</w:t>
            </w:r>
          </w:p>
        </w:tc>
        <w:tc>
          <w:tcPr>
            <w:tcW w:w="586" w:type="pct"/>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依托原有水井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2、排水</w:t>
            </w:r>
          </w:p>
        </w:tc>
        <w:tc>
          <w:tcPr>
            <w:tcW w:w="3537" w:type="pct"/>
            <w:gridSpan w:val="2"/>
            <w:noWrap w:val="0"/>
            <w:vAlign w:val="center"/>
          </w:tcPr>
          <w:p>
            <w:pPr>
              <w:pStyle w:val="2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生产废水：矿井涌水经沉淀后用于</w:t>
            </w:r>
            <w:r>
              <w:rPr>
                <w:rFonts w:hint="default" w:ascii="Times New Roman" w:hAnsi="Times New Roman" w:cs="Times New Roman"/>
                <w:color w:val="auto"/>
                <w:kern w:val="0"/>
                <w:szCs w:val="21"/>
              </w:rPr>
              <w:t>凿岩、降尘用，水完全消耗无外排生产废水</w:t>
            </w:r>
            <w:r>
              <w:rPr>
                <w:rFonts w:hint="default" w:ascii="Times New Roman" w:hAnsi="Times New Roman" w:eastAsia="宋体" w:cs="Times New Roman"/>
                <w:color w:val="auto"/>
                <w:kern w:val="0"/>
                <w:szCs w:val="21"/>
              </w:rPr>
              <w:t>。</w:t>
            </w:r>
          </w:p>
        </w:tc>
        <w:tc>
          <w:tcPr>
            <w:tcW w:w="586" w:type="pct"/>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新建沉淀池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3、供电</w:t>
            </w:r>
          </w:p>
        </w:tc>
        <w:tc>
          <w:tcPr>
            <w:tcW w:w="3537" w:type="pct"/>
            <w:gridSpan w:val="2"/>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矿山供电采用柴油发电机</w:t>
            </w:r>
          </w:p>
        </w:tc>
        <w:tc>
          <w:tcPr>
            <w:tcW w:w="586" w:type="pct"/>
            <w:vMerge w:val="restart"/>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4、供气</w:t>
            </w:r>
          </w:p>
        </w:tc>
        <w:tc>
          <w:tcPr>
            <w:tcW w:w="3537" w:type="pct"/>
            <w:gridSpan w:val="2"/>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/min空压机3台，其中2台工作，1台备用。</w:t>
            </w:r>
          </w:p>
        </w:tc>
        <w:tc>
          <w:tcPr>
            <w:tcW w:w="586" w:type="pct"/>
            <w:vMerge w:val="continue"/>
            <w:noWrap w:val="0"/>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四、储运工程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矿石运输</w:t>
            </w:r>
          </w:p>
        </w:tc>
        <w:tc>
          <w:tcPr>
            <w:tcW w:w="3537" w:type="pct"/>
            <w:gridSpan w:val="2"/>
            <w:noWrap w:val="0"/>
            <w:vAlign w:val="center"/>
          </w:tcPr>
          <w:p>
            <w:pPr>
              <w:pStyle w:val="2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Ⅰ、Ⅱ、Ⅲ、Ⅳ号矿体设计井下采用有轨运输。井下各中段矿石和废石采用3t蓄电池式电机车牵引0.5m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翻转式矿车运输。各中段采场矿石通过放矿漏斗装入0.5m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翻转式矿车后采用3t蓄电池式电机车牵引运输至罐笼竖井调车场，然后通过罐笼提升至地表卸载。废石矿车从各中段由罐笼直接提升到地表后运往废石堆场卸载。</w:t>
            </w:r>
          </w:p>
          <w:p>
            <w:pPr>
              <w:pStyle w:val="2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Ⅴ号矿体设计坑内采用有轨运输，各中段矿石、废石运输采用人工推0.5m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翻转式矿车。中段运输平巷为向平硐口方向3‰的重车下坡方式。</w:t>
            </w:r>
          </w:p>
          <w:p>
            <w:pPr>
              <w:pStyle w:val="2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Ⅵ号矿体设计坑内采用有轨运输，各中段矿石、废石运输采用人工推0.5m3翻转式矿车。中段运输平巷为向平硐口方向3‰的重车下坡方式。</w:t>
            </w:r>
          </w:p>
        </w:tc>
        <w:tc>
          <w:tcPr>
            <w:tcW w:w="586" w:type="pct"/>
            <w:noWrap w:val="0"/>
            <w:vAlign w:val="center"/>
          </w:tcPr>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依托原有道路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场内运输道路</w:t>
            </w:r>
          </w:p>
        </w:tc>
        <w:tc>
          <w:tcPr>
            <w:tcW w:w="3537" w:type="pct"/>
            <w:gridSpan w:val="2"/>
            <w:noWrap w:val="0"/>
            <w:vAlign w:val="center"/>
          </w:tcPr>
          <w:p>
            <w:pPr>
              <w:autoSpaceDE w:val="0"/>
              <w:autoSpaceDN w:val="0"/>
              <w:adjustRightInd w:val="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场内道路为简易道路，将矿体与废石堆场相连接，全长</w:t>
            </w:r>
            <w:r>
              <w:rPr>
                <w:rFonts w:hint="default" w:ascii="Times New Roman" w:hAnsi="Times New Roman" w:eastAsia="宋体" w:cs="Times New Roman"/>
                <w:color w:val="auto"/>
                <w:kern w:val="0"/>
                <w:szCs w:val="21"/>
                <w:lang w:val="en-US" w:eastAsia="zh-CN"/>
              </w:rPr>
              <w:t>2.8</w:t>
            </w:r>
            <w:r>
              <w:rPr>
                <w:rFonts w:hint="default" w:ascii="Times New Roman" w:hAnsi="Times New Roman" w:eastAsia="宋体" w:cs="Times New Roman"/>
                <w:color w:val="auto"/>
                <w:kern w:val="0"/>
                <w:szCs w:val="21"/>
              </w:rPr>
              <w:t>km</w:t>
            </w:r>
          </w:p>
        </w:tc>
        <w:tc>
          <w:tcPr>
            <w:tcW w:w="586" w:type="pct"/>
            <w:noWrap w:val="0"/>
            <w:vAlign w:val="center"/>
          </w:tcPr>
          <w:p>
            <w:pP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依托原有道路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外运道路</w:t>
            </w:r>
          </w:p>
        </w:tc>
        <w:tc>
          <w:tcPr>
            <w:tcW w:w="3537" w:type="pct"/>
            <w:gridSpan w:val="2"/>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矿石采用自卸汽车运输，装车后直接运往选矿厂，公路运距25km。</w:t>
            </w:r>
          </w:p>
        </w:tc>
        <w:tc>
          <w:tcPr>
            <w:tcW w:w="586" w:type="pct"/>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依托原有道路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五、环保工程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矿井涌水排水</w:t>
            </w:r>
          </w:p>
        </w:tc>
        <w:tc>
          <w:tcPr>
            <w:tcW w:w="3532" w:type="pct"/>
            <w:noWrap w:val="0"/>
            <w:vAlign w:val="center"/>
          </w:tcPr>
          <w:p>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防渗高位水池有效容积200m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lang w:val="en-US" w:eastAsia="zh-CN"/>
              </w:rPr>
              <w:t>。</w:t>
            </w:r>
          </w:p>
        </w:tc>
        <w:tc>
          <w:tcPr>
            <w:tcW w:w="591" w:type="pct"/>
            <w:gridSpan w:val="2"/>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3532" w:type="pct"/>
            <w:noWrap w:val="0"/>
            <w:vAlign w:val="center"/>
          </w:tcPr>
          <w:p>
            <w:pPr>
              <w:adjustRightInd w:val="0"/>
              <w:snapToGrid w:val="0"/>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w:t>
            </w:r>
            <w:r>
              <w:rPr>
                <w:rFonts w:hint="default" w:ascii="Times New Roman" w:hAnsi="Times New Roman" w:eastAsia="宋体" w:cs="Times New Roman"/>
                <w:color w:val="auto"/>
                <w:szCs w:val="21"/>
                <w:lang w:eastAsia="zh-CN"/>
              </w:rPr>
              <w:t>矿部生活区东部约</w:t>
            </w:r>
            <w:r>
              <w:rPr>
                <w:rFonts w:hint="default" w:ascii="Times New Roman" w:hAnsi="Times New Roman" w:eastAsia="宋体" w:cs="Times New Roman"/>
                <w:color w:val="auto"/>
                <w:szCs w:val="21"/>
                <w:lang w:val="en-US" w:eastAsia="zh-CN"/>
              </w:rPr>
              <w:t>200m处。</w:t>
            </w:r>
          </w:p>
        </w:tc>
        <w:tc>
          <w:tcPr>
            <w:tcW w:w="591" w:type="pct"/>
            <w:gridSpan w:val="2"/>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生活污水处理</w:t>
            </w:r>
          </w:p>
        </w:tc>
        <w:tc>
          <w:tcPr>
            <w:tcW w:w="353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经地埋式一体式污水处理装置处理后达到相应标准回用，处理达标后用于周边绿化及道路洒水降尘。</w:t>
            </w:r>
          </w:p>
        </w:tc>
        <w:tc>
          <w:tcPr>
            <w:tcW w:w="591" w:type="pct"/>
            <w:gridSpan w:val="2"/>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353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集中收集定期运往达坂城区柴窝堡乡垃圾收集站</w:t>
            </w:r>
          </w:p>
        </w:tc>
        <w:tc>
          <w:tcPr>
            <w:tcW w:w="591" w:type="pct"/>
            <w:gridSpan w:val="2"/>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r>
        <w:rPr>
          <w:rFonts w:hint="default" w:ascii="Times New Roman" w:hAnsi="Times New Roman" w:cs="Times New Roman"/>
          <w:color w:val="auto"/>
          <w:sz w:val="24"/>
        </w:rPr>
        <w:t>3.1.6矿山工作制度、职工定员</w:t>
      </w:r>
      <w:bookmarkEnd w:id="353"/>
      <w:bookmarkEnd w:id="354"/>
      <w:bookmarkEnd w:id="355"/>
      <w:bookmarkEnd w:id="356"/>
      <w:bookmarkEnd w:id="357"/>
      <w:bookmarkEnd w:id="358"/>
      <w:bookmarkEnd w:id="359"/>
      <w:bookmarkEnd w:id="360"/>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（1）工作制度</w:t>
      </w:r>
    </w:p>
    <w:p>
      <w:pPr>
        <w:pStyle w:val="32"/>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项目矿山冬季不生产，其它季节采用不间断工作制，年工作250d。每天3班，每班8h。</w:t>
      </w:r>
      <w:r>
        <w:rPr>
          <w:rFonts w:hint="eastAsia" w:ascii="Times New Roman" w:hAnsi="Times New Roman" w:eastAsia="宋体" w:cs="Times New Roman"/>
          <w:color w:val="auto"/>
          <w:sz w:val="24"/>
          <w:lang w:val="en-US" w:eastAsia="zh-CN"/>
        </w:rPr>
        <w:t xml:space="preserve"> </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（2）劳动定员</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根据企业组织机构的设置，以及工艺流程设计和设备配置状况，新疆达坂城柴窝堡杏树沟铜矿矿山岗位定员4</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人。详见表3.1-5。</w:t>
      </w: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表3.1-5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 xml:space="preserve"> 劳动定员估算参数一览表</w:t>
      </w:r>
    </w:p>
    <w:tbl>
      <w:tblPr>
        <w:tblStyle w:val="79"/>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8"/>
        <w:gridCol w:w="987"/>
        <w:gridCol w:w="1062"/>
        <w:gridCol w:w="5"/>
        <w:gridCol w:w="990"/>
        <w:gridCol w:w="1553"/>
        <w:gridCol w:w="148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岗    位</w:t>
            </w:r>
          </w:p>
        </w:tc>
        <w:tc>
          <w:tcPr>
            <w:tcW w:w="1205"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昼夜出勤人员（人）</w:t>
            </w:r>
          </w:p>
        </w:tc>
        <w:tc>
          <w:tcPr>
            <w:tcW w:w="5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替休人员</w:t>
            </w:r>
          </w:p>
        </w:tc>
        <w:tc>
          <w:tcPr>
            <w:tcW w:w="8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rPr>
              <w:t>在册人数</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工     种</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517" w:firstLineChars="245"/>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生产工人</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14</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17</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31</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3</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34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凿岩、爆破工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放矿推车工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卷扬机工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电工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修理工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空压机工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207" w:firstLineChars="98"/>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管理及服务人员</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2</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9</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11</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1</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12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矿长、副矿长</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技术人员</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安全员</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洗浴工</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后勤</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454" w:hRule="exact"/>
          <w:jc w:val="center"/>
        </w:trPr>
        <w:tc>
          <w:tcPr>
            <w:tcW w:w="14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合计</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16</w:t>
            </w:r>
          </w:p>
        </w:tc>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26</w:t>
            </w:r>
          </w:p>
        </w:tc>
        <w:tc>
          <w:tcPr>
            <w:tcW w:w="5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42</w:t>
            </w: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4</w:t>
            </w:r>
          </w:p>
        </w:tc>
        <w:tc>
          <w:tcPr>
            <w:tcW w:w="8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46</w:t>
            </w:r>
          </w:p>
        </w:tc>
      </w:tr>
    </w:tbl>
    <w:p>
      <w:pPr>
        <w:rPr>
          <w:rFonts w:hint="default" w:ascii="Times New Roman" w:hAnsi="Times New Roman" w:eastAsia="黑体" w:cs="Times New Roman"/>
          <w:color w:val="auto"/>
          <w:szCs w:val="21"/>
        </w:rPr>
      </w:pP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361" w:name="_Toc17709374"/>
      <w:bookmarkStart w:id="362" w:name="_Toc7998984"/>
      <w:bookmarkStart w:id="363" w:name="_Toc25894_WPSOffice_Level2"/>
      <w:bookmarkStart w:id="364" w:name="_Toc27013"/>
      <w:bookmarkStart w:id="365" w:name="_Toc4094"/>
      <w:bookmarkStart w:id="366" w:name="_Toc23886"/>
      <w:bookmarkStart w:id="367" w:name="_Toc5964"/>
      <w:bookmarkStart w:id="368" w:name="_Toc17228"/>
      <w:r>
        <w:rPr>
          <w:rFonts w:hint="default" w:ascii="Times New Roman" w:hAnsi="Times New Roman" w:cs="Times New Roman"/>
          <w:color w:val="auto"/>
          <w:sz w:val="24"/>
        </w:rPr>
        <w:t>3.1.7矿区公辅生产设施</w:t>
      </w:r>
      <w:bookmarkEnd w:id="361"/>
      <w:bookmarkEnd w:id="362"/>
      <w:bookmarkEnd w:id="363"/>
    </w:p>
    <w:p>
      <w:pPr>
        <w:adjustRightInd w:val="0"/>
        <w:snapToGrid w:val="0"/>
        <w:spacing w:line="360" w:lineRule="auto"/>
        <w:outlineLvl w:val="3"/>
        <w:rPr>
          <w:rFonts w:hint="default" w:ascii="Times New Roman" w:hAnsi="Times New Roman" w:cs="Times New Roman"/>
          <w:color w:val="auto"/>
          <w:sz w:val="24"/>
          <w:szCs w:val="22"/>
        </w:rPr>
      </w:pPr>
      <w:bookmarkStart w:id="369" w:name="_Toc24904"/>
      <w:bookmarkStart w:id="370" w:name="_Toc9936"/>
      <w:bookmarkStart w:id="371" w:name="_Toc4572"/>
      <w:bookmarkStart w:id="372" w:name="_Toc7998985"/>
      <w:bookmarkStart w:id="373" w:name="_Toc18662"/>
      <w:bookmarkStart w:id="374" w:name="_Toc51"/>
      <w:r>
        <w:rPr>
          <w:rFonts w:hint="default" w:ascii="Times New Roman" w:hAnsi="Times New Roman" w:cs="Times New Roman"/>
          <w:color w:val="auto"/>
          <w:sz w:val="24"/>
          <w:szCs w:val="22"/>
        </w:rPr>
        <w:t>3.1.7.1供水、排水系统</w:t>
      </w:r>
      <w:bookmarkEnd w:id="369"/>
      <w:bookmarkEnd w:id="370"/>
      <w:bookmarkEnd w:id="371"/>
      <w:bookmarkEnd w:id="372"/>
      <w:bookmarkEnd w:id="373"/>
      <w:bookmarkEnd w:id="374"/>
    </w:p>
    <w:p>
      <w:pPr>
        <w:pStyle w:val="378"/>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（1）供水水源</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生活水源：本项目生活用水由矿区自有水井提供。水井位于5号平硐东侧约27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处 ，水井深35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，水量为253.96m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pPr>
        <w:pStyle w:val="378"/>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color w:val="auto"/>
          <w:szCs w:val="21"/>
        </w:rPr>
      </w:pPr>
      <w:r>
        <w:rPr>
          <w:rFonts w:hint="default" w:ascii="Times New Roman" w:hAnsi="Times New Roman" w:cs="Times New Roman"/>
          <w:color w:val="auto"/>
          <w:szCs w:val="21"/>
        </w:rPr>
        <w:t>生产水源：</w:t>
      </w:r>
      <w:r>
        <w:rPr>
          <w:rFonts w:hint="default" w:ascii="Times New Roman" w:hAnsi="Times New Roman" w:cs="Times New Roman"/>
          <w:color w:val="auto"/>
        </w:rPr>
        <w:t>设计在平硐口旁设一个200m</w:t>
      </w:r>
      <w:r>
        <w:rPr>
          <w:rFonts w:hint="default" w:ascii="Times New Roman" w:hAnsi="Times New Roman" w:cs="Times New Roman"/>
          <w:color w:val="auto"/>
          <w:vertAlign w:val="superscript"/>
        </w:rPr>
        <w:t>3</w:t>
      </w:r>
      <w:r>
        <w:rPr>
          <w:rFonts w:hint="default" w:ascii="Times New Roman" w:hAnsi="Times New Roman" w:cs="Times New Roman"/>
          <w:color w:val="auto"/>
        </w:rPr>
        <w:t>生产用高位水池，以满足消防用水及井下扑尘用水。生产用高位水池的水来源于井下涌水，由水泵房排到地表的高位水池经处理后再用于井下生产。</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（2）用水量</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矿区定员约42人，生活用水定额按《新疆生活用水定额》中南疆地区每人85L/d·人计算，生活用水量每天预计为3.57m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/d（892.5m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（3）排水</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①生产废水</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铜矿开采废水污染特征，矿井涌水主要来自矿山裂隙水和湿式凿岩废水，其水质简单主要污染因子为SS，浓度为340～520mg/L，且不含任何有毒有害物质。矿井涌水由水泵送至矿井口附近的高位水池（开采过程中六个矿体设置一个200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）里，经沉淀处理满足《污水综合排放标准》（GB8978-1996）的二级标准后，其中：涌水回用于矿区生产用水和洒水降尘、绿化，具体详见图3.1-2。</w:t>
      </w:r>
    </w:p>
    <w:p>
      <w:pPr>
        <w:pStyle w:val="32"/>
        <w:adjustRightInd w:val="0"/>
        <w:snapToGrid w:val="0"/>
        <w:spacing w:line="360" w:lineRule="auto"/>
        <w:ind w:firstLine="1800" w:firstLineChars="75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lang/>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57150</wp:posOffset>
                </wp:positionV>
                <wp:extent cx="4800600" cy="1146810"/>
                <wp:effectExtent l="7620" t="7620" r="11430" b="26670"/>
                <wp:wrapNone/>
                <wp:docPr id="68" name="组合 1187"/>
                <wp:cNvGraphicFramePr/>
                <a:graphic xmlns:a="http://schemas.openxmlformats.org/drawingml/2006/main">
                  <a:graphicData uri="http://schemas.microsoft.com/office/word/2010/wordprocessingGroup">
                    <wpg:wgp>
                      <wpg:cNvGrpSpPr/>
                      <wpg:grpSpPr>
                        <a:xfrm>
                          <a:off x="0" y="0"/>
                          <a:ext cx="4800600" cy="1146810"/>
                          <a:chOff x="1800" y="7605"/>
                          <a:chExt cx="7560" cy="1806"/>
                        </a:xfrm>
                      </wpg:grpSpPr>
                      <wps:wsp>
                        <wps:cNvPr id="58" name="自选图形 6"/>
                        <wps:cNvCnPr>
                          <a:endCxn id="35" idx="1"/>
                        </wps:cNvCnPr>
                        <wps:spPr>
                          <a:xfrm>
                            <a:off x="3060" y="8540"/>
                            <a:ext cx="540" cy="0"/>
                          </a:xfrm>
                          <a:prstGeom prst="straightConnector1">
                            <a:avLst/>
                          </a:prstGeom>
                          <a:ln w="15875" cap="flat" cmpd="sng">
                            <a:solidFill>
                              <a:srgbClr val="000000"/>
                            </a:solidFill>
                            <a:prstDash val="solid"/>
                            <a:headEnd type="none" w="med" len="med"/>
                            <a:tailEnd type="triangle" w="med" len="med"/>
                          </a:ln>
                        </wps:spPr>
                        <wps:bodyPr/>
                      </wps:wsp>
                      <wps:wsp>
                        <wps:cNvPr id="59" name="矩形 13"/>
                        <wps:cNvSpPr/>
                        <wps:spPr>
                          <a:xfrm>
                            <a:off x="3600" y="8096"/>
                            <a:ext cx="1260" cy="759"/>
                          </a:xfrm>
                          <a:prstGeom prst="rect">
                            <a:avLst/>
                          </a:prstGeom>
                          <a:noFill/>
                          <a:ln w="15875"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szCs w:val="21"/>
                                </w:rPr>
                                <w:t>防渗高位水池</w:t>
                              </w:r>
                            </w:p>
                          </w:txbxContent>
                        </wps:txbx>
                        <wps:bodyPr vert="horz" wrap="square" anchor="t" upright="1"/>
                      </wps:wsp>
                      <wps:wsp>
                        <wps:cNvPr id="60" name="矩形 13"/>
                        <wps:cNvSpPr/>
                        <wps:spPr>
                          <a:xfrm>
                            <a:off x="6840" y="7605"/>
                            <a:ext cx="2520" cy="491"/>
                          </a:xfrm>
                          <a:prstGeom prst="rect">
                            <a:avLst/>
                          </a:prstGeom>
                          <a:noFill/>
                          <a:ln w="15875" cap="flat" cmpd="sng">
                            <a:solidFill>
                              <a:srgbClr val="000000"/>
                            </a:solidFill>
                            <a:prstDash val="solid"/>
                            <a:miter/>
                            <a:headEnd type="none" w="med" len="med"/>
                            <a:tailEnd type="none" w="med" len="med"/>
                          </a:ln>
                        </wps:spPr>
                        <wps:txbx>
                          <w:txbxContent>
                            <w:p>
                              <w:pPr>
                                <w:rPr>
                                  <w:color w:val="000000"/>
                                </w:rPr>
                              </w:pPr>
                              <w:r>
                                <w:rPr>
                                  <w:rFonts w:hint="eastAsia"/>
                                  <w:color w:val="000000"/>
                                  <w:szCs w:val="21"/>
                                </w:rPr>
                                <w:t>矿区生产用水、洒水降尘</w:t>
                              </w:r>
                            </w:p>
                          </w:txbxContent>
                        </wps:txbx>
                        <wps:bodyPr vert="horz" wrap="square" anchor="t" upright="1"/>
                      </wps:wsp>
                      <wps:wsp>
                        <wps:cNvPr id="61" name="直线 536"/>
                        <wps:cNvSpPr/>
                        <wps:spPr>
                          <a:xfrm flipH="1">
                            <a:off x="5940" y="7984"/>
                            <a:ext cx="0" cy="1248"/>
                          </a:xfrm>
                          <a:prstGeom prst="line">
                            <a:avLst/>
                          </a:prstGeom>
                          <a:ln w="15875" cap="flat" cmpd="sng">
                            <a:solidFill>
                              <a:srgbClr val="000000"/>
                            </a:solidFill>
                            <a:prstDash val="solid"/>
                            <a:headEnd type="none" w="med" len="med"/>
                            <a:tailEnd type="none" w="med" len="med"/>
                          </a:ln>
                        </wps:spPr>
                        <wps:bodyPr upright="1"/>
                      </wps:wsp>
                      <wps:wsp>
                        <wps:cNvPr id="62" name="矩形 13"/>
                        <wps:cNvSpPr/>
                        <wps:spPr>
                          <a:xfrm>
                            <a:off x="1800" y="8296"/>
                            <a:ext cx="1260" cy="491"/>
                          </a:xfrm>
                          <a:prstGeom prst="rect">
                            <a:avLst/>
                          </a:prstGeom>
                          <a:noFill/>
                          <a:ln w="15875" cap="flat" cmpd="sng">
                            <a:solidFill>
                              <a:srgbClr val="000000"/>
                            </a:solidFill>
                            <a:prstDash val="solid"/>
                            <a:miter/>
                            <a:headEnd type="none" w="med" len="med"/>
                            <a:tailEnd type="none" w="med" len="med"/>
                          </a:ln>
                        </wps:spPr>
                        <wps:txbx>
                          <w:txbxContent>
                            <w:p>
                              <w:pPr>
                                <w:snapToGrid w:val="0"/>
                                <w:spacing w:line="240" w:lineRule="exact"/>
                                <w:jc w:val="center"/>
                                <w:rPr>
                                  <w:rFonts w:hint="eastAsia"/>
                                  <w:szCs w:val="21"/>
                                </w:rPr>
                              </w:pPr>
                              <w:r>
                                <w:rPr>
                                  <w:rFonts w:hint="eastAsia"/>
                                  <w:szCs w:val="21"/>
                                </w:rPr>
                                <w:t>矿井涌水</w:t>
                              </w:r>
                            </w:p>
                            <w:p/>
                          </w:txbxContent>
                        </wps:txbx>
                        <wps:bodyPr vert="horz" wrap="square" anchor="t" upright="1"/>
                      </wps:wsp>
                      <wps:wsp>
                        <wps:cNvPr id="63" name="自选图形 6"/>
                        <wps:cNvCnPr>
                          <a:endCxn id="35" idx="1"/>
                        </wps:cNvCnPr>
                        <wps:spPr>
                          <a:xfrm>
                            <a:off x="5940" y="7940"/>
                            <a:ext cx="834" cy="0"/>
                          </a:xfrm>
                          <a:prstGeom prst="straightConnector1">
                            <a:avLst/>
                          </a:prstGeom>
                          <a:ln w="15875" cap="flat" cmpd="sng">
                            <a:solidFill>
                              <a:srgbClr val="000000"/>
                            </a:solidFill>
                            <a:prstDash val="solid"/>
                            <a:headEnd type="none" w="med" len="med"/>
                            <a:tailEnd type="triangle" w="med" len="med"/>
                          </a:ln>
                        </wps:spPr>
                        <wps:bodyPr/>
                      </wps:wsp>
                      <wps:wsp>
                        <wps:cNvPr id="64" name="自选图形 6"/>
                        <wps:cNvCnPr>
                          <a:endCxn id="35" idx="1"/>
                        </wps:cNvCnPr>
                        <wps:spPr>
                          <a:xfrm>
                            <a:off x="5940" y="9232"/>
                            <a:ext cx="834" cy="0"/>
                          </a:xfrm>
                          <a:prstGeom prst="straightConnector1">
                            <a:avLst/>
                          </a:prstGeom>
                          <a:ln w="15875" cap="flat" cmpd="sng">
                            <a:solidFill>
                              <a:srgbClr val="000000"/>
                            </a:solidFill>
                            <a:prstDash val="solid"/>
                            <a:headEnd type="none" w="med" len="med"/>
                            <a:tailEnd type="triangle" w="med" len="med"/>
                          </a:ln>
                        </wps:spPr>
                        <wps:bodyPr/>
                      </wps:wsp>
                      <wps:wsp>
                        <wps:cNvPr id="65" name="矩形 13"/>
                        <wps:cNvSpPr/>
                        <wps:spPr>
                          <a:xfrm>
                            <a:off x="6840" y="8920"/>
                            <a:ext cx="2520" cy="491"/>
                          </a:xfrm>
                          <a:prstGeom prst="rect">
                            <a:avLst/>
                          </a:prstGeom>
                          <a:noFill/>
                          <a:ln w="15875" cap="flat" cmpd="sng">
                            <a:solidFill>
                              <a:srgbClr val="000000"/>
                            </a:solidFill>
                            <a:prstDash val="solid"/>
                            <a:miter/>
                            <a:headEnd type="none" w="med" len="med"/>
                            <a:tailEnd type="none" w="med" len="med"/>
                          </a:ln>
                        </wps:spPr>
                        <wps:txbx>
                          <w:txbxContent>
                            <w:p>
                              <w:pPr>
                                <w:rPr>
                                  <w:color w:val="000000"/>
                                </w:rPr>
                              </w:pPr>
                              <w:r>
                                <w:rPr>
                                  <w:rFonts w:hint="eastAsia"/>
                                  <w:color w:val="000000"/>
                                  <w:szCs w:val="21"/>
                                </w:rPr>
                                <w:t>矿区及周边绿用水</w:t>
                              </w:r>
                            </w:p>
                          </w:txbxContent>
                        </wps:txbx>
                        <wps:bodyPr vert="horz" wrap="square" anchor="t" upright="1"/>
                      </wps:wsp>
                      <wps:wsp>
                        <wps:cNvPr id="66" name="自选图形 6"/>
                        <wps:cNvCnPr>
                          <a:endCxn id="35" idx="1"/>
                        </wps:cNvCnPr>
                        <wps:spPr>
                          <a:xfrm>
                            <a:off x="4935" y="8564"/>
                            <a:ext cx="900" cy="0"/>
                          </a:xfrm>
                          <a:prstGeom prst="straightConnector1">
                            <a:avLst/>
                          </a:prstGeom>
                          <a:ln w="15875" cap="flat" cmpd="sng">
                            <a:solidFill>
                              <a:srgbClr val="000000"/>
                            </a:solidFill>
                            <a:prstDash val="solid"/>
                            <a:headEnd type="none" w="med" len="med"/>
                            <a:tailEnd type="triangle" w="med" len="med"/>
                          </a:ln>
                        </wps:spPr>
                        <wps:bodyPr/>
                      </wps:wsp>
                      <wps:wsp>
                        <wps:cNvPr id="67" name="矩形 3"/>
                        <wps:cNvSpPr/>
                        <wps:spPr>
                          <a:xfrm>
                            <a:off x="4665" y="8210"/>
                            <a:ext cx="1260" cy="426"/>
                          </a:xfrm>
                          <a:prstGeom prst="rect">
                            <a:avLst/>
                          </a:prstGeom>
                          <a:noFill/>
                          <a:ln w="15875">
                            <a:noFill/>
                          </a:ln>
                        </wps:spPr>
                        <wps:bodyPr vert="horz" wrap="square" lIns="0" tIns="0" rIns="0" bIns="0" anchor="t" upright="1"/>
                      </wps:wsp>
                    </wpg:wgp>
                  </a:graphicData>
                </a:graphic>
              </wp:anchor>
            </w:drawing>
          </mc:Choice>
          <mc:Fallback>
            <w:pict>
              <v:group id="组合 1187" o:spid="_x0000_s1026" o:spt="203" style="position:absolute;left:0pt;margin-left:0pt;margin-top:4.5pt;height:90.3pt;width:378pt;z-index:251673600;mso-width-relative:page;mso-height-relative:page;" coordorigin="1800,7605" coordsize="7560,1806" o:gfxdata="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DsD4Ck1gAAAAYB&#10;AAAPAAAAAAAAAAEAIAAAACIAAABkcnMvZG93bnJldi54bWxQSwECFAAUAAAACACHTuJAKXVKox4E&#10;AAB7GAAADgAAAAAAAAABACAAAAAlAQAAZHJzL2Uyb0RvYy54bWxQSwUGAAAAAAYABgBZAQAAtQcA&#10;AAAA&#10;">
                <o:lock v:ext="edit" aspectratio="f"/>
                <v:shape id="自选图形 6" o:spid="_x0000_s1026" o:spt="32" type="#_x0000_t32" style="position:absolute;left:3060;top:8540;height:0;width:540;" filled="f" stroked="t" coordsize="21600,21600" o:gfxdata="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fBJ7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rect id="矩形 13" o:spid="_x0000_s1026" o:spt="1" style="position:absolute;left:3600;top:8096;height:759;width:1260;" filled="f" stroked="t" coordsize="21600,21600" o:gfxdata="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JBsi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jc w:val="center"/>
                          <w:rPr>
                            <w:color w:val="000000"/>
                          </w:rPr>
                        </w:pPr>
                        <w:r>
                          <w:rPr>
                            <w:rFonts w:hint="eastAsia"/>
                            <w:color w:val="000000"/>
                            <w:szCs w:val="21"/>
                          </w:rPr>
                          <w:t>防渗高位水池</w:t>
                        </w:r>
                      </w:p>
                    </w:txbxContent>
                  </v:textbox>
                </v:rect>
                <v:rect id="矩形 13" o:spid="_x0000_s1026" o:spt="1" style="position:absolute;left:6840;top:7605;height:491;width:2520;" filled="f" stroked="t" coordsize="21600,21600" o:gfxdata="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fZei2AAAA2wAAAA8A&#10;AAAAAAAAAQAgAAAAIgAAAGRycy9kb3ducmV2LnhtbFBLAQIUABQAAAAIAIdO4kAzLwWeOwAAADkA&#10;AAAQAAAAAAAAAAEAIAAAAAUBAABkcnMvc2hhcGV4bWwueG1sUEsFBgAAAAAGAAYAWwEAAK8DAAAA&#10;AA==&#10;">
                  <v:fill on="f" focussize="0,0"/>
                  <v:stroke weight="1.25pt" color="#000000" joinstyle="miter"/>
                  <v:imagedata o:title=""/>
                  <o:lock v:ext="edit" aspectratio="f"/>
                  <v:textbox>
                    <w:txbxContent>
                      <w:p>
                        <w:pPr>
                          <w:rPr>
                            <w:color w:val="000000"/>
                          </w:rPr>
                        </w:pPr>
                        <w:r>
                          <w:rPr>
                            <w:rFonts w:hint="eastAsia"/>
                            <w:color w:val="000000"/>
                            <w:szCs w:val="21"/>
                          </w:rPr>
                          <w:t>矿区生产用水、洒水降尘</w:t>
                        </w:r>
                      </w:p>
                    </w:txbxContent>
                  </v:textbox>
                </v:rect>
                <v:line id="直线 536" o:spid="_x0000_s1026" o:spt="20" style="position:absolute;left:5940;top:7984;flip:x;height:1248;width:0;" filled="f" stroked="t" coordsize="21600,21600" o:gfxdata="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1eF2L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rect id="矩形 13" o:spid="_x0000_s1026" o:spt="1" style="position:absolute;left:1800;top:8296;height:491;width:1260;" filled="f" stroked="t" coordsize="21600,21600" o:gfxdata="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BXgS5AAAA2wAA&#10;AA8AAAAAAAAAAQAgAAAAIgAAAGRycy9kb3ducmV2LnhtbFBLAQIUABQAAAAIAIdO4kAzLwWeOwAA&#10;ADkAAAAQAAAAAAAAAAEAIAAAAAgBAABkcnMvc2hhcGV4bWwueG1sUEsFBgAAAAAGAAYAWwEAALID&#10;AAAAAA==&#10;">
                  <v:fill on="f" focussize="0,0"/>
                  <v:stroke weight="1.25pt" color="#000000" joinstyle="miter"/>
                  <v:imagedata o:title=""/>
                  <o:lock v:ext="edit" aspectratio="f"/>
                  <v:textbox>
                    <w:txbxContent>
                      <w:p>
                        <w:pPr>
                          <w:snapToGrid w:val="0"/>
                          <w:spacing w:line="240" w:lineRule="exact"/>
                          <w:jc w:val="center"/>
                          <w:rPr>
                            <w:rFonts w:hint="eastAsia"/>
                            <w:szCs w:val="21"/>
                          </w:rPr>
                        </w:pPr>
                        <w:r>
                          <w:rPr>
                            <w:rFonts w:hint="eastAsia"/>
                            <w:szCs w:val="21"/>
                          </w:rPr>
                          <w:t>矿井涌水</w:t>
                        </w:r>
                      </w:p>
                      <w:p/>
                    </w:txbxContent>
                  </v:textbox>
                </v:rect>
                <v:shape id="自选图形 6" o:spid="_x0000_s1026" o:spt="32" type="#_x0000_t32" style="position:absolute;left:5940;top:7940;height:0;width:834;" filled="f" stroked="t" coordsize="21600,21600" o:gfxdata="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5n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自选图形 6" o:spid="_x0000_s1026" o:spt="32" type="#_x0000_t32" style="position:absolute;left:5940;top:9232;height:0;width:834;" filled="f" stroked="t" coordsize="21600,21600" o:gfxdata="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gG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rect id="矩形 13" o:spid="_x0000_s1026" o:spt="1" style="position:absolute;left:6840;top:8920;height:491;width:2520;" filled="f" stroked="t" coordsize="21600,21600" o:gfxdata="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MZ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rPr>
                            <w:color w:val="000000"/>
                          </w:rPr>
                        </w:pPr>
                        <w:r>
                          <w:rPr>
                            <w:rFonts w:hint="eastAsia"/>
                            <w:color w:val="000000"/>
                            <w:szCs w:val="21"/>
                          </w:rPr>
                          <w:t>矿区及周边绿用水</w:t>
                        </w:r>
                      </w:p>
                    </w:txbxContent>
                  </v:textbox>
                </v:rect>
                <v:shape id="自选图形 6" o:spid="_x0000_s1026" o:spt="32" type="#_x0000_t32" style="position:absolute;left:4935;top:8564;height:0;width:900;" filled="f" stroked="t" coordsize="21600,21600" o:gfxdata="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Dpz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rect id="矩形 3" o:spid="_x0000_s1026" o:spt="1" style="position:absolute;left:4665;top:8210;height:426;width:1260;" filled="f" stroked="f" coordsize="21600,21600" o:gfxdata="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rHGr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v:rect>
              </v:group>
            </w:pict>
          </mc:Fallback>
        </mc:AlternateContent>
      </w:r>
    </w:p>
    <w:p>
      <w:pPr>
        <w:pStyle w:val="32"/>
        <w:adjustRightInd w:val="0"/>
        <w:snapToGrid w:val="0"/>
        <w:spacing w:line="360" w:lineRule="auto"/>
        <w:ind w:firstLine="1800" w:firstLineChars="750"/>
        <w:rPr>
          <w:rFonts w:hint="default" w:ascii="Times New Roman" w:hAnsi="Times New Roman" w:eastAsia="黑体" w:cs="Times New Roman"/>
          <w:color w:val="auto"/>
          <w:sz w:val="24"/>
        </w:rPr>
      </w:pPr>
    </w:p>
    <w:p>
      <w:pPr>
        <w:pStyle w:val="32"/>
        <w:adjustRightInd w:val="0"/>
        <w:snapToGrid w:val="0"/>
        <w:spacing w:line="360" w:lineRule="auto"/>
        <w:ind w:firstLine="1800" w:firstLineChars="750"/>
        <w:rPr>
          <w:rFonts w:hint="default" w:ascii="Times New Roman" w:hAnsi="Times New Roman" w:eastAsia="黑体" w:cs="Times New Roman"/>
          <w:color w:val="auto"/>
          <w:sz w:val="24"/>
        </w:rPr>
      </w:pPr>
    </w:p>
    <w:p>
      <w:pPr>
        <w:pStyle w:val="32"/>
        <w:adjustRightInd w:val="0"/>
        <w:snapToGrid w:val="0"/>
        <w:spacing w:line="360" w:lineRule="auto"/>
        <w:ind w:firstLine="1800" w:firstLineChars="750"/>
        <w:rPr>
          <w:rFonts w:hint="default" w:ascii="Times New Roman" w:hAnsi="Times New Roman" w:eastAsia="黑体" w:cs="Times New Roman"/>
          <w:color w:val="auto"/>
          <w:sz w:val="24"/>
        </w:rPr>
      </w:pPr>
    </w:p>
    <w:p>
      <w:pPr>
        <w:pStyle w:val="32"/>
        <w:adjustRightInd w:val="0"/>
        <w:snapToGrid w:val="0"/>
        <w:spacing w:line="360" w:lineRule="auto"/>
        <w:ind w:firstLine="1800" w:firstLineChars="750"/>
        <w:rPr>
          <w:rFonts w:hint="default" w:ascii="Times New Roman" w:hAnsi="Times New Roman" w:eastAsia="黑体" w:cs="Times New Roman"/>
          <w:color w:val="auto"/>
          <w:sz w:val="24"/>
        </w:rPr>
      </w:pPr>
    </w:p>
    <w:p>
      <w:pPr>
        <w:pStyle w:val="32"/>
        <w:adjustRightInd w:val="0"/>
        <w:snapToGrid w:val="0"/>
        <w:spacing w:line="360" w:lineRule="auto"/>
        <w:ind w:firstLine="3268" w:firstLineChars="1550"/>
        <w:rPr>
          <w:rFonts w:hint="default" w:ascii="Times New Roman" w:hAnsi="Times New Roman" w:eastAsia="宋体" w:cs="Times New Roman"/>
          <w:color w:val="auto"/>
          <w:sz w:val="24"/>
        </w:rPr>
      </w:pPr>
      <w:r>
        <w:rPr>
          <w:rFonts w:hint="default" w:ascii="Times New Roman" w:hAnsi="Times New Roman" w:eastAsia="黑体" w:cs="Times New Roman"/>
          <w:b/>
          <w:bCs/>
          <w:color w:val="auto"/>
          <w:sz w:val="21"/>
          <w:szCs w:val="21"/>
        </w:rPr>
        <w:t>图3.1-</w:t>
      </w:r>
      <w:r>
        <w:rPr>
          <w:rFonts w:hint="default" w:ascii="Times New Roman" w:hAnsi="Times New Roman" w:eastAsia="黑体" w:cs="Times New Roman"/>
          <w:b/>
          <w:bCs/>
          <w:color w:val="auto"/>
          <w:sz w:val="21"/>
          <w:szCs w:val="21"/>
          <w:lang w:val="en-US" w:eastAsia="zh-CN"/>
        </w:rPr>
        <w:t>1</w:t>
      </w:r>
      <w:r>
        <w:rPr>
          <w:rFonts w:hint="default" w:ascii="Times New Roman" w:hAnsi="Times New Roman" w:eastAsia="黑体" w:cs="Times New Roman"/>
          <w:b/>
          <w:bCs/>
          <w:color w:val="auto"/>
          <w:sz w:val="21"/>
          <w:szCs w:val="21"/>
        </w:rPr>
        <w:t xml:space="preserve">   项目矿井涌水利用图   </w:t>
      </w:r>
      <w:r>
        <w:rPr>
          <w:rFonts w:hint="default" w:ascii="Times New Roman" w:hAnsi="Times New Roman" w:eastAsia="黑体" w:cs="Times New Roman"/>
          <w:color w:val="auto"/>
          <w:sz w:val="24"/>
        </w:rPr>
        <w:t xml:space="preserve">     </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②生活污水</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项目生活污水按</w:t>
      </w:r>
      <w:r>
        <w:rPr>
          <w:rFonts w:hint="eastAsia" w:ascii="Times New Roman" w:hAnsi="Times New Roman" w:cs="Times New Roman"/>
          <w:color w:val="auto"/>
          <w:sz w:val="24"/>
          <w:lang w:eastAsia="zh-CN"/>
        </w:rPr>
        <w:t>用水量的</w:t>
      </w:r>
      <w:r>
        <w:rPr>
          <w:rFonts w:hint="default" w:ascii="Times New Roman" w:hAnsi="Times New Roman" w:cs="Times New Roman"/>
          <w:color w:val="auto"/>
          <w:sz w:val="24"/>
        </w:rPr>
        <w:t>80%计，生活污水排放量为2.9m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/d（725m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/a）。在生活区内修建污水处理设施，废水经处理达到《污水综合排放标准》（GB8978-1996）二级标准后，用于洒水降尘和绿化。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g">
            <w:drawing>
              <wp:anchor distT="0" distB="0" distL="114300" distR="114300" simplePos="0" relativeHeight="251671552" behindDoc="0" locked="0" layoutInCell="1" allowOverlap="1">
                <wp:simplePos x="0" y="0"/>
                <wp:positionH relativeFrom="column">
                  <wp:posOffset>295275</wp:posOffset>
                </wp:positionH>
                <wp:positionV relativeFrom="paragraph">
                  <wp:posOffset>49530</wp:posOffset>
                </wp:positionV>
                <wp:extent cx="4697095" cy="1490980"/>
                <wp:effectExtent l="9525" t="0" r="17780" b="13970"/>
                <wp:wrapNone/>
                <wp:docPr id="29" name="组合 1172"/>
                <wp:cNvGraphicFramePr/>
                <a:graphic xmlns:a="http://schemas.openxmlformats.org/drawingml/2006/main">
                  <a:graphicData uri="http://schemas.microsoft.com/office/word/2010/wordprocessingGroup">
                    <wpg:wgp>
                      <wpg:cNvGrpSpPr/>
                      <wpg:grpSpPr>
                        <a:xfrm>
                          <a:off x="0" y="0"/>
                          <a:ext cx="4697095" cy="1490980"/>
                          <a:chOff x="2400" y="1440"/>
                          <a:chExt cx="7397" cy="2348"/>
                        </a:xfrm>
                      </wpg:grpSpPr>
                      <wps:wsp>
                        <wps:cNvPr id="14" name="矩形 1039"/>
                        <wps:cNvSpPr/>
                        <wps:spPr>
                          <a:xfrm>
                            <a:off x="5005" y="1751"/>
                            <a:ext cx="1118" cy="414"/>
                          </a:xfrm>
                          <a:prstGeom prst="rect">
                            <a:avLst/>
                          </a:prstGeom>
                          <a:solidFill>
                            <a:srgbClr val="BDF7C6"/>
                          </a:solidFill>
                          <a:ln w="15875" cap="flat" cmpd="sng">
                            <a:solidFill>
                              <a:srgbClr val="000000"/>
                            </a:solidFill>
                            <a:prstDash val="dash"/>
                            <a:miter/>
                            <a:headEnd type="none" w="med" len="med"/>
                            <a:tailEnd type="none" w="med" len="med"/>
                          </a:ln>
                        </wps:spPr>
                        <wps:txbx>
                          <w:txbxContent>
                            <w:p>
                              <w:pPr>
                                <w:snapToGrid w:val="0"/>
                                <w:spacing w:line="320" w:lineRule="exact"/>
                                <w:jc w:val="center"/>
                                <w:rPr>
                                  <w:szCs w:val="21"/>
                                </w:rPr>
                              </w:pPr>
                              <w:r>
                                <w:rPr>
                                  <w:rFonts w:hint="eastAsia"/>
                                  <w:szCs w:val="21"/>
                                </w:rPr>
                                <w:t>消耗</w:t>
                              </w:r>
                            </w:p>
                          </w:txbxContent>
                        </wps:txbx>
                        <wps:bodyPr wrap="square" lIns="0" tIns="0" rIns="0" bIns="0" upright="1"/>
                      </wps:wsp>
                      <wpg:grpSp>
                        <wpg:cNvPr id="25" name="组合 1043"/>
                        <wpg:cNvGrpSpPr/>
                        <wpg:grpSpPr>
                          <a:xfrm>
                            <a:off x="2400" y="1988"/>
                            <a:ext cx="7397" cy="1800"/>
                            <a:chOff x="2194" y="4248"/>
                            <a:chExt cx="7397" cy="1800"/>
                          </a:xfrm>
                        </wpg:grpSpPr>
                        <wps:wsp>
                          <wps:cNvPr id="15" name="自选图形 1044"/>
                          <wps:cNvCnPr/>
                          <wps:spPr>
                            <a:xfrm>
                              <a:off x="3312" y="4965"/>
                              <a:ext cx="675" cy="0"/>
                            </a:xfrm>
                            <a:prstGeom prst="straightConnector1">
                              <a:avLst/>
                            </a:prstGeom>
                            <a:ln w="15875" cap="flat" cmpd="sng">
                              <a:solidFill>
                                <a:srgbClr val="000000"/>
                              </a:solidFill>
                              <a:prstDash val="solid"/>
                              <a:headEnd type="none" w="med" len="med"/>
                              <a:tailEnd type="triangle" w="med" len="med"/>
                            </a:ln>
                          </wps:spPr>
                          <wps:bodyPr/>
                        </wps:wsp>
                        <wps:wsp>
                          <wps:cNvPr id="16" name="自选图形 1045"/>
                          <wps:cNvCnPr/>
                          <wps:spPr>
                            <a:xfrm>
                              <a:off x="3987" y="4260"/>
                              <a:ext cx="0" cy="1395"/>
                            </a:xfrm>
                            <a:prstGeom prst="straightConnector1">
                              <a:avLst/>
                            </a:prstGeom>
                            <a:ln w="15875" cap="flat" cmpd="sng">
                              <a:solidFill>
                                <a:srgbClr val="000000"/>
                              </a:solidFill>
                              <a:prstDash val="solid"/>
                              <a:headEnd type="none" w="med" len="med"/>
                              <a:tailEnd type="none" w="med" len="med"/>
                            </a:ln>
                          </wps:spPr>
                          <wps:bodyPr/>
                        </wps:wsp>
                        <wps:wsp>
                          <wps:cNvPr id="17" name="自选图形 1046"/>
                          <wps:cNvCnPr/>
                          <wps:spPr>
                            <a:xfrm>
                              <a:off x="3987" y="4248"/>
                              <a:ext cx="675" cy="0"/>
                            </a:xfrm>
                            <a:prstGeom prst="straightConnector1">
                              <a:avLst/>
                            </a:prstGeom>
                            <a:ln w="15875" cap="flat" cmpd="sng">
                              <a:solidFill>
                                <a:srgbClr val="000000"/>
                              </a:solidFill>
                              <a:prstDash val="solid"/>
                              <a:headEnd type="none" w="med" len="med"/>
                              <a:tailEnd type="triangle" w="med" len="med"/>
                            </a:ln>
                          </wps:spPr>
                          <wps:bodyPr/>
                        </wps:wsp>
                        <wps:wsp>
                          <wps:cNvPr id="18" name="自选图形 1047"/>
                          <wps:cNvCnPr/>
                          <wps:spPr>
                            <a:xfrm>
                              <a:off x="3987" y="5652"/>
                              <a:ext cx="675" cy="0"/>
                            </a:xfrm>
                            <a:prstGeom prst="straightConnector1">
                              <a:avLst/>
                            </a:prstGeom>
                            <a:ln w="15875" cap="flat" cmpd="sng">
                              <a:solidFill>
                                <a:srgbClr val="000000"/>
                              </a:solidFill>
                              <a:prstDash val="solid"/>
                              <a:headEnd type="none" w="med" len="med"/>
                              <a:tailEnd type="triangle" w="med" len="med"/>
                            </a:ln>
                          </wps:spPr>
                          <wps:bodyPr/>
                        </wps:wsp>
                        <wps:wsp>
                          <wps:cNvPr id="19" name="矩形 1048"/>
                          <wps:cNvSpPr/>
                          <wps:spPr>
                            <a:xfrm>
                              <a:off x="2194" y="4716"/>
                              <a:ext cx="1118" cy="555"/>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napToGrid w:val="0"/>
                                  <w:spacing w:before="156" w:beforeLines="50" w:line="240" w:lineRule="exact"/>
                                  <w:jc w:val="center"/>
                                  <w:rPr>
                                    <w:szCs w:val="21"/>
                                  </w:rPr>
                                </w:pPr>
                                <w:r>
                                  <w:rPr>
                                    <w:rFonts w:hint="eastAsia"/>
                                    <w:szCs w:val="21"/>
                                  </w:rPr>
                                  <w:t>生活用水</w:t>
                                </w:r>
                              </w:p>
                            </w:txbxContent>
                          </wps:txbx>
                          <wps:bodyPr wrap="square" lIns="0" tIns="0" rIns="0" bIns="0" upright="1"/>
                        </wps:wsp>
                        <wps:wsp>
                          <wps:cNvPr id="20" name="矩形 1049"/>
                          <wps:cNvSpPr/>
                          <wps:spPr>
                            <a:xfrm>
                              <a:off x="4684" y="5460"/>
                              <a:ext cx="1118" cy="414"/>
                            </a:xfrm>
                            <a:prstGeom prst="rect">
                              <a:avLst/>
                            </a:prstGeom>
                            <a:solidFill>
                              <a:srgbClr val="BDF7C6"/>
                            </a:solidFill>
                            <a:ln w="15875" cap="flat" cmpd="sng">
                              <a:solidFill>
                                <a:srgbClr val="000000"/>
                              </a:solidFill>
                              <a:prstDash val="solid"/>
                              <a:miter/>
                              <a:headEnd type="none" w="med" len="med"/>
                              <a:tailEnd type="none" w="med" len="med"/>
                            </a:ln>
                          </wps:spPr>
                          <wps:txbx>
                            <w:txbxContent>
                              <w:p>
                                <w:pPr>
                                  <w:snapToGrid w:val="0"/>
                                  <w:spacing w:line="320" w:lineRule="exact"/>
                                  <w:jc w:val="center"/>
                                  <w:rPr>
                                    <w:szCs w:val="21"/>
                                  </w:rPr>
                                </w:pPr>
                                <w:r>
                                  <w:rPr>
                                    <w:rFonts w:hint="eastAsia"/>
                                    <w:szCs w:val="21"/>
                                  </w:rPr>
                                  <w:t>生活污水</w:t>
                                </w:r>
                              </w:p>
                            </w:txbxContent>
                          </wps:txbx>
                          <wps:bodyPr wrap="square" lIns="0" tIns="0" rIns="0" bIns="0" upright="1"/>
                        </wps:wsp>
                        <wps:wsp>
                          <wps:cNvPr id="21" name="自选图形 1050"/>
                          <wps:cNvCnPr/>
                          <wps:spPr>
                            <a:xfrm>
                              <a:off x="5827" y="5652"/>
                              <a:ext cx="675" cy="0"/>
                            </a:xfrm>
                            <a:prstGeom prst="straightConnector1">
                              <a:avLst/>
                            </a:prstGeom>
                            <a:ln w="15875" cap="flat" cmpd="sng">
                              <a:solidFill>
                                <a:srgbClr val="000000"/>
                              </a:solidFill>
                              <a:prstDash val="solid"/>
                              <a:headEnd type="none" w="med" len="med"/>
                              <a:tailEnd type="triangle" w="med" len="med"/>
                            </a:ln>
                          </wps:spPr>
                          <wps:bodyPr/>
                        </wps:wsp>
                        <wps:wsp>
                          <wps:cNvPr id="22" name="矩形 1051"/>
                          <wps:cNvSpPr/>
                          <wps:spPr>
                            <a:xfrm>
                              <a:off x="6514" y="5271"/>
                              <a:ext cx="1196" cy="777"/>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pacing w:before="156" w:beforeLines="50" w:line="240" w:lineRule="exact"/>
                                  <w:rPr>
                                    <w:sz w:val="18"/>
                                    <w:szCs w:val="18"/>
                                  </w:rPr>
                                </w:pPr>
                                <w:r>
                                  <w:rPr>
                                    <w:sz w:val="18"/>
                                    <w:szCs w:val="18"/>
                                  </w:rPr>
                                  <w:t>地埋式一体污水处理设施</w:t>
                                </w:r>
                              </w:p>
                            </w:txbxContent>
                          </wps:txbx>
                          <wps:bodyPr wrap="square" lIns="0" tIns="0" rIns="0" bIns="0" upright="1"/>
                        </wps:wsp>
                        <wps:wsp>
                          <wps:cNvPr id="23" name="自选图形 1052"/>
                          <wps:cNvCnPr/>
                          <wps:spPr>
                            <a:xfrm>
                              <a:off x="7719" y="5652"/>
                              <a:ext cx="675" cy="0"/>
                            </a:xfrm>
                            <a:prstGeom prst="straightConnector1">
                              <a:avLst/>
                            </a:prstGeom>
                            <a:ln w="15875" cap="flat" cmpd="sng">
                              <a:solidFill>
                                <a:srgbClr val="000000"/>
                              </a:solidFill>
                              <a:prstDash val="solid"/>
                              <a:headEnd type="none" w="med" len="med"/>
                              <a:tailEnd type="triangle" w="med" len="med"/>
                            </a:ln>
                          </wps:spPr>
                          <wps:bodyPr/>
                        </wps:wsp>
                        <wps:wsp>
                          <wps:cNvPr id="24" name="矩形 1053"/>
                          <wps:cNvSpPr/>
                          <wps:spPr>
                            <a:xfrm>
                              <a:off x="8395" y="5271"/>
                              <a:ext cx="1196" cy="777"/>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napToGrid w:val="0"/>
                                  <w:spacing w:before="156" w:beforeLines="50"/>
                                  <w:jc w:val="center"/>
                                  <w:rPr>
                                    <w:szCs w:val="21"/>
                                  </w:rPr>
                                </w:pPr>
                                <w:r>
                                  <w:rPr>
                                    <w:rFonts w:hint="eastAsia"/>
                                    <w:szCs w:val="21"/>
                                  </w:rPr>
                                  <w:t>矿区绿化、道路洒水</w:t>
                                </w:r>
                              </w:p>
                            </w:txbxContent>
                          </wps:txbx>
                          <wps:bodyPr wrap="square" lIns="0" tIns="0" rIns="0" bIns="0" upright="1"/>
                        </wps:wsp>
                      </wpg:grpSp>
                      <wps:wsp>
                        <wps:cNvPr id="26" name="矩形 1054"/>
                        <wps:cNvSpPr/>
                        <wps:spPr>
                          <a:xfrm>
                            <a:off x="4238" y="1440"/>
                            <a:ext cx="503" cy="403"/>
                          </a:xfrm>
                          <a:prstGeom prst="rect">
                            <a:avLst/>
                          </a:prstGeom>
                          <a:solidFill>
                            <a:srgbClr val="BDF7C6"/>
                          </a:solidFill>
                          <a:ln w="15875">
                            <a:noFill/>
                          </a:ln>
                        </wps:spPr>
                        <wps:txbx>
                          <w:txbxContent>
                            <w:p>
                              <w:pPr>
                                <w:rPr>
                                  <w:rFonts w:hint="eastAsia"/>
                                </w:rPr>
                              </w:pPr>
                              <w:r>
                                <w:rPr>
                                  <w:rFonts w:hint="eastAsia"/>
                                </w:rPr>
                                <w:t>0.67</w:t>
                              </w:r>
                            </w:p>
                          </w:txbxContent>
                        </wps:txbx>
                        <wps:bodyPr wrap="square" lIns="0" tIns="0" rIns="0" bIns="0" upright="1"/>
                      </wps:wsp>
                      <wps:wsp>
                        <wps:cNvPr id="27" name="矩形 1055"/>
                        <wps:cNvSpPr/>
                        <wps:spPr>
                          <a:xfrm>
                            <a:off x="3637" y="2376"/>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3.57</w:t>
                              </w:r>
                            </w:p>
                          </w:txbxContent>
                        </wps:txbx>
                        <wps:bodyPr wrap="square" lIns="0" tIns="0" rIns="0" bIns="0" upright="1"/>
                      </wps:wsp>
                      <wps:wsp>
                        <wps:cNvPr id="28" name="矩形 1054"/>
                        <wps:cNvSpPr/>
                        <wps:spPr>
                          <a:xfrm>
                            <a:off x="4320" y="3006"/>
                            <a:ext cx="503" cy="312"/>
                          </a:xfrm>
                          <a:prstGeom prst="rect">
                            <a:avLst/>
                          </a:prstGeom>
                          <a:solidFill>
                            <a:srgbClr val="BDF7C6"/>
                          </a:solidFill>
                          <a:ln w="15875">
                            <a:noFill/>
                          </a:ln>
                        </wps:spPr>
                        <wps:txbx>
                          <w:txbxContent>
                            <w:p>
                              <w:pPr>
                                <w:rPr>
                                  <w:rFonts w:hint="eastAsia"/>
                                </w:rPr>
                              </w:pPr>
                              <w:r>
                                <w:rPr>
                                  <w:rFonts w:hint="eastAsia"/>
                                </w:rPr>
                                <w:t>2.9</w:t>
                              </w:r>
                            </w:p>
                          </w:txbxContent>
                        </wps:txbx>
                        <wps:bodyPr wrap="square" lIns="0" tIns="0" rIns="0" bIns="0" upright="1"/>
                      </wps:wsp>
                    </wpg:wgp>
                  </a:graphicData>
                </a:graphic>
              </wp:anchor>
            </w:drawing>
          </mc:Choice>
          <mc:Fallback>
            <w:pict>
              <v:group id="组合 1172" o:spid="_x0000_s1026" o:spt="203" style="position:absolute;left:0pt;margin-left:23.25pt;margin-top:3.9pt;height:117.4pt;width:369.85pt;z-index:251671552;mso-width-relative:page;mso-height-relative:page;" coordorigin="2400,1440" coordsize="7397,2348" o:gfxdata="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Ae7sl3ZAAAACAEAAA8AAAAAAAAAAQAgAAAAIgAAAGRycy9kb3du&#10;cmV2LnhtbFBLAQIUABQAAAAIAIdO4kB5bGgO4wQAAEUiAAAOAAAAAAAAAAEAIAAAACgBAABkcnMv&#10;ZTJvRG9jLnhtbFBLBQYAAAAABgAGAFkBAAB9CAAAAAA=&#10;">
                <o:lock v:ext="edit" aspectratio="f"/>
                <v:rect id="矩形 1039" o:spid="_x0000_s1026" o:spt="1" style="position:absolute;left:5005;top:1751;height:414;width:1118;" fillcolor="#BDF7C6" filled="t" stroked="t" coordsize="21600,21600" o:gfxdata="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vRAG5AAAA2wAA&#10;AA8AAAAAAAAAAQAgAAAAIgAAAGRycy9kb3ducmV2LnhtbFBLAQIUABQAAAAIAIdO4kAzLwWeOwAA&#10;ADkAAAAQAAAAAAAAAAEAIAAAAAgBAABkcnMvc2hhcGV4bWwueG1sUEsFBgAAAAAGAAYAWwEAALID&#10;AAAAAA==&#10;">
                  <v:fill on="t" focussize="0,0"/>
                  <v:stroke weight="1.25pt" color="#000000" joinstyle="miter" dashstyle="dash"/>
                  <v:imagedata o:title=""/>
                  <o:lock v:ext="edit" aspectratio="f"/>
                  <v:textbox inset="0mm,0mm,0mm,0mm">
                    <w:txbxContent>
                      <w:p>
                        <w:pPr>
                          <w:snapToGrid w:val="0"/>
                          <w:spacing w:line="320" w:lineRule="exact"/>
                          <w:jc w:val="center"/>
                          <w:rPr>
                            <w:szCs w:val="21"/>
                          </w:rPr>
                        </w:pPr>
                        <w:r>
                          <w:rPr>
                            <w:rFonts w:hint="eastAsia"/>
                            <w:szCs w:val="21"/>
                          </w:rPr>
                          <w:t>消耗</w:t>
                        </w:r>
                      </w:p>
                    </w:txbxContent>
                  </v:textbox>
                </v:rect>
                <v:group id="组合 1043" o:spid="_x0000_s1026" o:spt="203" style="position:absolute;left:2400;top:1988;height:1800;width:7397;" coordorigin="2194,4248" coordsize="7397,180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自选图形 1044" o:spid="_x0000_s1026" o:spt="32" type="#_x0000_t32" style="position:absolute;left:3312;top:4965;height:0;width:675;" filled="f" stroked="t" coordsize="21600,21600" o:gfxdata="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zXe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自选图形 1045" o:spid="_x0000_s1026" o:spt="32" type="#_x0000_t32" style="position:absolute;left:3987;top:4260;height:1395;width:0;" filled="f" stroked="t" coordsize="21600,21600" o:gfxdata="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iso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shape>
                  <v:shape id="自选图形 1046" o:spid="_x0000_s1026" o:spt="32" type="#_x0000_t32" style="position:absolute;left:3987;top:4248;height:0;width:675;" filled="f" stroked="t" coordsize="21600,21600" o:gfxdata="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Lsl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自选图形 1047" o:spid="_x0000_s1026" o:spt="32" type="#_x0000_t32" style="position:absolute;left:3987;top:5652;height:0;width:675;" filled="f" stroked="t" coordsize="21600,21600" o:gfxdata="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1457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rect id="矩形 1048" o:spid="_x0000_s1026" o:spt="1" style="position:absolute;left:2194;top:4716;height:555;width:1118;" fillcolor="#BDF7C6" filled="t" stroked="t" coordsize="21600,21600" o:gfxdata="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shJftwAAANsAAAAP&#10;AAAAAAAAAAEAIAAAACIAAABkcnMvZG93bnJldi54bWxQSwECFAAUAAAACACHTuJAMy8FnjsAAAA5&#10;AAAAEAAAAAAAAAABACAAAAAGAQAAZHJzL3NoYXBleG1sLnhtbFBLBQYAAAAABgAGAFsBAACwAwAA&#10;AAA=&#10;">
                    <v:fill on="t" focussize="0,0"/>
                    <v:stroke weight="1.5pt" color="#000000" joinstyle="miter"/>
                    <v:imagedata o:title=""/>
                    <o:lock v:ext="edit" aspectratio="f"/>
                    <v:textbox inset="0mm,0mm,0mm,0mm">
                      <w:txbxContent>
                        <w:p>
                          <w:pPr>
                            <w:snapToGrid w:val="0"/>
                            <w:spacing w:before="156" w:beforeLines="50" w:line="240" w:lineRule="exact"/>
                            <w:jc w:val="center"/>
                            <w:rPr>
                              <w:szCs w:val="21"/>
                            </w:rPr>
                          </w:pPr>
                          <w:r>
                            <w:rPr>
                              <w:rFonts w:hint="eastAsia"/>
                              <w:szCs w:val="21"/>
                            </w:rPr>
                            <w:t>生活用水</w:t>
                          </w:r>
                        </w:p>
                      </w:txbxContent>
                    </v:textbox>
                  </v:rect>
                  <v:rect id="矩形 1049" o:spid="_x0000_s1026" o:spt="1" style="position:absolute;left:4684;top:5460;height:414;width:1118;" fillcolor="#BDF7C6" filled="t" stroked="t" coordsize="21600,21600" o:gfxdata="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HTpztwAAANsAAAAP&#10;AAAAAAAAAAEAIAAAACIAAABkcnMvZG93bnJldi54bWxQSwECFAAUAAAACACHTuJAMy8FnjsAAAA5&#10;AAAAEAAAAAAAAAABACAAAAAGAQAAZHJzL3NoYXBleG1sLnhtbFBLBQYAAAAABgAGAFsBAACwAwAA&#10;AAA=&#10;">
                    <v:fill on="t" focussize="0,0"/>
                    <v:stroke weight="1.25pt" color="#000000" joinstyle="miter"/>
                    <v:imagedata o:title=""/>
                    <o:lock v:ext="edit" aspectratio="f"/>
                    <v:textbox inset="0mm,0mm,0mm,0mm">
                      <w:txbxContent>
                        <w:p>
                          <w:pPr>
                            <w:snapToGrid w:val="0"/>
                            <w:spacing w:line="320" w:lineRule="exact"/>
                            <w:jc w:val="center"/>
                            <w:rPr>
                              <w:szCs w:val="21"/>
                            </w:rPr>
                          </w:pPr>
                          <w:r>
                            <w:rPr>
                              <w:rFonts w:hint="eastAsia"/>
                              <w:szCs w:val="21"/>
                            </w:rPr>
                            <w:t>生活污水</w:t>
                          </w:r>
                        </w:p>
                      </w:txbxContent>
                    </v:textbox>
                  </v:rect>
                  <v:shape id="自选图形 1050" o:spid="_x0000_s1026" o:spt="32" type="#_x0000_t32" style="position:absolute;left:5827;top:5652;height:0;width:675;" filled="f" stroked="t" coordsize="21600,21600" o:gfxdata="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sbx7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rect id="矩形 1051" o:spid="_x0000_s1026" o:spt="1" style="position:absolute;left:6514;top:5271;height:777;width:1196;" fillcolor="#BDF7C6" filled="t" stroked="t" coordsize="21600,21600" o:gfxdata="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kqT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mm,0mm,0mm,0mm">
                      <w:txbxContent>
                        <w:p>
                          <w:pPr>
                            <w:spacing w:before="156" w:beforeLines="50" w:line="240" w:lineRule="exact"/>
                            <w:rPr>
                              <w:sz w:val="18"/>
                              <w:szCs w:val="18"/>
                            </w:rPr>
                          </w:pPr>
                          <w:r>
                            <w:rPr>
                              <w:sz w:val="18"/>
                              <w:szCs w:val="18"/>
                            </w:rPr>
                            <w:t>地埋式一体污水处理设施</w:t>
                          </w:r>
                        </w:p>
                      </w:txbxContent>
                    </v:textbox>
                  </v:rect>
                  <v:shape id="自选图形 1052" o:spid="_x0000_s1026" o:spt="32" type="#_x0000_t32" style="position:absolute;left:7719;top:5652;height:0;width:675;" filled="f" stroked="t" coordsize="21600,21600" o:gfxdata="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SA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rect id="矩形 1053" o:spid="_x0000_s1026" o:spt="1" style="position:absolute;left:8395;top:5271;height:777;width:1196;" fillcolor="#BDF7C6" filled="t" stroked="t" coordsize="21600,21600" o:gfxdata="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33d8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mm,0mm,0mm,0mm">
                      <w:txbxContent>
                        <w:p>
                          <w:pPr>
                            <w:snapToGrid w:val="0"/>
                            <w:spacing w:before="156" w:beforeLines="50"/>
                            <w:jc w:val="center"/>
                            <w:rPr>
                              <w:szCs w:val="21"/>
                            </w:rPr>
                          </w:pPr>
                          <w:r>
                            <w:rPr>
                              <w:rFonts w:hint="eastAsia"/>
                              <w:szCs w:val="21"/>
                            </w:rPr>
                            <w:t>矿区绿化、道路洒水</w:t>
                          </w:r>
                        </w:p>
                      </w:txbxContent>
                    </v:textbox>
                  </v:rect>
                </v:group>
                <v:rect id="矩形 1054" o:spid="_x0000_s1026" o:spt="1" style="position:absolute;left:4238;top:1440;height:403;width:503;" fillcolor="#BDF7C6" filled="t" stroked="f" coordsize="21600,21600" o:gfxdata="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a4yr4A&#10;AADbAAAADwAAAAAAAAABACAAAAAiAAAAZHJzL2Rvd25yZXYueG1sUEsBAhQAFAAAAAgAh07iQDMv&#10;BZ47AAAAOQAAABAAAAAAAAAAAQAgAAAADQEAAGRycy9zaGFwZXhtbC54bWxQSwUGAAAAAAYABgBb&#10;AQAAtwMAAAAA&#10;">
                  <v:fill on="t" focussize="0,0"/>
                  <v:stroke on="f" weight="1.25pt"/>
                  <v:imagedata o:title=""/>
                  <o:lock v:ext="edit" aspectratio="f"/>
                  <v:textbox inset="0mm,0mm,0mm,0mm">
                    <w:txbxContent>
                      <w:p>
                        <w:pPr>
                          <w:rPr>
                            <w:rFonts w:hint="eastAsia"/>
                          </w:rPr>
                        </w:pPr>
                        <w:r>
                          <w:rPr>
                            <w:rFonts w:hint="eastAsia"/>
                          </w:rPr>
                          <w:t>0.67</w:t>
                        </w:r>
                      </w:p>
                    </w:txbxContent>
                  </v:textbox>
                </v:rect>
                <v:rect id="矩形 1055" o:spid="_x0000_s1026" o:spt="1" style="position:absolute;left:3637;top:2376;height:222;width:503;" fillcolor="#BDF7C6" filled="t" stroked="f" coordsize="21600,21600" o:gfxdata="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h1RvQAA&#10;ANsAAAAPAAAAAAAAAAEAIAAAACIAAABkcnMvZG93bnJldi54bWxQSwECFAAUAAAACACHTuJAMy8F&#10;njsAAAA5AAAAEAAAAAAAAAABACAAAAAMAQAAZHJzL3NoYXBleG1sLnhtbFBLBQYAAAAABgAGAFsB&#10;AAC2Aw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3.57</w:t>
                        </w:r>
                      </w:p>
                    </w:txbxContent>
                  </v:textbox>
                </v:rect>
                <v:rect id="矩形 1054" o:spid="_x0000_s1026" o:spt="1" style="position:absolute;left:4320;top:3006;height:312;width:503;" fillcolor="#BDF7C6" filled="t" stroked="f" coordsize="21600,21600" o:gfxdata="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MWJI7gAAADbAAAA&#10;DwAAAAAAAAABACAAAAAiAAAAZHJzL2Rvd25yZXYueG1sUEsBAhQAFAAAAAgAh07iQDMvBZ47AAAA&#10;OQAAABAAAAAAAAAAAQAgAAAABwEAAGRycy9zaGFwZXhtbC54bWxQSwUGAAAAAAYABgBbAQAAsQMA&#10;AAAA&#10;">
                  <v:fill on="t" focussize="0,0"/>
                  <v:stroke on="f" weight="1.25pt"/>
                  <v:imagedata o:title=""/>
                  <o:lock v:ext="edit" aspectratio="f"/>
                  <v:textbox inset="0mm,0mm,0mm,0mm">
                    <w:txbxContent>
                      <w:p>
                        <w:pPr>
                          <w:rPr>
                            <w:rFonts w:hint="eastAsia"/>
                          </w:rPr>
                        </w:pPr>
                        <w:r>
                          <w:rPr>
                            <w:rFonts w:hint="eastAsia"/>
                          </w:rPr>
                          <w:t>2.9</w:t>
                        </w:r>
                      </w:p>
                    </w:txbxContent>
                  </v:textbox>
                </v:rect>
              </v:group>
            </w:pict>
          </mc:Fallback>
        </mc:AlternateConten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rPr>
          <w:rFonts w:hint="default" w:ascii="Times New Roman" w:hAnsi="Times New Roman" w:cs="Times New Roman"/>
          <w:color w:val="auto"/>
          <w:sz w:val="24"/>
        </w:rPr>
      </w:pPr>
      <w:r>
        <w:rPr>
          <w:rFonts w:hint="default" w:ascii="Times New Roman" w:hAnsi="Times New Roman" w:cs="Times New Roman"/>
          <w:color w:val="auto"/>
          <w:lang/>
        </w:rPr>
        <mc:AlternateContent>
          <mc:Choice Requires="wpg">
            <w:drawing>
              <wp:anchor distT="0" distB="0" distL="114300" distR="114300" simplePos="0" relativeHeight="251672576" behindDoc="0" locked="0" layoutInCell="1" allowOverlap="1">
                <wp:simplePos x="0" y="0"/>
                <wp:positionH relativeFrom="column">
                  <wp:posOffset>234950</wp:posOffset>
                </wp:positionH>
                <wp:positionV relativeFrom="paragraph">
                  <wp:posOffset>-76200</wp:posOffset>
                </wp:positionV>
                <wp:extent cx="4784725" cy="1649730"/>
                <wp:effectExtent l="9525" t="0" r="25400" b="26670"/>
                <wp:wrapNone/>
                <wp:docPr id="57" name="组合 1173"/>
                <wp:cNvGraphicFramePr/>
                <a:graphic xmlns:a="http://schemas.openxmlformats.org/drawingml/2006/main">
                  <a:graphicData uri="http://schemas.microsoft.com/office/word/2010/wordprocessingGroup">
                    <wpg:wgp>
                      <wpg:cNvGrpSpPr/>
                      <wpg:grpSpPr>
                        <a:xfrm>
                          <a:off x="0" y="0"/>
                          <a:ext cx="4784725" cy="1649730"/>
                          <a:chOff x="2365" y="4092"/>
                          <a:chExt cx="7535" cy="2598"/>
                        </a:xfrm>
                      </wpg:grpSpPr>
                      <wps:wsp>
                        <wps:cNvPr id="30" name="矩形 1057"/>
                        <wps:cNvSpPr/>
                        <wps:spPr>
                          <a:xfrm>
                            <a:off x="8464" y="4878"/>
                            <a:ext cx="1436" cy="663"/>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pacing w:before="156" w:beforeLines="50"/>
                                <w:ind w:left="105" w:leftChars="50" w:firstLine="105" w:firstLineChars="50"/>
                                <w:jc w:val="left"/>
                              </w:pPr>
                              <w:r>
                                <w:rPr>
                                  <w:rFonts w:hint="eastAsia"/>
                                </w:rPr>
                                <w:t>蒸发或损失</w:t>
                              </w:r>
                            </w:p>
                          </w:txbxContent>
                        </wps:txbx>
                        <wps:bodyPr vert="horz" wrap="square" lIns="0" tIns="0" rIns="0" bIns="0" anchor="t" upright="1"/>
                      </wps:wsp>
                      <wps:wsp>
                        <wps:cNvPr id="31" name="矩形 1061"/>
                        <wps:cNvSpPr/>
                        <wps:spPr>
                          <a:xfrm>
                            <a:off x="6120" y="4248"/>
                            <a:ext cx="1118" cy="414"/>
                          </a:xfrm>
                          <a:prstGeom prst="rect">
                            <a:avLst/>
                          </a:prstGeom>
                          <a:solidFill>
                            <a:srgbClr val="BDF7C6"/>
                          </a:solidFill>
                          <a:ln w="15875" cap="flat" cmpd="sng">
                            <a:solidFill>
                              <a:srgbClr val="000000"/>
                            </a:solidFill>
                            <a:prstDash val="solid"/>
                            <a:miter/>
                            <a:headEnd type="none" w="med" len="med"/>
                            <a:tailEnd type="none" w="med" len="med"/>
                          </a:ln>
                        </wps:spPr>
                        <wps:txbx>
                          <w:txbxContent>
                            <w:p>
                              <w:pPr>
                                <w:snapToGrid w:val="0"/>
                                <w:spacing w:line="320" w:lineRule="exact"/>
                                <w:jc w:val="center"/>
                                <w:rPr>
                                  <w:szCs w:val="21"/>
                                </w:rPr>
                              </w:pPr>
                              <w:r>
                                <w:rPr>
                                  <w:rFonts w:hint="eastAsia"/>
                                  <w:szCs w:val="21"/>
                                </w:rPr>
                                <w:t>井下用水</w:t>
                              </w:r>
                            </w:p>
                          </w:txbxContent>
                        </wps:txbx>
                        <wps:bodyPr vert="horz" wrap="square" lIns="0" tIns="0" rIns="0" bIns="0" anchor="t" upright="1"/>
                      </wps:wsp>
                      <wpg:grpSp>
                        <wpg:cNvPr id="37" name="组合 1076"/>
                        <wpg:cNvGrpSpPr/>
                        <wpg:grpSpPr>
                          <a:xfrm>
                            <a:off x="2365" y="5128"/>
                            <a:ext cx="3496" cy="1263"/>
                            <a:chOff x="2032" y="7368"/>
                            <a:chExt cx="3496" cy="1263"/>
                          </a:xfrm>
                        </wpg:grpSpPr>
                        <wps:wsp>
                          <wps:cNvPr id="32" name="矩形 1077"/>
                          <wps:cNvSpPr/>
                          <wps:spPr>
                            <a:xfrm>
                              <a:off x="3225" y="7368"/>
                              <a:ext cx="503" cy="222"/>
                            </a:xfrm>
                            <a:prstGeom prst="rect">
                              <a:avLst/>
                            </a:prstGeom>
                            <a:solidFill>
                              <a:srgbClr val="BDF7C6"/>
                            </a:solidFill>
                            <a:ln w="15875">
                              <a:noFill/>
                            </a:ln>
                          </wps:spPr>
                          <wps:txbx>
                            <w:txbxContent>
                              <w:p>
                                <w:pPr>
                                  <w:rPr>
                                    <w:rFonts w:hint="eastAsia"/>
                                    <w:szCs w:val="21"/>
                                  </w:rPr>
                                </w:pPr>
                                <w:r>
                                  <w:rPr>
                                    <w:rFonts w:hint="eastAsia"/>
                                    <w:szCs w:val="21"/>
                                  </w:rPr>
                                  <w:t>50</w:t>
                                </w:r>
                              </w:p>
                            </w:txbxContent>
                          </wps:txbx>
                          <wps:bodyPr vert="horz" wrap="square" lIns="0" tIns="0" rIns="0" bIns="0" anchor="t" upright="1"/>
                        </wps:wsp>
                        <wpg:grpSp>
                          <wpg:cNvPr id="36" name="组合 1078"/>
                          <wpg:cNvGrpSpPr/>
                          <wpg:grpSpPr>
                            <a:xfrm>
                              <a:off x="2032" y="7539"/>
                              <a:ext cx="3496" cy="1092"/>
                              <a:chOff x="2032" y="7539"/>
                              <a:chExt cx="3496" cy="1092"/>
                            </a:xfrm>
                          </wpg:grpSpPr>
                          <wps:wsp>
                            <wps:cNvPr id="33" name="自选图形 1079"/>
                            <wps:cNvCnPr>
                              <a:endCxn id="35" idx="1"/>
                            </wps:cNvCnPr>
                            <wps:spPr>
                              <a:xfrm>
                                <a:off x="3150" y="7788"/>
                                <a:ext cx="675" cy="0"/>
                              </a:xfrm>
                              <a:prstGeom prst="straightConnector1">
                                <a:avLst/>
                              </a:prstGeom>
                              <a:ln w="15875" cap="flat" cmpd="sng">
                                <a:solidFill>
                                  <a:srgbClr val="000000"/>
                                </a:solidFill>
                                <a:prstDash val="solid"/>
                                <a:headEnd type="none" w="med" len="med"/>
                                <a:tailEnd type="triangle" w="med" len="med"/>
                              </a:ln>
                            </wps:spPr>
                            <wps:bodyPr/>
                          </wps:wsp>
                          <wps:wsp>
                            <wps:cNvPr id="34" name="矩形 1080"/>
                            <wps:cNvSpPr/>
                            <wps:spPr>
                              <a:xfrm>
                                <a:off x="2032" y="7539"/>
                                <a:ext cx="1118" cy="555"/>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napToGrid w:val="0"/>
                                    <w:spacing w:before="156" w:beforeLines="50" w:after="156" w:afterLines="50" w:line="240" w:lineRule="exact"/>
                                    <w:jc w:val="center"/>
                                    <w:rPr>
                                      <w:rFonts w:hint="eastAsia"/>
                                      <w:szCs w:val="21"/>
                                    </w:rPr>
                                  </w:pPr>
                                  <w:r>
                                    <w:rPr>
                                      <w:rFonts w:hint="eastAsia"/>
                                      <w:szCs w:val="21"/>
                                    </w:rPr>
                                    <w:t>矿井涌水</w:t>
                                  </w:r>
                                </w:p>
                                <w:p>
                                  <w:pPr>
                                    <w:snapToGrid w:val="0"/>
                                    <w:spacing w:line="240" w:lineRule="exact"/>
                                    <w:rPr>
                                      <w:szCs w:val="21"/>
                                    </w:rPr>
                                  </w:pPr>
                                </w:p>
                              </w:txbxContent>
                            </wps:txbx>
                            <wps:bodyPr vert="horz" wrap="square" lIns="0" tIns="0" rIns="0" bIns="0" anchor="t" upright="1"/>
                          </wps:wsp>
                          <wps:wsp>
                            <wps:cNvPr id="35" name="矩形 1081"/>
                            <wps:cNvSpPr/>
                            <wps:spPr>
                              <a:xfrm>
                                <a:off x="5025" y="8409"/>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3</w:t>
                                  </w:r>
                                </w:p>
                              </w:txbxContent>
                            </wps:txbx>
                            <wps:bodyPr vert="horz" wrap="square" lIns="0" tIns="0" rIns="0" bIns="0" anchor="t" upright="1"/>
                          </wps:wsp>
                        </wpg:grpSp>
                      </wpg:grpSp>
                      <wps:wsp>
                        <wps:cNvPr id="38" name="矩形 1059"/>
                        <wps:cNvSpPr/>
                        <wps:spPr>
                          <a:xfrm>
                            <a:off x="4177" y="4530"/>
                            <a:ext cx="506" cy="1795"/>
                          </a:xfrm>
                          <a:prstGeom prst="rect">
                            <a:avLst/>
                          </a:prstGeom>
                          <a:solidFill>
                            <a:srgbClr val="BDF7C6"/>
                          </a:solidFill>
                          <a:ln w="19050" cap="flat" cmpd="sng">
                            <a:solidFill>
                              <a:srgbClr val="000000"/>
                            </a:solidFill>
                            <a:prstDash val="solid"/>
                            <a:miter/>
                            <a:headEnd type="none" w="med" len="med"/>
                            <a:tailEnd type="none" w="med" len="med"/>
                          </a:ln>
                        </wps:spPr>
                        <wps:txbx>
                          <w:txbxContent>
                            <w:p>
                              <w:pPr>
                                <w:snapToGrid w:val="0"/>
                                <w:jc w:val="center"/>
                                <w:rPr>
                                  <w:rFonts w:hint="eastAsia"/>
                                  <w:szCs w:val="21"/>
                                </w:rPr>
                              </w:pPr>
                            </w:p>
                            <w:p>
                              <w:pPr>
                                <w:snapToGrid w:val="0"/>
                                <w:jc w:val="center"/>
                                <w:rPr>
                                  <w:rFonts w:hint="eastAsia"/>
                                  <w:szCs w:val="21"/>
                                </w:rPr>
                              </w:pPr>
                              <w:r>
                                <w:rPr>
                                  <w:rFonts w:hint="eastAsia"/>
                                  <w:szCs w:val="21"/>
                                </w:rPr>
                                <w:t>高</w:t>
                              </w:r>
                            </w:p>
                            <w:p>
                              <w:pPr>
                                <w:snapToGrid w:val="0"/>
                                <w:jc w:val="center"/>
                                <w:rPr>
                                  <w:rFonts w:hint="eastAsia"/>
                                  <w:szCs w:val="21"/>
                                </w:rPr>
                              </w:pPr>
                              <w:r>
                                <w:rPr>
                                  <w:rFonts w:hint="eastAsia"/>
                                  <w:szCs w:val="21"/>
                                </w:rPr>
                                <w:t>位</w:t>
                              </w:r>
                            </w:p>
                            <w:p>
                              <w:pPr>
                                <w:snapToGrid w:val="0"/>
                                <w:jc w:val="center"/>
                                <w:rPr>
                                  <w:rFonts w:hint="eastAsia"/>
                                  <w:szCs w:val="21"/>
                                </w:rPr>
                              </w:pPr>
                              <w:r>
                                <w:rPr>
                                  <w:rFonts w:hint="eastAsia"/>
                                  <w:szCs w:val="21"/>
                                </w:rPr>
                                <w:t>水</w:t>
                              </w:r>
                            </w:p>
                            <w:p>
                              <w:pPr>
                                <w:snapToGrid w:val="0"/>
                                <w:jc w:val="center"/>
                                <w:rPr>
                                  <w:szCs w:val="21"/>
                                </w:rPr>
                              </w:pPr>
                              <w:r>
                                <w:rPr>
                                  <w:rFonts w:hint="eastAsia"/>
                                  <w:szCs w:val="21"/>
                                </w:rPr>
                                <w:t>池</w:t>
                              </w:r>
                            </w:p>
                          </w:txbxContent>
                        </wps:txbx>
                        <wps:bodyPr vert="horz" wrap="square" lIns="0" tIns="0" rIns="0" bIns="0" anchor="t" upright="1"/>
                      </wps:wsp>
                      <wps:wsp>
                        <wps:cNvPr id="39" name="矩形 1072"/>
                        <wps:cNvSpPr/>
                        <wps:spPr>
                          <a:xfrm>
                            <a:off x="5400" y="4092"/>
                            <a:ext cx="503" cy="31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45</w:t>
                              </w:r>
                            </w:p>
                            <w:p/>
                          </w:txbxContent>
                        </wps:txbx>
                        <wps:bodyPr vert="horz" wrap="square" lIns="0" tIns="0" rIns="0" bIns="0" anchor="t" upright="1"/>
                      </wps:wsp>
                      <wps:wsp>
                        <wps:cNvPr id="40" name="矩形 1072"/>
                        <wps:cNvSpPr/>
                        <wps:spPr>
                          <a:xfrm>
                            <a:off x="7740" y="5964"/>
                            <a:ext cx="503" cy="222"/>
                          </a:xfrm>
                          <a:prstGeom prst="rect">
                            <a:avLst/>
                          </a:prstGeom>
                          <a:solidFill>
                            <a:srgbClr val="BDF7C6"/>
                          </a:solidFill>
                          <a:ln w="15875">
                            <a:noFill/>
                          </a:ln>
                        </wps:spPr>
                        <wps:txbx>
                          <w:txbxContent>
                            <w:p>
                              <w:pPr>
                                <w:snapToGrid w:val="0"/>
                                <w:spacing w:line="240" w:lineRule="exact"/>
                                <w:ind w:firstLine="210" w:firstLineChars="100"/>
                                <w:rPr>
                                  <w:rFonts w:hint="eastAsia"/>
                                  <w:szCs w:val="21"/>
                                </w:rPr>
                              </w:pPr>
                              <w:r>
                                <w:rPr>
                                  <w:rFonts w:hint="eastAsia"/>
                                  <w:szCs w:val="21"/>
                                </w:rPr>
                                <w:t>3</w:t>
                              </w:r>
                            </w:p>
                          </w:txbxContent>
                        </wps:txbx>
                        <wps:bodyPr vert="horz" wrap="square" lIns="0" tIns="0" rIns="0" bIns="0" anchor="t" upright="1"/>
                      </wps:wsp>
                      <wps:wsp>
                        <wps:cNvPr id="41" name="矩形 1062"/>
                        <wps:cNvSpPr/>
                        <wps:spPr>
                          <a:xfrm>
                            <a:off x="6082" y="5003"/>
                            <a:ext cx="1118" cy="499"/>
                          </a:xfrm>
                          <a:prstGeom prst="rect">
                            <a:avLst/>
                          </a:prstGeom>
                          <a:solidFill>
                            <a:srgbClr val="BDF7C6"/>
                          </a:solidFill>
                          <a:ln w="15875" cap="flat" cmpd="sng">
                            <a:solidFill>
                              <a:srgbClr val="000000"/>
                            </a:solidFill>
                            <a:prstDash val="solid"/>
                            <a:miter/>
                            <a:headEnd type="none" w="med" len="med"/>
                            <a:tailEnd type="none" w="med" len="med"/>
                          </a:ln>
                        </wps:spPr>
                        <wps:txbx>
                          <w:txbxContent>
                            <w:p>
                              <w:pPr>
                                <w:snapToGrid w:val="0"/>
                                <w:spacing w:line="240" w:lineRule="exact"/>
                                <w:jc w:val="center"/>
                                <w:rPr>
                                  <w:szCs w:val="21"/>
                                </w:rPr>
                              </w:pPr>
                              <w:r>
                                <w:rPr>
                                  <w:rFonts w:hint="eastAsia"/>
                                  <w:szCs w:val="21"/>
                                </w:rPr>
                                <w:t>道路洒水、矿区绿化</w:t>
                              </w:r>
                            </w:p>
                          </w:txbxContent>
                        </wps:txbx>
                        <wps:bodyPr vert="horz" wrap="square" lIns="0" tIns="0" rIns="0" bIns="0" anchor="t" upright="1"/>
                      </wps:wsp>
                      <wps:wsp>
                        <wps:cNvPr id="42" name="矩形 1063"/>
                        <wps:cNvSpPr/>
                        <wps:spPr>
                          <a:xfrm>
                            <a:off x="6120" y="5783"/>
                            <a:ext cx="1358" cy="907"/>
                          </a:xfrm>
                          <a:prstGeom prst="rect">
                            <a:avLst/>
                          </a:prstGeom>
                          <a:solidFill>
                            <a:srgbClr val="BDF7C6"/>
                          </a:solidFill>
                          <a:ln w="1587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废石堆场、矿石临时堆场、工业场地用水</w:t>
                              </w:r>
                            </w:p>
                            <w:p/>
                          </w:txbxContent>
                        </wps:txbx>
                        <wps:bodyPr vert="horz" wrap="square" lIns="0" tIns="0" rIns="0" bIns="0" anchor="t" upright="1"/>
                      </wps:wsp>
                      <wpg:grpSp>
                        <wpg:cNvPr id="45" name="组合 1103"/>
                        <wpg:cNvGrpSpPr/>
                        <wpg:grpSpPr>
                          <a:xfrm>
                            <a:off x="5220" y="4379"/>
                            <a:ext cx="900" cy="791"/>
                            <a:chOff x="4992" y="13104"/>
                            <a:chExt cx="675" cy="738"/>
                          </a:xfrm>
                        </wpg:grpSpPr>
                        <wps:wsp>
                          <wps:cNvPr id="43" name="自选图形 1074"/>
                          <wps:cNvCnPr>
                            <a:endCxn id="35" idx="1"/>
                          </wps:cNvCnPr>
                          <wps:spPr>
                            <a:xfrm>
                              <a:off x="4992" y="13104"/>
                              <a:ext cx="675" cy="0"/>
                            </a:xfrm>
                            <a:prstGeom prst="straightConnector1">
                              <a:avLst/>
                            </a:prstGeom>
                            <a:ln w="15875" cap="flat" cmpd="sng">
                              <a:solidFill>
                                <a:srgbClr val="000000"/>
                              </a:solidFill>
                              <a:prstDash val="solid"/>
                              <a:headEnd type="none" w="med" len="med"/>
                              <a:tailEnd type="triangle" w="med" len="med"/>
                            </a:ln>
                          </wps:spPr>
                          <wps:bodyPr/>
                        </wps:wsp>
                        <wps:wsp>
                          <wps:cNvPr id="44" name="矩形 1075"/>
                          <wps:cNvSpPr/>
                          <wps:spPr>
                            <a:xfrm>
                              <a:off x="5040" y="13620"/>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2</w:t>
                                </w:r>
                              </w:p>
                            </w:txbxContent>
                          </wps:txbx>
                          <wps:bodyPr vert="horz" wrap="square" lIns="0" tIns="0" rIns="0" bIns="0" anchor="t" upright="1"/>
                        </wps:wsp>
                      </wpg:grpSp>
                      <wps:wsp>
                        <wps:cNvPr id="46" name="矩形 1072"/>
                        <wps:cNvSpPr/>
                        <wps:spPr>
                          <a:xfrm>
                            <a:off x="4717" y="5028"/>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55</w:t>
                              </w:r>
                            </w:p>
                          </w:txbxContent>
                        </wps:txbx>
                        <wps:bodyPr vert="horz" wrap="square" lIns="0" tIns="0" rIns="0" bIns="0" anchor="t" upright="1"/>
                      </wps:wsp>
                      <wps:wsp>
                        <wps:cNvPr id="47" name="矩形 1072"/>
                        <wps:cNvSpPr/>
                        <wps:spPr>
                          <a:xfrm>
                            <a:off x="4680" y="4380"/>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5</w:t>
                              </w:r>
                            </w:p>
                          </w:txbxContent>
                        </wps:txbx>
                        <wps:bodyPr vert="horz" wrap="square" lIns="0" tIns="0" rIns="0" bIns="0" anchor="t" upright="1"/>
                      </wps:wsp>
                      <wps:wsp>
                        <wps:cNvPr id="48" name="矩形 1072"/>
                        <wps:cNvSpPr/>
                        <wps:spPr>
                          <a:xfrm>
                            <a:off x="7560" y="4223"/>
                            <a:ext cx="503" cy="222"/>
                          </a:xfrm>
                          <a:prstGeom prst="rect">
                            <a:avLst/>
                          </a:prstGeom>
                          <a:solidFill>
                            <a:srgbClr val="BDF7C6"/>
                          </a:solidFill>
                          <a:ln w="15875">
                            <a:noFill/>
                          </a:ln>
                        </wps:spPr>
                        <wps:txbx>
                          <w:txbxContent>
                            <w:p>
                              <w:pPr>
                                <w:snapToGrid w:val="0"/>
                                <w:spacing w:line="240" w:lineRule="exact"/>
                                <w:jc w:val="center"/>
                                <w:rPr>
                                  <w:rFonts w:hint="eastAsia"/>
                                  <w:szCs w:val="21"/>
                                </w:rPr>
                              </w:pPr>
                              <w:r>
                                <w:rPr>
                                  <w:rFonts w:hint="eastAsia"/>
                                  <w:szCs w:val="21"/>
                                </w:rPr>
                                <w:t>40</w:t>
                              </w:r>
                            </w:p>
                          </w:txbxContent>
                        </wps:txbx>
                        <wps:bodyPr vert="horz" wrap="square" lIns="0" tIns="0" rIns="0" bIns="0" anchor="t" upright="1"/>
                      </wps:wsp>
                      <wps:wsp>
                        <wps:cNvPr id="49" name="矩形 1072"/>
                        <wps:cNvSpPr/>
                        <wps:spPr>
                          <a:xfrm>
                            <a:off x="7380" y="4847"/>
                            <a:ext cx="503" cy="222"/>
                          </a:xfrm>
                          <a:prstGeom prst="rect">
                            <a:avLst/>
                          </a:prstGeom>
                          <a:solidFill>
                            <a:srgbClr val="BDF7C6"/>
                          </a:solidFill>
                          <a:ln w="15875">
                            <a:noFill/>
                          </a:ln>
                        </wps:spPr>
                        <wps:txbx>
                          <w:txbxContent>
                            <w:p>
                              <w:pPr>
                                <w:snapToGrid w:val="0"/>
                                <w:spacing w:line="240" w:lineRule="exact"/>
                                <w:ind w:firstLine="105" w:firstLineChars="50"/>
                                <w:rPr>
                                  <w:rFonts w:hint="eastAsia"/>
                                  <w:szCs w:val="21"/>
                                </w:rPr>
                              </w:pPr>
                              <w:r>
                                <w:rPr>
                                  <w:rFonts w:hint="eastAsia"/>
                                  <w:szCs w:val="21"/>
                                </w:rPr>
                                <w:t>2</w:t>
                              </w:r>
                            </w:p>
                          </w:txbxContent>
                        </wps:txbx>
                        <wps:bodyPr vert="horz" wrap="square" lIns="0" tIns="0" rIns="0" bIns="0" anchor="t" upright="1"/>
                      </wps:wsp>
                      <wps:wsp>
                        <wps:cNvPr id="50" name="直线 536"/>
                        <wps:cNvSpPr/>
                        <wps:spPr>
                          <a:xfrm flipH="1">
                            <a:off x="5220" y="4379"/>
                            <a:ext cx="0" cy="2053"/>
                          </a:xfrm>
                          <a:prstGeom prst="line">
                            <a:avLst/>
                          </a:prstGeom>
                          <a:ln w="15875" cap="flat" cmpd="sng">
                            <a:solidFill>
                              <a:srgbClr val="000000"/>
                            </a:solidFill>
                            <a:prstDash val="solid"/>
                            <a:headEnd type="none" w="med" len="med"/>
                            <a:tailEnd type="none" w="med" len="med"/>
                          </a:ln>
                        </wps:spPr>
                        <wps:bodyPr upright="1"/>
                      </wps:wsp>
                      <wps:wsp>
                        <wps:cNvPr id="51" name="自选图形 1071"/>
                        <wps:cNvCnPr>
                          <a:endCxn id="35" idx="1"/>
                        </wps:cNvCnPr>
                        <wps:spPr>
                          <a:xfrm>
                            <a:off x="5223" y="6432"/>
                            <a:ext cx="900" cy="0"/>
                          </a:xfrm>
                          <a:prstGeom prst="straightConnector1">
                            <a:avLst/>
                          </a:prstGeom>
                          <a:ln w="15875" cap="flat" cmpd="sng">
                            <a:solidFill>
                              <a:srgbClr val="000000"/>
                            </a:solidFill>
                            <a:prstDash val="solid"/>
                            <a:headEnd type="none" w="med" len="med"/>
                            <a:tailEnd type="triangle" w="med" len="med"/>
                          </a:ln>
                        </wps:spPr>
                        <wps:bodyPr/>
                      </wps:wsp>
                      <wps:wsp>
                        <wps:cNvPr id="52" name="自选图形 1058"/>
                        <wps:cNvCnPr>
                          <a:endCxn id="35" idx="1"/>
                        </wps:cNvCnPr>
                        <wps:spPr>
                          <a:xfrm>
                            <a:off x="7200" y="4410"/>
                            <a:ext cx="1260" cy="694"/>
                          </a:xfrm>
                          <a:prstGeom prst="straightConnector1">
                            <a:avLst/>
                          </a:prstGeom>
                          <a:ln w="15875" cap="flat" cmpd="sng">
                            <a:solidFill>
                              <a:srgbClr val="000000"/>
                            </a:solidFill>
                            <a:prstDash val="dash"/>
                            <a:headEnd type="none" w="med" len="med"/>
                            <a:tailEnd type="triangle" w="med" len="med"/>
                          </a:ln>
                        </wps:spPr>
                        <wps:bodyPr/>
                      </wps:wsp>
                      <wps:wsp>
                        <wps:cNvPr id="53" name="自选图形 1064"/>
                        <wps:cNvCnPr>
                          <a:endCxn id="35" idx="1"/>
                        </wps:cNvCnPr>
                        <wps:spPr>
                          <a:xfrm>
                            <a:off x="7200" y="5190"/>
                            <a:ext cx="1317" cy="0"/>
                          </a:xfrm>
                          <a:prstGeom prst="straightConnector1">
                            <a:avLst/>
                          </a:prstGeom>
                          <a:ln w="15875" cap="flat" cmpd="sng">
                            <a:solidFill>
                              <a:srgbClr val="000000"/>
                            </a:solidFill>
                            <a:prstDash val="dash"/>
                            <a:headEnd type="none" w="med" len="med"/>
                            <a:tailEnd type="triangle" w="med" len="med"/>
                          </a:ln>
                        </wps:spPr>
                        <wps:bodyPr/>
                      </wps:wsp>
                      <wps:wsp>
                        <wps:cNvPr id="54" name="自选图形 1065"/>
                        <wps:cNvCnPr>
                          <a:endCxn id="35" idx="1"/>
                        </wps:cNvCnPr>
                        <wps:spPr>
                          <a:xfrm flipV="1">
                            <a:off x="7560" y="5502"/>
                            <a:ext cx="906" cy="468"/>
                          </a:xfrm>
                          <a:prstGeom prst="straightConnector1">
                            <a:avLst/>
                          </a:prstGeom>
                          <a:ln w="15875" cap="flat" cmpd="sng">
                            <a:solidFill>
                              <a:srgbClr val="000000"/>
                            </a:solidFill>
                            <a:prstDash val="dash"/>
                            <a:headEnd type="none" w="med" len="med"/>
                            <a:tailEnd type="triangle" w="med" len="med"/>
                          </a:ln>
                        </wps:spPr>
                        <wps:bodyPr/>
                      </wps:wsp>
                      <wps:wsp>
                        <wps:cNvPr id="55" name="自选图形 1058"/>
                        <wps:cNvCnPr>
                          <a:endCxn id="35" idx="1"/>
                        </wps:cNvCnPr>
                        <wps:spPr>
                          <a:xfrm flipH="1">
                            <a:off x="4680" y="4722"/>
                            <a:ext cx="1278" cy="0"/>
                          </a:xfrm>
                          <a:prstGeom prst="straightConnector1">
                            <a:avLst/>
                          </a:prstGeom>
                          <a:ln w="15875" cap="flat" cmpd="sng">
                            <a:solidFill>
                              <a:srgbClr val="000000"/>
                            </a:solidFill>
                            <a:prstDash val="dash"/>
                            <a:headEnd type="none" w="med" len="med"/>
                            <a:tailEnd type="triangle" w="med" len="med"/>
                          </a:ln>
                        </wps:spPr>
                        <wps:bodyPr/>
                      </wps:wsp>
                      <wps:wsp>
                        <wps:cNvPr id="56" name="自选图形 1071"/>
                        <wps:cNvCnPr>
                          <a:endCxn id="35" idx="1"/>
                        </wps:cNvCnPr>
                        <wps:spPr>
                          <a:xfrm>
                            <a:off x="4680" y="5343"/>
                            <a:ext cx="1440" cy="1"/>
                          </a:xfrm>
                          <a:prstGeom prst="bentConnector3">
                            <a:avLst>
                              <a:gd name="adj1" fmla="val 50000"/>
                            </a:avLst>
                          </a:prstGeom>
                          <a:ln w="15875" cap="flat" cmpd="sng">
                            <a:solidFill>
                              <a:srgbClr val="000000"/>
                            </a:solidFill>
                            <a:prstDash val="solid"/>
                            <a:miter/>
                            <a:headEnd type="none" w="med" len="med"/>
                            <a:tailEnd type="triangle" w="med" len="med"/>
                          </a:ln>
                        </wps:spPr>
                        <wps:bodyPr/>
                      </wps:wsp>
                    </wpg:wgp>
                  </a:graphicData>
                </a:graphic>
              </wp:anchor>
            </w:drawing>
          </mc:Choice>
          <mc:Fallback>
            <w:pict>
              <v:group id="组合 1173" o:spid="_x0000_s1026" o:spt="203" style="position:absolute;left:0pt;margin-left:18.5pt;margin-top:-6pt;height:129.9pt;width:376.75pt;z-index:251672576;mso-width-relative:page;mso-height-relative:page;" coordorigin="2365,4092" coordsize="7535,2598" o:gfxdata="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CUKgGPcAAAACgEAAA8A&#10;AAAAAAAAAQAgAAAAIgAAAGRycy9kb3ducmV2LnhtbFBLAQIUABQAAAAIAIdO4kCP3mln+QYAABA7&#10;AAAOAAAAAAAAAAEAIAAAACsBAABkcnMvZTJvRG9jLnhtbFBLBQYAAAAABgAGAFkBAACWCgAAAAA=&#10;">
                <o:lock v:ext="edit" aspectratio="f"/>
                <v:rect id="矩形 1057" o:spid="_x0000_s1026" o:spt="1" style="position:absolute;left:8464;top:4878;height:663;width:1436;" fillcolor="#BDF7C6" filled="t" stroked="t" coordsize="21600,21600" o:gfxdata="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c956K2AAAA2wAAAA8A&#10;AAAAAAAAAQAgAAAAIgAAAGRycy9kb3ducmV2LnhtbFBLAQIUABQAAAAIAIdO4kAzLwWeOwAAADkA&#10;AAAQAAAAAAAAAAEAIAAAAAUBAABkcnMvc2hhcGV4bWwueG1sUEsFBgAAAAAGAAYAWwEAAK8DAAAA&#10;AA==&#10;">
                  <v:fill on="t" focussize="0,0"/>
                  <v:stroke weight="1.5pt" color="#000000" joinstyle="miter"/>
                  <v:imagedata o:title=""/>
                  <o:lock v:ext="edit" aspectratio="f"/>
                  <v:textbox inset="0mm,0mm,0mm,0mm">
                    <w:txbxContent>
                      <w:p>
                        <w:pPr>
                          <w:spacing w:before="156" w:beforeLines="50"/>
                          <w:ind w:left="105" w:leftChars="50" w:firstLine="105" w:firstLineChars="50"/>
                          <w:jc w:val="left"/>
                        </w:pPr>
                        <w:r>
                          <w:rPr>
                            <w:rFonts w:hint="eastAsia"/>
                          </w:rPr>
                          <w:t>蒸发或损失</w:t>
                        </w:r>
                      </w:p>
                    </w:txbxContent>
                  </v:textbox>
                </v:rect>
                <v:rect id="矩形 1061" o:spid="_x0000_s1026" o:spt="1" style="position:absolute;left:6120;top:4248;height:414;width:1118;" fillcolor="#BDF7C6" filled="t" stroked="t" coordsize="21600,21600" o:gfxdata="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iAk1ugAAANsA&#10;AAAPAAAAAAAAAAEAIAAAACIAAABkcnMvZG93bnJldi54bWxQSwECFAAUAAAACACHTuJAMy8FnjsA&#10;AAA5AAAAEAAAAAAAAAABACAAAAAJAQAAZHJzL3NoYXBleG1sLnhtbFBLBQYAAAAABgAGAFsBAACz&#10;AwAAAAA=&#10;">
                  <v:fill on="t" focussize="0,0"/>
                  <v:stroke weight="1.25pt" color="#000000" joinstyle="miter"/>
                  <v:imagedata o:title=""/>
                  <o:lock v:ext="edit" aspectratio="f"/>
                  <v:textbox inset="0mm,0mm,0mm,0mm">
                    <w:txbxContent>
                      <w:p>
                        <w:pPr>
                          <w:snapToGrid w:val="0"/>
                          <w:spacing w:line="320" w:lineRule="exact"/>
                          <w:jc w:val="center"/>
                          <w:rPr>
                            <w:szCs w:val="21"/>
                          </w:rPr>
                        </w:pPr>
                        <w:r>
                          <w:rPr>
                            <w:rFonts w:hint="eastAsia"/>
                            <w:szCs w:val="21"/>
                          </w:rPr>
                          <w:t>井下用水</w:t>
                        </w:r>
                      </w:p>
                    </w:txbxContent>
                  </v:textbox>
                </v:rect>
                <v:group id="组合 1076" o:spid="_x0000_s1026" o:spt="203" style="position:absolute;left:2365;top:5128;height:1263;width:3496;" coordorigin="2032,7368" coordsize="3496,126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ect id="矩形 1077" o:spid="_x0000_s1026" o:spt="1" style="position:absolute;left:3225;top:7368;height:222;width:503;" fillcolor="#BDF7C6" filled="t" stroked="f" coordsize="21600,21600" o:gfxdata="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QoFL4A&#10;AADbAAAADwAAAAAAAAABACAAAAAiAAAAZHJzL2Rvd25yZXYueG1sUEsBAhQAFAAAAAgAh07iQDMv&#10;BZ47AAAAOQAAABAAAAAAAAAAAQAgAAAADQEAAGRycy9zaGFwZXhtbC54bWxQSwUGAAAAAAYABgBb&#10;AQAAtwMAAAAA&#10;">
                    <v:fill on="t" focussize="0,0"/>
                    <v:stroke on="f" weight="1.25pt"/>
                    <v:imagedata o:title=""/>
                    <o:lock v:ext="edit" aspectratio="f"/>
                    <v:textbox inset="0mm,0mm,0mm,0mm">
                      <w:txbxContent>
                        <w:p>
                          <w:pPr>
                            <w:rPr>
                              <w:rFonts w:hint="eastAsia"/>
                              <w:szCs w:val="21"/>
                            </w:rPr>
                          </w:pPr>
                          <w:r>
                            <w:rPr>
                              <w:rFonts w:hint="eastAsia"/>
                              <w:szCs w:val="21"/>
                            </w:rPr>
                            <w:t>50</w:t>
                          </w:r>
                        </w:p>
                      </w:txbxContent>
                    </v:textbox>
                  </v:rect>
                  <v:group id="组合 1078" o:spid="_x0000_s1026" o:spt="203" style="position:absolute;left:2032;top:7539;height:1092;width:3496;" coordorigin="2032,7539" coordsize="3496,109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自选图形 1079" o:spid="_x0000_s1026" o:spt="32" type="#_x0000_t32" style="position:absolute;left:3150;top:7788;height:0;width:675;" filled="f" stroked="t" coordsize="21600,21600" o:gfxdata="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Lb2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rect id="矩形 1080" o:spid="_x0000_s1026" o:spt="1" style="position:absolute;left:2032;top:7539;height:555;width:1118;" fillcolor="#BDF7C6" filled="t" stroked="t" coordsize="21600,21600" o:gfxdata="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ob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w:txbxContent>
                          <w:p>
                            <w:pPr>
                              <w:snapToGrid w:val="0"/>
                              <w:spacing w:before="156" w:beforeLines="50" w:after="156" w:afterLines="50" w:line="240" w:lineRule="exact"/>
                              <w:jc w:val="center"/>
                              <w:rPr>
                                <w:rFonts w:hint="eastAsia"/>
                                <w:szCs w:val="21"/>
                              </w:rPr>
                            </w:pPr>
                            <w:r>
                              <w:rPr>
                                <w:rFonts w:hint="eastAsia"/>
                                <w:szCs w:val="21"/>
                              </w:rPr>
                              <w:t>矿井涌水</w:t>
                            </w:r>
                          </w:p>
                          <w:p>
                            <w:pPr>
                              <w:snapToGrid w:val="0"/>
                              <w:spacing w:line="240" w:lineRule="exact"/>
                              <w:rPr>
                                <w:szCs w:val="21"/>
                              </w:rPr>
                            </w:pPr>
                          </w:p>
                        </w:txbxContent>
                      </v:textbox>
                    </v:rect>
                    <v:rect id="矩形 1081" o:spid="_x0000_s1026" o:spt="1" style="position:absolute;left:5025;top:8409;height:222;width:503;" fillcolor="#BDF7C6" filled="t" stroked="f" coordsize="21600,21600" o:gfxdata="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bBgvQAA&#10;ANsAAAAPAAAAAAAAAAEAIAAAACIAAABkcnMvZG93bnJldi54bWxQSwECFAAUAAAACACHTuJAMy8F&#10;njsAAAA5AAAAEAAAAAAAAAABACAAAAAMAQAAZHJzL3NoYXBleG1sLnhtbFBLBQYAAAAABgAGAFsB&#10;AAC2Aw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3</w:t>
                            </w:r>
                          </w:p>
                        </w:txbxContent>
                      </v:textbox>
                    </v:rect>
                  </v:group>
                </v:group>
                <v:rect id="矩形 1059" o:spid="_x0000_s1026" o:spt="1" style="position:absolute;left:4177;top:4530;height:1795;width:506;" fillcolor="#BDF7C6" filled="t" stroked="t" coordsize="21600,21600" o:gfxdata="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L66S2AAAA2wAAAA8A&#10;AAAAAAAAAQAgAAAAIgAAAGRycy9kb3ducmV2LnhtbFBLAQIUABQAAAAIAIdO4kAzLwWeOwAAADkA&#10;AAAQAAAAAAAAAAEAIAAAAAUBAABkcnMvc2hhcGV4bWwueG1sUEsFBgAAAAAGAAYAWwEAAK8DAAAA&#10;AA==&#10;">
                  <v:fill on="t" focussize="0,0"/>
                  <v:stroke weight="1.5pt" color="#000000" joinstyle="miter"/>
                  <v:imagedata o:title=""/>
                  <o:lock v:ext="edit" aspectratio="f"/>
                  <v:textbox inset="0mm,0mm,0mm,0mm">
                    <w:txbxContent>
                      <w:p>
                        <w:pPr>
                          <w:snapToGrid w:val="0"/>
                          <w:jc w:val="center"/>
                          <w:rPr>
                            <w:rFonts w:hint="eastAsia"/>
                            <w:szCs w:val="21"/>
                          </w:rPr>
                        </w:pPr>
                      </w:p>
                      <w:p>
                        <w:pPr>
                          <w:snapToGrid w:val="0"/>
                          <w:jc w:val="center"/>
                          <w:rPr>
                            <w:rFonts w:hint="eastAsia"/>
                            <w:szCs w:val="21"/>
                          </w:rPr>
                        </w:pPr>
                        <w:r>
                          <w:rPr>
                            <w:rFonts w:hint="eastAsia"/>
                            <w:szCs w:val="21"/>
                          </w:rPr>
                          <w:t>高</w:t>
                        </w:r>
                      </w:p>
                      <w:p>
                        <w:pPr>
                          <w:snapToGrid w:val="0"/>
                          <w:jc w:val="center"/>
                          <w:rPr>
                            <w:rFonts w:hint="eastAsia"/>
                            <w:szCs w:val="21"/>
                          </w:rPr>
                        </w:pPr>
                        <w:r>
                          <w:rPr>
                            <w:rFonts w:hint="eastAsia"/>
                            <w:szCs w:val="21"/>
                          </w:rPr>
                          <w:t>位</w:t>
                        </w:r>
                      </w:p>
                      <w:p>
                        <w:pPr>
                          <w:snapToGrid w:val="0"/>
                          <w:jc w:val="center"/>
                          <w:rPr>
                            <w:rFonts w:hint="eastAsia"/>
                            <w:szCs w:val="21"/>
                          </w:rPr>
                        </w:pPr>
                        <w:r>
                          <w:rPr>
                            <w:rFonts w:hint="eastAsia"/>
                            <w:szCs w:val="21"/>
                          </w:rPr>
                          <w:t>水</w:t>
                        </w:r>
                      </w:p>
                      <w:p>
                        <w:pPr>
                          <w:snapToGrid w:val="0"/>
                          <w:jc w:val="center"/>
                          <w:rPr>
                            <w:szCs w:val="21"/>
                          </w:rPr>
                        </w:pPr>
                        <w:r>
                          <w:rPr>
                            <w:rFonts w:hint="eastAsia"/>
                            <w:szCs w:val="21"/>
                          </w:rPr>
                          <w:t>池</w:t>
                        </w:r>
                      </w:p>
                    </w:txbxContent>
                  </v:textbox>
                </v:rect>
                <v:rect id="矩形 1072" o:spid="_x0000_s1026" o:spt="1" style="position:absolute;left:5400;top:4092;height:312;width:503;" fillcolor="#BDF7C6" filled="t" stroked="f" coordsize="21600,21600" o:gfxdata="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C6Zb4A&#10;AADbAAAADwAAAAAAAAABACAAAAAiAAAAZHJzL2Rvd25yZXYueG1sUEsBAhQAFAAAAAgAh07iQDMv&#10;BZ47AAAAOQAAABAAAAAAAAAAAQAgAAAADQEAAGRycy9zaGFwZXhtbC54bWxQSwUGAAAAAAYABgBb&#10;AQAAtwM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45</w:t>
                        </w:r>
                      </w:p>
                      <w:p/>
                    </w:txbxContent>
                  </v:textbox>
                </v:rect>
                <v:rect id="矩形 1072" o:spid="_x0000_s1026" o:spt="1" style="position:absolute;left:7740;top:5964;height:222;width:503;" fillcolor="#BDF7C6" filled="t" stroked="f" coordsize="21600,21600" o:gfxdata="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2xghbgAAADbAAAA&#10;DwAAAAAAAAABACAAAAAiAAAAZHJzL2Rvd25yZXYueG1sUEsBAhQAFAAAAAgAh07iQDMvBZ47AAAA&#10;OQAAABAAAAAAAAAAAQAgAAAABwEAAGRycy9zaGFwZXhtbC54bWxQSwUGAAAAAAYABgBbAQAAsQMA&#10;AAAA&#10;">
                  <v:fill on="t" focussize="0,0"/>
                  <v:stroke on="f" weight="1.25pt"/>
                  <v:imagedata o:title=""/>
                  <o:lock v:ext="edit" aspectratio="f"/>
                  <v:textbox inset="0mm,0mm,0mm,0mm">
                    <w:txbxContent>
                      <w:p>
                        <w:pPr>
                          <w:snapToGrid w:val="0"/>
                          <w:spacing w:line="240" w:lineRule="exact"/>
                          <w:ind w:firstLine="210" w:firstLineChars="100"/>
                          <w:rPr>
                            <w:rFonts w:hint="eastAsia"/>
                            <w:szCs w:val="21"/>
                          </w:rPr>
                        </w:pPr>
                        <w:r>
                          <w:rPr>
                            <w:rFonts w:hint="eastAsia"/>
                            <w:szCs w:val="21"/>
                          </w:rPr>
                          <w:t>3</w:t>
                        </w:r>
                      </w:p>
                    </w:txbxContent>
                  </v:textbox>
                </v:rect>
                <v:rect id="矩形 1062" o:spid="_x0000_s1026" o:spt="1" style="position:absolute;left:6082;top:5003;height:499;width:1118;" fillcolor="#BDF7C6" filled="t" stroked="t" coordsize="21600,21600" o:gfxdata="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npIugAAANsA&#10;AAAPAAAAAAAAAAEAIAAAACIAAABkcnMvZG93bnJldi54bWxQSwECFAAUAAAACACHTuJAMy8FnjsA&#10;AAA5AAAAEAAAAAAAAAABACAAAAAJAQAAZHJzL3NoYXBleG1sLnhtbFBLBQYAAAAABgAGAFsBAACz&#10;AwAAAAA=&#10;">
                  <v:fill on="t" focussize="0,0"/>
                  <v:stroke weight="1.25pt" color="#000000" joinstyle="miter"/>
                  <v:imagedata o:title=""/>
                  <o:lock v:ext="edit" aspectratio="f"/>
                  <v:textbox inset="0mm,0mm,0mm,0mm">
                    <w:txbxContent>
                      <w:p>
                        <w:pPr>
                          <w:snapToGrid w:val="0"/>
                          <w:spacing w:line="240" w:lineRule="exact"/>
                          <w:jc w:val="center"/>
                          <w:rPr>
                            <w:szCs w:val="21"/>
                          </w:rPr>
                        </w:pPr>
                        <w:r>
                          <w:rPr>
                            <w:rFonts w:hint="eastAsia"/>
                            <w:szCs w:val="21"/>
                          </w:rPr>
                          <w:t>道路洒水、矿区绿化</w:t>
                        </w:r>
                      </w:p>
                    </w:txbxContent>
                  </v:textbox>
                </v:rect>
                <v:rect id="矩形 1063" o:spid="_x0000_s1026" o:spt="1" style="position:absolute;left:6120;top:5783;height:907;width:1358;" fillcolor="#BDF7C6" filled="t" stroked="t" coordsize="21600,21600" o:gfxdata="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zkP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0mm,0mm,0mm,0mm">
                    <w:txbxContent>
                      <w:p>
                        <w:pPr>
                          <w:jc w:val="center"/>
                          <w:rPr>
                            <w:sz w:val="18"/>
                            <w:szCs w:val="18"/>
                          </w:rPr>
                        </w:pPr>
                        <w:r>
                          <w:rPr>
                            <w:rFonts w:hint="eastAsia"/>
                            <w:sz w:val="18"/>
                            <w:szCs w:val="18"/>
                          </w:rPr>
                          <w:t>废石堆场、矿石临时堆场、工业场地用水</w:t>
                        </w:r>
                      </w:p>
                      <w:p/>
                    </w:txbxContent>
                  </v:textbox>
                </v:rect>
                <v:group id="组合 1103" o:spid="_x0000_s1026" o:spt="203" style="position:absolute;left:5220;top:4379;height:791;width:900;" coordorigin="4992,13104" coordsize="675,738"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自选图形 1074" o:spid="_x0000_s1026" o:spt="32" type="#_x0000_t32" style="position:absolute;left:4992;top:13104;height:0;width:675;" filled="f" stroked="t" coordsize="21600,21600" o:gfxdata="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sWL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rect id="矩形 1075" o:spid="_x0000_s1026" o:spt="1" style="position:absolute;left:5040;top:13620;height:222;width:503;" fillcolor="#BDF7C6" filled="t" stroked="f" coordsize="21600,21600" o:gfxdata="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dmhr4A&#10;AADbAAAADwAAAAAAAAABACAAAAAiAAAAZHJzL2Rvd25yZXYueG1sUEsBAhQAFAAAAAgAh07iQDMv&#10;BZ47AAAAOQAAABAAAAAAAAAAAQAgAAAADQEAAGRycy9zaGFwZXhtbC54bWxQSwUGAAAAAAYABgBb&#10;AQAAtwM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2</w:t>
                          </w:r>
                        </w:p>
                      </w:txbxContent>
                    </v:textbox>
                  </v:rect>
                </v:group>
                <v:rect id="矩形 1072" o:spid="_x0000_s1026" o:spt="1" style="position:absolute;left:4717;top:5028;height:222;width:503;" fillcolor="#BDF7C6" filled="t" stroked="f" coordsize="21600,21600" o:gfxdata="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JXWq8AAAA&#10;2wAAAA8AAAAAAAAAAQAgAAAAIgAAAGRycy9kb3ducmV2LnhtbFBLAQIUABQAAAAIAIdO4kAzLwWe&#10;OwAAADkAAAAQAAAAAAAAAAEAIAAAAAsBAABkcnMvc2hhcGV4bWwueG1sUEsFBgAAAAAGAAYAWwEA&#10;ALUDA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55</w:t>
                        </w:r>
                      </w:p>
                    </w:txbxContent>
                  </v:textbox>
                </v:rect>
                <v:rect id="矩形 1072" o:spid="_x0000_s1026" o:spt="1" style="position:absolute;left:4680;top:4380;height:222;width:503;" fillcolor="#BDF7C6" filled="t" stroked="f" coordsize="21600,21600" o:gfxdata="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F+PG8AAAA&#10;2wAAAA8AAAAAAAAAAQAgAAAAIgAAAGRycy9kb3ducmV2LnhtbFBLAQIUABQAAAAIAIdO4kAzLwWe&#10;OwAAADkAAAAQAAAAAAAAAAEAIAAAAAsBAABkcnMvc2hhcGV4bWwueG1sUEsFBgAAAAAGAAYAWwEA&#10;ALUDAA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5</w:t>
                        </w:r>
                      </w:p>
                    </w:txbxContent>
                  </v:textbox>
                </v:rect>
                <v:rect id="矩形 1072" o:spid="_x0000_s1026" o:spt="1" style="position:absolute;left:7560;top:4223;height:222;width:503;" fillcolor="#BDF7C6" filled="t" stroked="f" coordsize="21600,21600" o:gfxdata="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Rpsg7gAAADbAAAA&#10;DwAAAAAAAAABACAAAAAiAAAAZHJzL2Rvd25yZXYueG1sUEsBAhQAFAAAAAgAh07iQDMvBZ47AAAA&#10;OQAAABAAAAAAAAAAAQAgAAAABwEAAGRycy9zaGFwZXhtbC54bWxQSwUGAAAAAAYABgBbAQAAsQMA&#10;AAAA&#10;">
                  <v:fill on="t" focussize="0,0"/>
                  <v:stroke on="f" weight="1.25pt"/>
                  <v:imagedata o:title=""/>
                  <o:lock v:ext="edit" aspectratio="f"/>
                  <v:textbox inset="0mm,0mm,0mm,0mm">
                    <w:txbxContent>
                      <w:p>
                        <w:pPr>
                          <w:snapToGrid w:val="0"/>
                          <w:spacing w:line="240" w:lineRule="exact"/>
                          <w:jc w:val="center"/>
                          <w:rPr>
                            <w:rFonts w:hint="eastAsia"/>
                            <w:szCs w:val="21"/>
                          </w:rPr>
                        </w:pPr>
                        <w:r>
                          <w:rPr>
                            <w:rFonts w:hint="eastAsia"/>
                            <w:szCs w:val="21"/>
                          </w:rPr>
                          <w:t>40</w:t>
                        </w:r>
                      </w:p>
                    </w:txbxContent>
                  </v:textbox>
                </v:rect>
                <v:rect id="矩形 1072" o:spid="_x0000_s1026" o:spt="1" style="position:absolute;left:7380;top:4847;height:222;width:503;" fillcolor="#BDF7C6" filled="t" stroked="f" coordsize="21600,21600" o:gfxdata="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bJGL4A&#10;AADbAAAADwAAAAAAAAABACAAAAAiAAAAZHJzL2Rvd25yZXYueG1sUEsBAhQAFAAAAAgAh07iQDMv&#10;BZ47AAAAOQAAABAAAAAAAAAAAQAgAAAADQEAAGRycy9zaGFwZXhtbC54bWxQSwUGAAAAAAYABgBb&#10;AQAAtwMAAAAA&#10;">
                  <v:fill on="t" focussize="0,0"/>
                  <v:stroke on="f" weight="1.25pt"/>
                  <v:imagedata o:title=""/>
                  <o:lock v:ext="edit" aspectratio="f"/>
                  <v:textbox inset="0mm,0mm,0mm,0mm">
                    <w:txbxContent>
                      <w:p>
                        <w:pPr>
                          <w:snapToGrid w:val="0"/>
                          <w:spacing w:line="240" w:lineRule="exact"/>
                          <w:ind w:firstLine="105" w:firstLineChars="50"/>
                          <w:rPr>
                            <w:rFonts w:hint="eastAsia"/>
                            <w:szCs w:val="21"/>
                          </w:rPr>
                        </w:pPr>
                        <w:r>
                          <w:rPr>
                            <w:rFonts w:hint="eastAsia"/>
                            <w:szCs w:val="21"/>
                          </w:rPr>
                          <w:t>2</w:t>
                        </w:r>
                      </w:p>
                    </w:txbxContent>
                  </v:textbox>
                </v:rect>
                <v:line id="直线 536" o:spid="_x0000_s1026" o:spt="20" style="position:absolute;left:5220;top:4379;flip:x;height:2053;width:0;" filled="f" stroked="t" coordsize="21600,21600" o:gfxdata="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nfq/rUAAADbAAAADwAA&#10;AAAAAAABACAAAAAiAAAAZHJzL2Rvd25yZXYueG1sUEsBAhQAFAAAAAgAh07iQDMvBZ47AAAAOQAA&#10;ABAAAAAAAAAAAQAgAAAABAEAAGRycy9zaGFwZXhtbC54bWxQSwUGAAAAAAYABgBbAQAArgMAAAAA&#10;">
                  <v:fill on="f" focussize="0,0"/>
                  <v:stroke weight="1.25pt" color="#000000" joinstyle="round"/>
                  <v:imagedata o:title=""/>
                  <o:lock v:ext="edit" aspectratio="f"/>
                </v:line>
                <v:shape id="自选图形 1071" o:spid="_x0000_s1026" o:spt="32" type="#_x0000_t32" style="position:absolute;left:5223;top:6432;height:0;width:900;" filled="f" stroked="t" coordsize="21600,21600" o:gfxdata="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Wi6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自选图形 1058" o:spid="_x0000_s1026" o:spt="32" type="#_x0000_t32" style="position:absolute;left:7200;top:4410;height:694;width:1260;" filled="f" stroked="t" coordsize="21600,21600" o:gfxdata="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0OvK8AAAA&#10;2wAAAA8AAAAAAAAAAQAgAAAAIgAAAGRycy9kb3ducmV2LnhtbFBLAQIUABQAAAAIAIdO4kAzLwWe&#10;OwAAADkAAAAQAAAAAAAAAAEAIAAAAAsBAABkcnMvc2hhcGV4bWwueG1sUEsFBgAAAAAGAAYAWwEA&#10;ALUDAAAAAA==&#10;">
                  <v:fill on="f" focussize="0,0"/>
                  <v:stroke weight="1.25pt" color="#000000" joinstyle="round" dashstyle="dash" endarrow="block"/>
                  <v:imagedata o:title=""/>
                  <o:lock v:ext="edit" aspectratio="f"/>
                </v:shape>
                <v:shape id="自选图形 1064" o:spid="_x0000_s1026" o:spt="32" type="#_x0000_t32" style="position:absolute;left:7200;top:5190;height:0;width:1317;" filled="f" stroked="t" coordsize="21600,21600" o:gfxdata="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4n2m8AAAA&#10;2wAAAA8AAAAAAAAAAQAgAAAAIgAAAGRycy9kb3ducmV2LnhtbFBLAQIUABQAAAAIAIdO4kAzLwWe&#10;OwAAADkAAAAQAAAAAAAAAAEAIAAAAAsBAABkcnMvc2hhcGV4bWwueG1sUEsFBgAAAAAGAAYAWwEA&#10;ALUDAAAAAA==&#10;">
                  <v:fill on="f" focussize="0,0"/>
                  <v:stroke weight="1.25pt" color="#000000" joinstyle="round" dashstyle="dash" endarrow="block"/>
                  <v:imagedata o:title=""/>
                  <o:lock v:ext="edit" aspectratio="f"/>
                </v:shape>
                <v:shape id="自选图形 1065" o:spid="_x0000_s1026" o:spt="32" type="#_x0000_t32" style="position:absolute;left:7560;top:5502;flip:y;height:468;width:906;" filled="f" stroked="t" coordsize="21600,21600" o:gfxdata="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yRZr4A&#10;AADbAAAADwAAAAAAAAABACAAAAAiAAAAZHJzL2Rvd25yZXYueG1sUEsBAhQAFAAAAAgAh07iQDMv&#10;BZ47AAAAOQAAABAAAAAAAAAAAQAgAAAADQEAAGRycy9zaGFwZXhtbC54bWxQSwUGAAAAAAYABgBb&#10;AQAAtwMAAAAA&#10;">
                  <v:fill on="f" focussize="0,0"/>
                  <v:stroke weight="1.25pt" color="#000000" joinstyle="round" dashstyle="dash" endarrow="block"/>
                  <v:imagedata o:title=""/>
                  <o:lock v:ext="edit" aspectratio="f"/>
                </v:shape>
                <v:shape id="自选图形 1058" o:spid="_x0000_s1026" o:spt="32" type="#_x0000_t32" style="position:absolute;left:4680;top:4722;flip:x;height:0;width:1278;" filled="f" stroked="t" coordsize="21600,21600" o:gfxdata="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A0/b4A&#10;AADbAAAADwAAAAAAAAABACAAAAAiAAAAZHJzL2Rvd25yZXYueG1sUEsBAhQAFAAAAAgAh07iQDMv&#10;BZ47AAAAOQAAABAAAAAAAAAAAQAgAAAADQEAAGRycy9zaGFwZXhtbC54bWxQSwUGAAAAAAYABgBb&#10;AQAAtwMAAAAA&#10;">
                  <v:fill on="f" focussize="0,0"/>
                  <v:stroke weight="1.25pt" color="#000000" joinstyle="round" dashstyle="dash" endarrow="block"/>
                  <v:imagedata o:title=""/>
                  <o:lock v:ext="edit" aspectratio="f"/>
                </v:shape>
                <v:shape id="自选图形 1071" o:spid="_x0000_s1026" o:spt="34" type="#_x0000_t34" style="position:absolute;left:4680;top:5343;height:1;width:1440;" filled="f" stroked="t" coordsize="21600,21600" o:gfxdata="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YneL4A&#10;AADbAAAADwAAAAAAAAABACAAAAAiAAAAZHJzL2Rvd25yZXYueG1sUEsBAhQAFAAAAAgAh07iQDMv&#10;BZ47AAAAOQAAABAAAAAAAAAAAQAgAAAADQEAAGRycy9zaGFwZXhtbC54bWxQSwUGAAAAAAYABgBb&#10;AQAAtwMAAAAA&#10;" adj="10800">
                  <v:fill on="f" focussize="0,0"/>
                  <v:stroke weight="1.25pt" color="#000000" joinstyle="miter" endarrow="block"/>
                  <v:imagedata o:title=""/>
                  <o:lock v:ext="edit" aspectratio="f"/>
                </v:shape>
              </v:group>
            </w:pict>
          </mc:Fallback>
        </mc:AlternateContent>
      </w:r>
    </w:p>
    <w:p>
      <w:pPr>
        <w:rPr>
          <w:rFonts w:hint="default" w:ascii="Times New Roman" w:hAnsi="Times New Roman" w:cs="Times New Roman"/>
          <w:color w:val="auto"/>
          <w:sz w:val="24"/>
        </w:rPr>
      </w:pPr>
    </w:p>
    <w:p>
      <w:pPr>
        <w:ind w:firstLine="480" w:firstLineChars="200"/>
        <w:rPr>
          <w:rFonts w:hint="default" w:ascii="Times New Roman" w:hAnsi="Times New Roman" w:cs="Times New Roman"/>
          <w:color w:val="auto"/>
          <w:sz w:val="24"/>
        </w:rPr>
      </w:pPr>
    </w:p>
    <w:p>
      <w:pPr>
        <w:spacing w:line="360" w:lineRule="auto"/>
        <w:ind w:firstLine="464" w:firstLineChars="200"/>
        <w:rPr>
          <w:rFonts w:hint="default" w:ascii="Times New Roman" w:hAnsi="Times New Roman" w:cs="Times New Roman"/>
          <w:color w:val="auto"/>
          <w:spacing w:val="-4"/>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480"/>
        <w:rPr>
          <w:rFonts w:hint="default" w:ascii="Times New Roman" w:hAnsi="Times New Roman" w:eastAsia="宋体" w:cs="Times New Roman"/>
          <w:color w:val="auto"/>
          <w:sz w:val="24"/>
        </w:rPr>
      </w:pPr>
    </w:p>
    <w:p>
      <w:pPr>
        <w:pStyle w:val="32"/>
        <w:adjustRightInd w:val="0"/>
        <w:snapToGrid w:val="0"/>
        <w:spacing w:line="360" w:lineRule="auto"/>
        <w:ind w:firstLine="2108" w:firstLineChars="1000"/>
        <w:rPr>
          <w:rFonts w:hint="default" w:ascii="Times New Roman" w:hAnsi="Times New Roman" w:eastAsia="宋体" w:cs="Times New Roman"/>
          <w:b/>
          <w:bCs/>
          <w:color w:val="auto"/>
          <w:sz w:val="21"/>
          <w:szCs w:val="21"/>
        </w:rPr>
      </w:pPr>
      <w:r>
        <w:rPr>
          <w:rFonts w:hint="default" w:ascii="Times New Roman" w:hAnsi="Times New Roman" w:eastAsia="黑体" w:cs="Times New Roman"/>
          <w:b/>
          <w:bCs/>
          <w:color w:val="auto"/>
          <w:sz w:val="21"/>
          <w:szCs w:val="21"/>
        </w:rPr>
        <w:t>图3.1-</w:t>
      </w:r>
      <w:r>
        <w:rPr>
          <w:rFonts w:hint="default" w:ascii="Times New Roman" w:hAnsi="Times New Roman" w:eastAsia="黑体" w:cs="Times New Roman"/>
          <w:b/>
          <w:bCs/>
          <w:color w:val="auto"/>
          <w:sz w:val="21"/>
          <w:szCs w:val="21"/>
          <w:lang w:val="en-US" w:eastAsia="zh-CN"/>
        </w:rPr>
        <w:t>2</w:t>
      </w:r>
      <w:r>
        <w:rPr>
          <w:rFonts w:hint="default" w:ascii="Times New Roman" w:hAnsi="Times New Roman" w:eastAsia="黑体" w:cs="Times New Roman"/>
          <w:b/>
          <w:bCs/>
          <w:color w:val="auto"/>
          <w:sz w:val="21"/>
          <w:szCs w:val="21"/>
        </w:rPr>
        <w:t xml:space="preserve">   项目水平衡图        单位：</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p>
      <w:pPr>
        <w:adjustRightInd w:val="0"/>
        <w:snapToGrid w:val="0"/>
        <w:spacing w:line="360" w:lineRule="auto"/>
        <w:outlineLvl w:val="3"/>
        <w:rPr>
          <w:rFonts w:hint="default" w:ascii="Times New Roman" w:hAnsi="Times New Roman" w:cs="Times New Roman"/>
          <w:color w:val="auto"/>
          <w:sz w:val="24"/>
          <w:szCs w:val="22"/>
        </w:rPr>
      </w:pPr>
      <w:bookmarkStart w:id="375" w:name="_Toc7881"/>
      <w:bookmarkStart w:id="376" w:name="_Toc17829"/>
      <w:bookmarkStart w:id="377" w:name="_Toc17594"/>
      <w:bookmarkStart w:id="378" w:name="_Toc26232"/>
      <w:bookmarkStart w:id="379" w:name="_Toc11851"/>
      <w:bookmarkStart w:id="380" w:name="_Toc7998986"/>
      <w:r>
        <w:rPr>
          <w:rFonts w:hint="default" w:ascii="Times New Roman" w:hAnsi="Times New Roman" w:cs="Times New Roman"/>
          <w:color w:val="auto"/>
          <w:sz w:val="24"/>
          <w:szCs w:val="22"/>
        </w:rPr>
        <w:t>3.1.7.2供</w:t>
      </w:r>
      <w:bookmarkEnd w:id="375"/>
      <w:bookmarkEnd w:id="376"/>
      <w:bookmarkEnd w:id="377"/>
      <w:bookmarkEnd w:id="378"/>
      <w:bookmarkEnd w:id="379"/>
      <w:r>
        <w:rPr>
          <w:rFonts w:hint="default" w:ascii="Times New Roman" w:hAnsi="Times New Roman" w:cs="Times New Roman"/>
          <w:color w:val="auto"/>
          <w:sz w:val="24"/>
          <w:szCs w:val="22"/>
        </w:rPr>
        <w:t>暖</w:t>
      </w:r>
      <w:bookmarkEnd w:id="380"/>
    </w:p>
    <w:p>
      <w:pPr>
        <w:pStyle w:val="378"/>
        <w:snapToGrid w:val="0"/>
        <w:ind w:firstLine="480" w:firstLineChars="200"/>
        <w:rPr>
          <w:rFonts w:hint="default" w:ascii="Times New Roman" w:hAnsi="Times New Roman" w:cs="Times New Roman"/>
          <w:color w:val="auto"/>
          <w:sz w:val="28"/>
          <w:szCs w:val="28"/>
        </w:rPr>
      </w:pPr>
      <w:r>
        <w:rPr>
          <w:rFonts w:hint="default" w:ascii="Times New Roman" w:hAnsi="Times New Roman" w:cs="Times New Roman"/>
          <w:color w:val="auto"/>
        </w:rPr>
        <w:t>矿山年生产250d，冬季不生产。</w:t>
      </w:r>
      <w:bookmarkStart w:id="381" w:name="_Toc24648"/>
      <w:bookmarkStart w:id="382" w:name="_Toc4740"/>
      <w:bookmarkStart w:id="383" w:name="_Toc9027"/>
      <w:bookmarkStart w:id="384" w:name="_Toc7998987"/>
      <w:bookmarkStart w:id="385" w:name="_Toc2275"/>
      <w:bookmarkStart w:id="386" w:name="_Toc14633"/>
      <w:r>
        <w:rPr>
          <w:rFonts w:hint="default" w:ascii="Times New Roman" w:hAnsi="Times New Roman" w:cs="Times New Roman"/>
          <w:color w:val="auto"/>
        </w:rPr>
        <w:t>越冬看护人员采用电暖气取暖。</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3.1.7.3供电</w:t>
      </w:r>
      <w:bookmarkEnd w:id="381"/>
      <w:bookmarkEnd w:id="382"/>
      <w:bookmarkEnd w:id="383"/>
      <w:bookmarkEnd w:id="384"/>
      <w:bookmarkEnd w:id="385"/>
      <w:bookmarkEnd w:id="386"/>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（1）供电电源</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矿山供电采用2台DY500B 500kW 柴油发电机组供电；另外选择2台200kW柴油发电机组作为一级负荷备用电源。</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（2）用电负荷</w:t>
      </w:r>
    </w:p>
    <w:p>
      <w:pPr>
        <w:pStyle w:val="19"/>
        <w:spacing w:line="360" w:lineRule="auto"/>
        <w:ind w:firstLine="480"/>
        <w:rPr>
          <w:rFonts w:hint="default" w:ascii="Times New Roman" w:hAnsi="Times New Roman" w:cs="Times New Roman"/>
          <w:color w:val="auto"/>
          <w:sz w:val="24"/>
          <w:szCs w:val="24"/>
        </w:rPr>
      </w:pPr>
      <w:bookmarkStart w:id="387" w:name="_Toc4031"/>
      <w:bookmarkStart w:id="388" w:name="_Toc23666"/>
      <w:bookmarkStart w:id="389" w:name="_Toc32070"/>
      <w:bookmarkStart w:id="390" w:name="_Toc13534"/>
      <w:bookmarkStart w:id="391" w:name="_Toc7998988"/>
      <w:bookmarkStart w:id="392" w:name="_Toc6167"/>
      <w:r>
        <w:rPr>
          <w:rFonts w:hint="default" w:ascii="Times New Roman" w:hAnsi="Times New Roman" w:cs="Times New Roman"/>
          <w:color w:val="auto"/>
          <w:sz w:val="24"/>
          <w:szCs w:val="24"/>
        </w:rPr>
        <w:t>根据矿山生产性质及要求，矿山用电设备总数18台，其中：工作台数14台。设备总装机容量724kW，其中：工作设备功率601kW。根据生产性质及要求，罐笼竖井提升机以及排水系统为一级负荷（225kW），其它均为三级负荷。矿山采矿年耗电量130.08万kWh；采矿吨矿耗电量21.68kWh。</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3.1.7.4矿山通风系统</w:t>
      </w:r>
      <w:bookmarkEnd w:id="387"/>
      <w:bookmarkEnd w:id="388"/>
      <w:bookmarkEnd w:id="389"/>
      <w:bookmarkEnd w:id="390"/>
      <w:bookmarkEnd w:id="391"/>
      <w:bookmarkEnd w:id="392"/>
    </w:p>
    <w:p>
      <w:pPr>
        <w:pStyle w:val="19"/>
        <w:spacing w:line="360" w:lineRule="auto"/>
        <w:ind w:firstLine="480"/>
        <w:rPr>
          <w:rFonts w:hint="default" w:ascii="Times New Roman" w:hAnsi="Times New Roman" w:cs="Times New Roman"/>
          <w:color w:val="auto"/>
          <w:sz w:val="24"/>
          <w:szCs w:val="24"/>
        </w:rPr>
      </w:pPr>
      <w:bookmarkStart w:id="393" w:name="_Toc26831"/>
      <w:bookmarkStart w:id="394" w:name="_Toc7998989"/>
      <w:bookmarkStart w:id="395" w:name="_Toc9463"/>
      <w:bookmarkStart w:id="396" w:name="_Toc7362"/>
      <w:bookmarkStart w:id="397" w:name="_Toc23365"/>
      <w:bookmarkStart w:id="398" w:name="_Toc23601"/>
      <w:r>
        <w:rPr>
          <w:rFonts w:hint="default" w:ascii="Times New Roman" w:hAnsi="Times New Roman" w:cs="Times New Roman"/>
          <w:color w:val="auto"/>
          <w:sz w:val="24"/>
          <w:szCs w:val="24"/>
        </w:rPr>
        <w:t>设计Ⅰ、Ⅱ、Ⅲ、Ⅳ号矿体开拓系统采用中央对角式通风方式，Ⅴ、Ⅵ号矿体开拓系统为侧翼对角式通风方式。</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罐笼竖井开拓系统：设计采用中央对角抽出式通风系统。新鲜风流由罐笼竖井进入，经中段石门及运输平巷进入回采工作面，清洗工作面后，污风由采场天井回到上中段平巷，通过回风巷道进入东西风井，由主扇抽出地表，形成中央对角抽出式通风系统。</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平硐开拓系统：设计采用对角抽出式通风系统。新鲜风流由主运输平硐进入，经中段石门及运输平巷进入回采工作面，清洗工作面后，污风通过采场天井由局扇抽出地表，形成对角抽出式通风系统；由于Ⅴ（Ⅵ）矿体较小，设计采用局扇通风。</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3.1.7.5维修</w:t>
      </w:r>
      <w:bookmarkEnd w:id="393"/>
      <w:bookmarkEnd w:id="394"/>
      <w:bookmarkEnd w:id="395"/>
      <w:bookmarkEnd w:id="396"/>
      <w:bookmarkEnd w:id="397"/>
      <w:bookmarkEnd w:id="398"/>
    </w:p>
    <w:p>
      <w:pPr>
        <w:pStyle w:val="19"/>
        <w:spacing w:line="360" w:lineRule="auto"/>
        <w:ind w:firstLine="480"/>
        <w:rPr>
          <w:rFonts w:hint="default" w:ascii="Times New Roman" w:hAnsi="Times New Roman" w:cs="Times New Roman"/>
          <w:color w:val="auto"/>
          <w:sz w:val="24"/>
          <w:szCs w:val="24"/>
        </w:rPr>
      </w:pPr>
      <w:bookmarkStart w:id="399" w:name="_Toc15324"/>
      <w:bookmarkStart w:id="400" w:name="_Toc7998990"/>
      <w:bookmarkStart w:id="401" w:name="_Toc25845"/>
      <w:bookmarkStart w:id="402" w:name="_Toc28029"/>
      <w:bookmarkStart w:id="403" w:name="_Toc15498"/>
      <w:bookmarkStart w:id="404" w:name="_Toc31048"/>
      <w:r>
        <w:rPr>
          <w:rFonts w:hint="default" w:ascii="Times New Roman" w:hAnsi="Times New Roman" w:cs="Times New Roman"/>
          <w:color w:val="auto"/>
          <w:sz w:val="24"/>
          <w:szCs w:val="24"/>
        </w:rPr>
        <w:t>矿山压气机、凿岩机、通风机等的日常维修、保养由技术人员和操作工进行。设计矿山机修设施包括砂轮机4台（S3SL300型），交流弧焊机2台（BX300型），手电钻4个（JTZ-19型），氧气瓶6个，乙炔瓶6个等。矿山大修依靠乌鲁木齐市协作解决。</w:t>
      </w:r>
    </w:p>
    <w:bookmarkEnd w:id="399"/>
    <w:bookmarkEnd w:id="400"/>
    <w:bookmarkEnd w:id="401"/>
    <w:bookmarkEnd w:id="402"/>
    <w:bookmarkEnd w:id="403"/>
    <w:bookmarkEnd w:id="404"/>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405" w:name="_Toc7998991"/>
      <w:bookmarkStart w:id="406" w:name="_Toc17709375"/>
      <w:bookmarkStart w:id="407" w:name="_Toc22582"/>
      <w:bookmarkStart w:id="408" w:name="_Toc27610"/>
      <w:bookmarkStart w:id="409" w:name="_Toc13105"/>
      <w:bookmarkStart w:id="410" w:name="_Toc12677"/>
      <w:bookmarkStart w:id="411" w:name="_Toc17550"/>
      <w:r>
        <w:rPr>
          <w:rFonts w:hint="default" w:ascii="Times New Roman" w:hAnsi="Times New Roman" w:cs="Times New Roman"/>
          <w:color w:val="auto"/>
          <w:sz w:val="24"/>
        </w:rPr>
        <w:t>3.1.8项目总投资及主要经济技术指标</w:t>
      </w:r>
      <w:bookmarkEnd w:id="405"/>
      <w:bookmarkEnd w:id="406"/>
    </w:p>
    <w:p>
      <w:pPr>
        <w:adjustRightInd w:val="0"/>
        <w:snapToGrid w:val="0"/>
        <w:spacing w:line="360" w:lineRule="auto"/>
        <w:outlineLvl w:val="3"/>
        <w:rPr>
          <w:rFonts w:hint="default" w:ascii="Times New Roman" w:hAnsi="Times New Roman" w:cs="Times New Roman"/>
          <w:color w:val="auto"/>
          <w:sz w:val="24"/>
          <w:szCs w:val="22"/>
        </w:rPr>
      </w:pPr>
      <w:bookmarkStart w:id="412" w:name="_Toc7998992"/>
      <w:r>
        <w:rPr>
          <w:rFonts w:hint="default" w:ascii="Times New Roman" w:hAnsi="Times New Roman" w:cs="Times New Roman"/>
          <w:color w:val="auto"/>
          <w:sz w:val="24"/>
          <w:szCs w:val="22"/>
        </w:rPr>
        <w:t>3.1.8.1项目总投资</w:t>
      </w:r>
      <w:bookmarkEnd w:id="412"/>
    </w:p>
    <w:p>
      <w:pPr>
        <w:pStyle w:val="378"/>
        <w:snapToGrid w:val="0"/>
        <w:ind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项目总投资2699.13万元，全部由企业自筹。</w:t>
      </w:r>
    </w:p>
    <w:p>
      <w:pPr>
        <w:adjustRightInd w:val="0"/>
        <w:snapToGrid w:val="0"/>
        <w:spacing w:line="360" w:lineRule="auto"/>
        <w:outlineLvl w:val="3"/>
        <w:rPr>
          <w:rFonts w:hint="default" w:ascii="Times New Roman" w:hAnsi="Times New Roman" w:cs="Times New Roman"/>
          <w:color w:val="auto"/>
          <w:sz w:val="24"/>
          <w:szCs w:val="22"/>
        </w:rPr>
      </w:pPr>
      <w:bookmarkStart w:id="413" w:name="_Toc7998993"/>
      <w:r>
        <w:rPr>
          <w:rFonts w:hint="default" w:ascii="Times New Roman" w:hAnsi="Times New Roman" w:cs="Times New Roman"/>
          <w:color w:val="auto"/>
          <w:sz w:val="24"/>
          <w:szCs w:val="22"/>
        </w:rPr>
        <w:t>3.1.8.2主要经济技术指标</w:t>
      </w:r>
      <w:bookmarkEnd w:id="413"/>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项目主要技术经济指标见3.1-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ind w:firstLine="2835" w:firstLineChars="13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w:t>
      </w:r>
      <w:r>
        <w:rPr>
          <w:rFonts w:hint="default" w:ascii="Times New Roman" w:hAnsi="Times New Roman" w:eastAsia="黑体" w:cs="Times New Roman"/>
          <w:color w:val="auto"/>
          <w:szCs w:val="21"/>
          <w:lang w:val="en-US" w:eastAsia="zh-CN"/>
        </w:rPr>
        <w:t>6</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 xml:space="preserve">主要技术经济指标表 </w:t>
      </w:r>
    </w:p>
    <w:tbl>
      <w:tblPr>
        <w:tblStyle w:val="79"/>
        <w:tblW w:w="85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6"/>
        <w:gridCol w:w="2710"/>
        <w:gridCol w:w="1283"/>
        <w:gridCol w:w="1997"/>
        <w:gridCol w:w="17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 标 名 称</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 位</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  值</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地质储量</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万t</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32.13</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设计利用储量</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万t</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26.80</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122b+332+333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采出矿量</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万t</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26.20</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矿山生产能力</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万t/a</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设计服务年限</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4.367</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4年4个月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c>
          <w:tcPr>
            <w:tcW w:w="2710" w:type="dxa"/>
            <w:noWrap w:val="0"/>
            <w:vAlign w:val="center"/>
          </w:tcPr>
          <w:p>
            <w:pPr>
              <w:pStyle w:val="19"/>
              <w:spacing w:line="28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其中：开采限高以上</w:t>
            </w:r>
          </w:p>
        </w:tc>
        <w:tc>
          <w:tcPr>
            <w:tcW w:w="1283" w:type="dxa"/>
            <w:noWrap w:val="0"/>
            <w:vAlign w:val="center"/>
          </w:tcPr>
          <w:p>
            <w:pPr>
              <w:pStyle w:val="19"/>
              <w:spacing w:line="280" w:lineRule="exact"/>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1997"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2.223</w:t>
            </w:r>
          </w:p>
        </w:tc>
        <w:tc>
          <w:tcPr>
            <w:tcW w:w="1708"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2年2.67个月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c>
          <w:tcPr>
            <w:tcW w:w="2710" w:type="dxa"/>
            <w:noWrap w:val="0"/>
            <w:vAlign w:val="center"/>
          </w:tcPr>
          <w:p>
            <w:pPr>
              <w:pStyle w:val="19"/>
              <w:spacing w:line="28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开采限高以下</w:t>
            </w:r>
          </w:p>
        </w:tc>
        <w:tc>
          <w:tcPr>
            <w:tcW w:w="1283" w:type="dxa"/>
            <w:noWrap w:val="0"/>
            <w:vAlign w:val="center"/>
          </w:tcPr>
          <w:p>
            <w:pPr>
              <w:pStyle w:val="19"/>
              <w:spacing w:line="280" w:lineRule="exact"/>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1997"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2.144</w:t>
            </w:r>
          </w:p>
        </w:tc>
        <w:tc>
          <w:tcPr>
            <w:tcW w:w="1708"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2年1.74个月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开拓方案</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c>
          <w:tcPr>
            <w:tcW w:w="3705" w:type="dxa"/>
            <w:gridSpan w:val="2"/>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竖井及平硐开拓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采矿方法</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c>
          <w:tcPr>
            <w:tcW w:w="3705" w:type="dxa"/>
            <w:gridSpan w:val="2"/>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浅孔留矿采矿法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年工作制度</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338"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采矿回采率</w:t>
            </w:r>
          </w:p>
        </w:tc>
        <w:tc>
          <w:tcPr>
            <w:tcW w:w="1283"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采矿贫化率</w:t>
            </w:r>
          </w:p>
        </w:tc>
        <w:tc>
          <w:tcPr>
            <w:tcW w:w="128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997"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708"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矿石地质品位</w:t>
            </w:r>
          </w:p>
        </w:tc>
        <w:tc>
          <w:tcPr>
            <w:tcW w:w="4988" w:type="dxa"/>
            <w:gridSpan w:val="3"/>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Cu 1.33%；Ag 19.59g/t；S 5.18%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856"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710" w:type="dxa"/>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采出矿石品位</w:t>
            </w:r>
          </w:p>
        </w:tc>
        <w:tc>
          <w:tcPr>
            <w:tcW w:w="4988" w:type="dxa"/>
            <w:gridSpan w:val="3"/>
            <w:noWrap w:val="0"/>
            <w:vAlign w:val="center"/>
          </w:tcPr>
          <w:p>
            <w:pPr>
              <w:pStyle w:val="19"/>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Cu 1.20%；Ag 17.63g/t；S 4.66%</w:t>
            </w:r>
          </w:p>
        </w:tc>
      </w:tr>
    </w:tbl>
    <w:p>
      <w:pP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    </w:t>
      </w: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414" w:name="_Toc17709376"/>
      <w:bookmarkStart w:id="415" w:name="_Toc4060_WPSOffice_Level2"/>
      <w:bookmarkStart w:id="416" w:name="_Toc7998994"/>
      <w:r>
        <w:rPr>
          <w:rFonts w:hint="default" w:ascii="Times New Roman" w:hAnsi="Times New Roman" w:cs="Times New Roman"/>
          <w:color w:val="auto"/>
          <w:sz w:val="24"/>
        </w:rPr>
        <w:t>3.1.9原辅材料及设备清单</w:t>
      </w:r>
      <w:bookmarkEnd w:id="414"/>
      <w:bookmarkEnd w:id="415"/>
      <w:bookmarkEnd w:id="416"/>
    </w:p>
    <w:p>
      <w:pPr>
        <w:adjustRightInd w:val="0"/>
        <w:snapToGrid w:val="0"/>
        <w:spacing w:line="360" w:lineRule="auto"/>
        <w:outlineLvl w:val="3"/>
        <w:rPr>
          <w:rFonts w:hint="default" w:ascii="Times New Roman" w:hAnsi="Times New Roman" w:cs="Times New Roman"/>
          <w:color w:val="auto"/>
          <w:sz w:val="24"/>
          <w:szCs w:val="22"/>
        </w:rPr>
      </w:pPr>
      <w:bookmarkStart w:id="417" w:name="_Toc7998995"/>
      <w:r>
        <w:rPr>
          <w:rFonts w:hint="default" w:ascii="Times New Roman" w:hAnsi="Times New Roman" w:cs="Times New Roman"/>
          <w:color w:val="auto"/>
          <w:sz w:val="24"/>
          <w:szCs w:val="22"/>
        </w:rPr>
        <w:t>3.1.9.1原辅材料</w:t>
      </w:r>
      <w:bookmarkEnd w:id="41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本项目运营期，炸药、雷管等由由</w:t>
      </w:r>
      <w:r>
        <w:rPr>
          <w:rFonts w:hint="default" w:ascii="Times New Roman" w:hAnsi="Times New Roman" w:cs="Times New Roman"/>
          <w:color w:val="auto"/>
          <w:kern w:val="0"/>
          <w:sz w:val="24"/>
        </w:rPr>
        <w:t>专业爆破公司</w:t>
      </w:r>
      <w:r>
        <w:rPr>
          <w:rFonts w:hint="default" w:ascii="Times New Roman" w:hAnsi="Times New Roman" w:cs="Times New Roman"/>
          <w:color w:val="auto"/>
          <w:sz w:val="24"/>
        </w:rPr>
        <w:t>定定时定量配送用于爆破作业，炸药总用量约为31.825t。矿区能源消耗量见表3.1-</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，矿区主要材料消耗指标见表3.1-</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（1）能源消耗</w:t>
      </w:r>
    </w:p>
    <w:p>
      <w:pPr>
        <w:ind w:firstLine="420" w:firstLineChars="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               表3.1-</w:t>
      </w:r>
      <w:r>
        <w:rPr>
          <w:rFonts w:hint="default" w:ascii="Times New Roman" w:hAnsi="Times New Roman" w:eastAsia="黑体" w:cs="Times New Roman"/>
          <w:color w:val="auto"/>
          <w:szCs w:val="21"/>
          <w:lang w:val="en-US" w:eastAsia="zh-CN"/>
        </w:rPr>
        <w:t>7</w:t>
      </w:r>
      <w:r>
        <w:rPr>
          <w:rFonts w:hint="default" w:ascii="Times New Roman" w:hAnsi="Times New Roman" w:eastAsia="黑体" w:cs="Times New Roman"/>
          <w:color w:val="auto"/>
          <w:szCs w:val="21"/>
        </w:rPr>
        <w:t xml:space="preserve">  主要能源消耗表        </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8"/>
        <w:gridCol w:w="709"/>
        <w:gridCol w:w="992"/>
        <w:gridCol w:w="1134"/>
        <w:gridCol w:w="50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exact"/>
          <w:jc w:val="center"/>
        </w:trPr>
        <w:tc>
          <w:tcPr>
            <w:tcW w:w="678"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70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99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c>
          <w:tcPr>
            <w:tcW w:w="113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消耗量</w:t>
            </w:r>
          </w:p>
        </w:tc>
        <w:tc>
          <w:tcPr>
            <w:tcW w:w="5015" w:type="dxa"/>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9" w:hRule="exact"/>
          <w:jc w:val="center"/>
        </w:trPr>
        <w:tc>
          <w:tcPr>
            <w:tcW w:w="678"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70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tc>
        <w:tc>
          <w:tcPr>
            <w:tcW w:w="992" w:type="dxa"/>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134" w:type="dxa"/>
            <w:noWrap w:val="0"/>
            <w:vAlign w:val="center"/>
          </w:tcPr>
          <w:p>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892.5</w:t>
            </w:r>
          </w:p>
        </w:tc>
        <w:tc>
          <w:tcPr>
            <w:tcW w:w="5015" w:type="dxa"/>
            <w:noWrap w:val="0"/>
            <w:vAlign w:val="center"/>
          </w:tcPr>
          <w:p>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生产用水是矿井涌水，生活用水由矿区自有水井提供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exact"/>
          <w:jc w:val="center"/>
        </w:trPr>
        <w:tc>
          <w:tcPr>
            <w:tcW w:w="678"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70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992" w:type="dxa"/>
            <w:noWrap w:val="0"/>
            <w:vAlign w:val="center"/>
          </w:tcPr>
          <w:p>
            <w:pPr>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kw/a</w:t>
            </w:r>
          </w:p>
        </w:tc>
        <w:tc>
          <w:tcPr>
            <w:tcW w:w="1134" w:type="dxa"/>
            <w:noWrap w:val="0"/>
            <w:vAlign w:val="center"/>
          </w:tcPr>
          <w:p>
            <w:pPr>
              <w:spacing w:line="24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500</w:t>
            </w:r>
          </w:p>
        </w:tc>
        <w:tc>
          <w:tcPr>
            <w:tcW w:w="5015" w:type="dxa"/>
            <w:noWrap w:val="0"/>
            <w:vAlign w:val="center"/>
          </w:tcPr>
          <w:p>
            <w:pPr>
              <w:spacing w:line="24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柴油发电机组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exact"/>
          <w:jc w:val="center"/>
        </w:trPr>
        <w:tc>
          <w:tcPr>
            <w:tcW w:w="67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709"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柴油</w:t>
            </w:r>
          </w:p>
        </w:tc>
        <w:tc>
          <w:tcPr>
            <w:tcW w:w="992" w:type="dxa"/>
            <w:noWrap w:val="0"/>
            <w:vAlign w:val="center"/>
          </w:tcPr>
          <w:p>
            <w:pPr>
              <w:spacing w:line="240" w:lineRule="exact"/>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t</w:t>
            </w:r>
            <w:r>
              <w:rPr>
                <w:rFonts w:hint="default" w:ascii="Times New Roman" w:hAnsi="Times New Roman" w:eastAsia="宋体" w:cs="Times New Roman"/>
                <w:color w:val="auto"/>
              </w:rPr>
              <w:t>/a</w:t>
            </w:r>
          </w:p>
        </w:tc>
        <w:tc>
          <w:tcPr>
            <w:tcW w:w="1134" w:type="dxa"/>
            <w:noWrap w:val="0"/>
            <w:vAlign w:val="center"/>
          </w:tcPr>
          <w:p>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c>
          <w:tcPr>
            <w:tcW w:w="5015" w:type="dxa"/>
            <w:noWrap w:val="0"/>
            <w:vAlign w:val="center"/>
          </w:tcPr>
          <w:p>
            <w:pPr>
              <w:spacing w:line="240" w:lineRule="exact"/>
              <w:rPr>
                <w:rFonts w:hint="default" w:ascii="Times New Roman" w:hAnsi="Times New Roman" w:eastAsia="宋体" w:cs="Times New Roman"/>
                <w:color w:val="auto"/>
                <w:sz w:val="24"/>
                <w:szCs w:val="22"/>
              </w:rPr>
            </w:pPr>
          </w:p>
        </w:tc>
      </w:tr>
    </w:tbl>
    <w:p>
      <w:pPr>
        <w:spacing w:line="360" w:lineRule="auto"/>
        <w:ind w:firstLine="240" w:firstLineChars="100"/>
        <w:rPr>
          <w:rFonts w:hint="default" w:ascii="Times New Roman" w:hAnsi="Times New Roman" w:eastAsia="黑体" w:cs="Times New Roman"/>
          <w:color w:val="auto"/>
          <w:szCs w:val="21"/>
        </w:rPr>
      </w:pPr>
      <w:r>
        <w:rPr>
          <w:rFonts w:hint="default" w:ascii="Times New Roman" w:hAnsi="Times New Roman" w:eastAsia="黑体" w:cs="Times New Roman"/>
          <w:color w:val="auto"/>
          <w:sz w:val="24"/>
        </w:rPr>
        <w:t>（2）主要材料消耗</w:t>
      </w:r>
      <w:r>
        <w:rPr>
          <w:rFonts w:hint="default" w:ascii="Times New Roman" w:hAnsi="Times New Roman" w:eastAsia="黑体" w:cs="Times New Roman"/>
          <w:color w:val="auto"/>
          <w:szCs w:val="21"/>
        </w:rPr>
        <w:t xml:space="preserve"> </w:t>
      </w:r>
    </w:p>
    <w:p>
      <w:pPr>
        <w:spacing w:line="360" w:lineRule="auto"/>
        <w:ind w:firstLine="210" w:firstLineChars="100"/>
        <w:rPr>
          <w:rFonts w:hint="default" w:ascii="Times New Roman" w:hAnsi="Times New Roman" w:eastAsia="黑体" w:cs="Times New Roman"/>
          <w:color w:val="auto"/>
          <w:szCs w:val="21"/>
        </w:rPr>
      </w:pPr>
    </w:p>
    <w:p>
      <w:pPr>
        <w:ind w:firstLine="2835" w:firstLineChars="13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w:t>
      </w:r>
      <w:r>
        <w:rPr>
          <w:rFonts w:hint="default" w:ascii="Times New Roman" w:hAnsi="Times New Roman" w:eastAsia="黑体" w:cs="Times New Roman"/>
          <w:color w:val="auto"/>
          <w:szCs w:val="21"/>
          <w:lang w:val="en-US" w:eastAsia="zh-CN"/>
        </w:rPr>
        <w:t>8</w:t>
      </w:r>
      <w:r>
        <w:rPr>
          <w:rFonts w:hint="default" w:ascii="Times New Roman" w:hAnsi="Times New Roman" w:eastAsia="黑体" w:cs="Times New Roman"/>
          <w:color w:val="auto"/>
          <w:szCs w:val="21"/>
        </w:rPr>
        <w:t xml:space="preserve">  主要材料消耗指标表  </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17"/>
        <w:gridCol w:w="872"/>
        <w:gridCol w:w="468"/>
        <w:gridCol w:w="742"/>
        <w:gridCol w:w="832"/>
        <w:gridCol w:w="741"/>
        <w:gridCol w:w="951"/>
        <w:gridCol w:w="878"/>
        <w:gridCol w:w="833"/>
        <w:gridCol w:w="845"/>
        <w:gridCol w:w="8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874"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材料名称</w:t>
            </w:r>
          </w:p>
        </w:tc>
        <w:tc>
          <w:tcPr>
            <w:tcW w:w="46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2316" w:type="dxa"/>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掘进（12.52m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2663" w:type="dxa"/>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采矿（240t/d）</w:t>
            </w:r>
          </w:p>
        </w:tc>
        <w:tc>
          <w:tcPr>
            <w:tcW w:w="1689" w:type="dxa"/>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综合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vMerge w:val="continue"/>
            <w:noWrap w:val="0"/>
            <w:vAlign w:val="center"/>
          </w:tcPr>
          <w:p>
            <w:pPr>
              <w:jc w:val="center"/>
              <w:rPr>
                <w:rFonts w:hint="default" w:ascii="Times New Roman" w:hAnsi="Times New Roman" w:cs="Times New Roman"/>
                <w:color w:val="auto"/>
                <w:szCs w:val="21"/>
              </w:rPr>
            </w:pPr>
          </w:p>
        </w:tc>
        <w:tc>
          <w:tcPr>
            <w:tcW w:w="874" w:type="dxa"/>
            <w:vMerge w:val="continue"/>
            <w:noWrap w:val="0"/>
            <w:vAlign w:val="center"/>
          </w:tcPr>
          <w:p>
            <w:pPr>
              <w:jc w:val="center"/>
              <w:rPr>
                <w:rFonts w:hint="default" w:ascii="Times New Roman" w:hAnsi="Times New Roman" w:cs="Times New Roman"/>
                <w:color w:val="auto"/>
                <w:szCs w:val="21"/>
              </w:rPr>
            </w:pPr>
          </w:p>
        </w:tc>
        <w:tc>
          <w:tcPr>
            <w:tcW w:w="468" w:type="dxa"/>
            <w:vMerge w:val="continue"/>
            <w:noWrap w:val="0"/>
            <w:vAlign w:val="center"/>
          </w:tcPr>
          <w:p>
            <w:pPr>
              <w:jc w:val="center"/>
              <w:rPr>
                <w:rFonts w:hint="default" w:ascii="Times New Roman" w:hAnsi="Times New Roman" w:cs="Times New Roman"/>
                <w:color w:val="auto"/>
                <w:szCs w:val="21"/>
              </w:rPr>
            </w:pP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单耗</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日耗</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年耗</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单耗</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日耗</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年耗</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单耗</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7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炸药</w:t>
            </w:r>
          </w:p>
        </w:tc>
        <w:tc>
          <w:tcPr>
            <w:tcW w:w="46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kg</w:t>
            </w: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31.30 </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7825 </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0.40</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96.00 </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24000 </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0.530</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31825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87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导爆管</w:t>
            </w:r>
          </w:p>
        </w:tc>
        <w:tc>
          <w:tcPr>
            <w:tcW w:w="46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22.54 </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5634 </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0.46</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110.40 </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27600 </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0.554</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33234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87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钎头</w:t>
            </w:r>
          </w:p>
        </w:tc>
        <w:tc>
          <w:tcPr>
            <w:tcW w:w="46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0.009</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0.11 </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28 </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0.004</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0.96 </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240 </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0.004</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268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7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钎子钢</w:t>
            </w:r>
          </w:p>
        </w:tc>
        <w:tc>
          <w:tcPr>
            <w:tcW w:w="46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kg</w:t>
            </w: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0.75 </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188 </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12.00 </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3000 </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0.053</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3188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After w:w="0" w:type="dxa"/>
          <w:trHeight w:val="454" w:hRule="exact"/>
          <w:jc w:val="center"/>
        </w:trPr>
        <w:tc>
          <w:tcPr>
            <w:tcW w:w="5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7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机油</w:t>
            </w:r>
          </w:p>
        </w:tc>
        <w:tc>
          <w:tcPr>
            <w:tcW w:w="46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kg</w:t>
            </w:r>
          </w:p>
        </w:tc>
        <w:tc>
          <w:tcPr>
            <w:tcW w:w="74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0.25 </w:t>
            </w:r>
          </w:p>
        </w:tc>
        <w:tc>
          <w:tcPr>
            <w:tcW w:w="74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63 </w:t>
            </w:r>
          </w:p>
        </w:tc>
        <w:tc>
          <w:tcPr>
            <w:tcW w:w="95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87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0.24 </w:t>
            </w:r>
          </w:p>
        </w:tc>
        <w:tc>
          <w:tcPr>
            <w:tcW w:w="83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60 </w:t>
            </w:r>
          </w:p>
        </w:tc>
        <w:tc>
          <w:tcPr>
            <w:tcW w:w="8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8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123 </w:t>
            </w:r>
          </w:p>
        </w:tc>
      </w:tr>
    </w:tbl>
    <w:p>
      <w:pP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  </w:t>
      </w:r>
    </w:p>
    <w:p>
      <w:pPr>
        <w:adjustRightInd w:val="0"/>
        <w:snapToGrid w:val="0"/>
        <w:spacing w:line="360" w:lineRule="auto"/>
        <w:outlineLvl w:val="3"/>
        <w:rPr>
          <w:rFonts w:hint="default" w:ascii="Times New Roman" w:hAnsi="Times New Roman" w:cs="Times New Roman"/>
          <w:color w:val="auto"/>
          <w:sz w:val="24"/>
          <w:szCs w:val="22"/>
        </w:rPr>
      </w:pPr>
      <w:bookmarkStart w:id="418" w:name="_Toc30982"/>
      <w:bookmarkStart w:id="419" w:name="_Toc23504"/>
      <w:bookmarkStart w:id="420" w:name="_Toc4922"/>
      <w:bookmarkStart w:id="421" w:name="_Toc7998996"/>
      <w:bookmarkStart w:id="422" w:name="_Toc32230"/>
      <w:bookmarkStart w:id="423" w:name="_Toc26749"/>
      <w:r>
        <w:rPr>
          <w:rFonts w:hint="default" w:ascii="Times New Roman" w:hAnsi="Times New Roman" w:cs="Times New Roman"/>
          <w:color w:val="auto"/>
          <w:sz w:val="24"/>
          <w:szCs w:val="22"/>
        </w:rPr>
        <w:t>3.1.9.2矿山主要生产设备</w:t>
      </w:r>
      <w:bookmarkEnd w:id="418"/>
      <w:bookmarkEnd w:id="419"/>
      <w:bookmarkEnd w:id="420"/>
      <w:bookmarkEnd w:id="421"/>
      <w:bookmarkEnd w:id="422"/>
      <w:bookmarkEnd w:id="423"/>
    </w:p>
    <w:p>
      <w:pPr>
        <w:pStyle w:val="378"/>
        <w:snapToGrid w:val="0"/>
        <w:ind w:firstLine="600" w:firstLineChars="250"/>
        <w:rPr>
          <w:rFonts w:hint="default" w:ascii="Times New Roman" w:hAnsi="Times New Roman" w:cs="Times New Roman"/>
          <w:color w:val="auto"/>
        </w:rPr>
      </w:pPr>
      <w:r>
        <w:rPr>
          <w:rFonts w:hint="default" w:ascii="Times New Roman" w:hAnsi="Times New Roman" w:cs="Times New Roman"/>
          <w:color w:val="auto"/>
        </w:rPr>
        <w:t>采矿主要设备详见表3.1-</w:t>
      </w:r>
      <w:r>
        <w:rPr>
          <w:rFonts w:hint="default" w:ascii="Times New Roman" w:hAnsi="Times New Roman" w:cs="Times New Roman"/>
          <w:color w:val="auto"/>
          <w:lang w:val="en-US" w:eastAsia="zh-CN"/>
        </w:rPr>
        <w:t>9</w:t>
      </w:r>
      <w:r>
        <w:rPr>
          <w:rFonts w:hint="default" w:ascii="Times New Roman" w:hAnsi="Times New Roman" w:cs="Times New Roman"/>
          <w:color w:val="auto"/>
        </w:rPr>
        <w:t>。</w:t>
      </w:r>
    </w:p>
    <w:p>
      <w:pPr>
        <w:ind w:firstLine="3045" w:firstLineChars="14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w:t>
      </w:r>
      <w:r>
        <w:rPr>
          <w:rFonts w:hint="default" w:ascii="Times New Roman" w:hAnsi="Times New Roman" w:eastAsia="黑体" w:cs="Times New Roman"/>
          <w:color w:val="auto"/>
          <w:szCs w:val="21"/>
          <w:lang w:val="en-US" w:eastAsia="zh-CN"/>
        </w:rPr>
        <w:t>9</w:t>
      </w:r>
      <w:r>
        <w:rPr>
          <w:rFonts w:hint="default" w:ascii="Times New Roman" w:hAnsi="Times New Roman" w:eastAsia="黑体" w:cs="Times New Roman"/>
          <w:color w:val="auto"/>
          <w:szCs w:val="21"/>
        </w:rPr>
        <w:t xml:space="preserve">   矿山主要设备表 </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2"/>
        <w:gridCol w:w="1574"/>
        <w:gridCol w:w="2344"/>
        <w:gridCol w:w="648"/>
        <w:gridCol w:w="692"/>
        <w:gridCol w:w="1299"/>
        <w:gridCol w:w="13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94"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型号及规格</w:t>
            </w:r>
          </w:p>
        </w:tc>
        <w:tc>
          <w:tcPr>
            <w:tcW w:w="380" w:type="pct"/>
            <w:tcBorders>
              <w:right w:val="single" w:color="auto" w:sz="2" w:space="0"/>
            </w:tcBorders>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406" w:type="pct"/>
            <w:tcBorders>
              <w:left w:val="single" w:color="auto" w:sz="2" w:space="0"/>
            </w:tcBorders>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电机kW</w:t>
            </w:r>
          </w:p>
        </w:tc>
        <w:tc>
          <w:tcPr>
            <w:tcW w:w="787"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4634" w:type="pct"/>
            <w:gridSpan w:val="6"/>
            <w:noWrap w:val="0"/>
            <w:vAlign w:val="center"/>
          </w:tcPr>
          <w:p>
            <w:pPr>
              <w:adjustRightInd w:val="0"/>
              <w:snapToGrid w:val="0"/>
              <w:spacing w:line="240" w:lineRule="exact"/>
              <w:rPr>
                <w:rFonts w:hint="default" w:ascii="Times New Roman" w:hAnsi="Times New Roman" w:cs="Times New Roman"/>
                <w:color w:val="auto"/>
                <w:szCs w:val="21"/>
              </w:rPr>
            </w:pPr>
            <w:r>
              <w:rPr>
                <w:rFonts w:hint="default" w:ascii="Times New Roman" w:hAnsi="Times New Roman" w:cs="Times New Roman"/>
                <w:color w:val="auto"/>
                <w:szCs w:val="21"/>
              </w:rPr>
              <w:t>采矿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凿岩机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7655</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局扇</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JK55-2N04.5</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混凝土喷射机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2PG转子Ⅱ型</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轴流式通风机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K40-8№11</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87"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东风井主扇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轴流式通风机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K40-8№15</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7"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西风井主扇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4634" w:type="pct"/>
            <w:gridSpan w:val="6"/>
            <w:noWrap w:val="0"/>
            <w:vAlign w:val="center"/>
          </w:tcPr>
          <w:p>
            <w:pPr>
              <w:adjustRightInd w:val="0"/>
              <w:snapToGrid w:val="0"/>
              <w:spacing w:line="240" w:lineRule="exact"/>
              <w:rPr>
                <w:rFonts w:hint="default" w:ascii="Times New Roman" w:hAnsi="Times New Roman" w:cs="Times New Roman"/>
                <w:color w:val="auto"/>
                <w:szCs w:val="21"/>
              </w:rPr>
            </w:pPr>
            <w:r>
              <w:rPr>
                <w:rFonts w:hint="default" w:ascii="Times New Roman" w:hAnsi="Times New Roman" w:cs="Times New Roman"/>
                <w:color w:val="auto"/>
                <w:szCs w:val="21"/>
              </w:rPr>
              <w:t>矿  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提升机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2JTP-1.6×1.2/24</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罐笼</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单绳单层</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螺杆式空压机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/min，</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23"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翻转式矿车</w:t>
            </w:r>
          </w:p>
        </w:tc>
        <w:tc>
          <w:tcPr>
            <w:tcW w:w="1375"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YFC0.5-6  0.5m</w:t>
            </w:r>
            <w:r>
              <w:rPr>
                <w:rFonts w:hint="default" w:ascii="Times New Roman" w:hAnsi="Times New Roman" w:cs="Times New Roman"/>
                <w:color w:val="auto"/>
                <w:vertAlign w:val="superscript"/>
              </w:rPr>
              <w:t>3</w:t>
            </w:r>
          </w:p>
        </w:tc>
        <w:tc>
          <w:tcPr>
            <w:tcW w:w="380"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辆</w:t>
            </w:r>
          </w:p>
        </w:tc>
        <w:tc>
          <w:tcPr>
            <w:tcW w:w="406"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40</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水泵</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D25-30×8</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762"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37</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4634" w:type="pct"/>
            <w:gridSpan w:val="6"/>
            <w:noWrap w:val="0"/>
            <w:vAlign w:val="center"/>
          </w:tcPr>
          <w:p>
            <w:pPr>
              <w:adjustRightInd w:val="0"/>
              <w:snapToGrid w:val="0"/>
              <w:spacing w:line="240" w:lineRule="exact"/>
              <w:rPr>
                <w:rFonts w:hint="default" w:ascii="Times New Roman" w:hAnsi="Times New Roman" w:cs="Times New Roman"/>
                <w:color w:val="auto"/>
                <w:szCs w:val="21"/>
              </w:rPr>
            </w:pPr>
            <w:r>
              <w:rPr>
                <w:rFonts w:hint="default" w:ascii="Times New Roman" w:hAnsi="Times New Roman" w:cs="Times New Roman"/>
                <w:color w:val="auto"/>
                <w:szCs w:val="21"/>
              </w:rPr>
              <w:t>电气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23"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柴油发电机组</w:t>
            </w:r>
          </w:p>
        </w:tc>
        <w:tc>
          <w:tcPr>
            <w:tcW w:w="1375"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DY500B 500kW 0.4KV</w:t>
            </w:r>
          </w:p>
        </w:tc>
        <w:tc>
          <w:tcPr>
            <w:tcW w:w="380"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台</w:t>
            </w:r>
          </w:p>
        </w:tc>
        <w:tc>
          <w:tcPr>
            <w:tcW w:w="406"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23"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柴油发电机组</w:t>
            </w:r>
          </w:p>
        </w:tc>
        <w:tc>
          <w:tcPr>
            <w:tcW w:w="1375"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DY200B 200kW 0.4KV</w:t>
            </w:r>
          </w:p>
        </w:tc>
        <w:tc>
          <w:tcPr>
            <w:tcW w:w="380"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台</w:t>
            </w:r>
          </w:p>
        </w:tc>
        <w:tc>
          <w:tcPr>
            <w:tcW w:w="406" w:type="pct"/>
            <w:noWrap w:val="0"/>
            <w:vAlign w:val="center"/>
          </w:tcPr>
          <w:p>
            <w:pPr>
              <w:spacing w:line="24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0.4kV配电柜</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GCS</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面</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整流柜</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ZQA-400/150</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exact"/>
          <w:jc w:val="center"/>
        </w:trPr>
        <w:tc>
          <w:tcPr>
            <w:tcW w:w="36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923"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调度电话总机</w:t>
            </w:r>
          </w:p>
        </w:tc>
        <w:tc>
          <w:tcPr>
            <w:tcW w:w="1375"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20门</w:t>
            </w:r>
          </w:p>
        </w:tc>
        <w:tc>
          <w:tcPr>
            <w:tcW w:w="380"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6" w:type="pct"/>
            <w:noWrap w:val="0"/>
            <w:vAlign w:val="center"/>
          </w:tcPr>
          <w:p>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2"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87" w:type="pct"/>
            <w:noWrap w:val="0"/>
            <w:vAlign w:val="center"/>
          </w:tcPr>
          <w:p>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bl>
    <w:p>
      <w:pP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     </w:t>
      </w:r>
    </w:p>
    <w:bookmarkEnd w:id="364"/>
    <w:bookmarkEnd w:id="365"/>
    <w:bookmarkEnd w:id="366"/>
    <w:bookmarkEnd w:id="367"/>
    <w:bookmarkEnd w:id="368"/>
    <w:bookmarkEnd w:id="407"/>
    <w:bookmarkEnd w:id="408"/>
    <w:bookmarkEnd w:id="409"/>
    <w:bookmarkEnd w:id="410"/>
    <w:bookmarkEnd w:id="411"/>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424" w:name="_Toc32527"/>
      <w:bookmarkStart w:id="425" w:name="_Toc17642"/>
      <w:bookmarkStart w:id="426" w:name="_Toc24892"/>
      <w:bookmarkStart w:id="427" w:name="_Toc7998998"/>
      <w:bookmarkStart w:id="428" w:name="_Toc22531"/>
      <w:bookmarkStart w:id="429" w:name="_Toc20107"/>
      <w:bookmarkStart w:id="430" w:name="_Toc19292_WPSOffice_Level2"/>
      <w:bookmarkStart w:id="431" w:name="_Toc17709377"/>
      <w:r>
        <w:rPr>
          <w:rFonts w:hint="default" w:ascii="Times New Roman" w:hAnsi="Times New Roman" w:cs="Times New Roman"/>
          <w:color w:val="auto"/>
          <w:sz w:val="24"/>
        </w:rPr>
        <w:t>3.1.10总图布置</w:t>
      </w:r>
      <w:bookmarkEnd w:id="424"/>
      <w:bookmarkEnd w:id="425"/>
      <w:bookmarkEnd w:id="426"/>
      <w:bookmarkEnd w:id="427"/>
      <w:bookmarkEnd w:id="428"/>
      <w:bookmarkEnd w:id="429"/>
      <w:r>
        <w:rPr>
          <w:rFonts w:hint="default" w:ascii="Times New Roman" w:hAnsi="Times New Roman" w:cs="Times New Roman"/>
          <w:color w:val="auto"/>
          <w:sz w:val="24"/>
        </w:rPr>
        <w:t>及工程占地</w:t>
      </w:r>
      <w:bookmarkEnd w:id="430"/>
      <w:bookmarkEnd w:id="431"/>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3.1.10.1总图布置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矿区划定面积0.42km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本项目组成主要由采矿工业场地、废石堆场、场内道路、生活办公基础设施等组成。矿山各开拓系统采矿工业设施均围绕主运输平硐口周边布置；生活区位于矿区南部沟谷内的平缓开阔地带。</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（1）采矿工业场地</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本项目主要有6个分布在不同方位的矿体组成，根据矿体资源分布的情况及现场的实际情况，依次对各矿体设置工业场地，具体详见表3.1-</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ind w:firstLine="2520" w:firstLineChars="1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w:t>
      </w:r>
      <w:r>
        <w:rPr>
          <w:rFonts w:hint="default" w:ascii="Times New Roman" w:hAnsi="Times New Roman" w:eastAsia="黑体" w:cs="Times New Roman"/>
          <w:color w:val="auto"/>
          <w:szCs w:val="21"/>
          <w:lang w:val="en-US" w:eastAsia="zh-CN"/>
        </w:rPr>
        <w:t>10</w:t>
      </w:r>
      <w:r>
        <w:rPr>
          <w:rFonts w:hint="default" w:ascii="Times New Roman" w:hAnsi="Times New Roman" w:eastAsia="黑体" w:cs="Times New Roman"/>
          <w:color w:val="auto"/>
          <w:szCs w:val="21"/>
        </w:rPr>
        <w:t xml:space="preserve">   项目工业场地明细表 </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02"/>
        <w:gridCol w:w="70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exact"/>
          <w:jc w:val="center"/>
        </w:trPr>
        <w:tc>
          <w:tcPr>
            <w:tcW w:w="8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矿体名称</w:t>
            </w:r>
          </w:p>
        </w:tc>
        <w:tc>
          <w:tcPr>
            <w:tcW w:w="411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建设内容及规模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306" w:hRule="exact"/>
          <w:jc w:val="center"/>
        </w:trPr>
        <w:tc>
          <w:tcPr>
            <w:tcW w:w="8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Ⅰ、Ⅱ、Ⅲ、Ⅳ号矿体工业场地</w:t>
            </w:r>
          </w:p>
        </w:tc>
        <w:tc>
          <w:tcPr>
            <w:tcW w:w="4119"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工业场南距生活区200m。设计工业场地的空压机房、发电机房依次布置在罐笼竖井东北侧，卷扬机房布置在罐笼竖井东侧偏北，坑口值班室置在罐笼竖井东南，矿石堆场布置在罐笼竖井南侧沟洼地带，其它设施均根据生产工艺顺序布置。该工业场地占地面积3600㎡左右，地表工业设施建筑面积450㎡左右。</w:t>
            </w:r>
          </w:p>
          <w:p>
            <w:pPr>
              <w:spacing w:line="24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68" w:hRule="exact"/>
          <w:jc w:val="center"/>
        </w:trPr>
        <w:tc>
          <w:tcPr>
            <w:tcW w:w="881"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Ⅴ矿体及Ⅵ矿体场地</w:t>
            </w:r>
          </w:p>
        </w:tc>
        <w:tc>
          <w:tcPr>
            <w:tcW w:w="4119" w:type="pct"/>
            <w:noWrap w:val="0"/>
            <w:vAlign w:val="center"/>
          </w:tcPr>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Ⅴ矿体及Ⅵ矿体工业场地合建。</w:t>
            </w:r>
          </w:p>
          <w:p>
            <w:pPr>
              <w:adjustRightInd w:val="0"/>
              <w:snapToGrid w:val="0"/>
              <w:spacing w:line="2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设计工业场地的空压机房、发电机房依次布置在Ⅴ矿体1952m平硐口西北侧，矿石堆场布置在1952m平硐口南侧沟洼地带，其它设施均根据生产工艺顺序布置。工业场地占地面积1200㎡，地表工业设施建筑面积120㎡。</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（2）废石堆场</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，可满足废石堆放需要。</w:t>
      </w:r>
    </w:p>
    <w:p>
      <w:pPr>
        <w:adjustRightInd w:val="0"/>
        <w:snapToGrid w:val="0"/>
        <w:spacing w:line="360" w:lineRule="auto"/>
        <w:ind w:firstLine="480" w:firstLineChars="200"/>
        <w:rPr>
          <w:rFonts w:hint="default" w:ascii="Times New Roman" w:hAnsi="Times New Roman" w:cs="Times New Roman"/>
          <w:color w:val="auto"/>
          <w:sz w:val="24"/>
        </w:rPr>
      </w:pPr>
      <w:r>
        <w:rPr>
          <w:rStyle w:val="544"/>
          <w:rFonts w:hint="default" w:ascii="Times New Roman" w:hAnsi="Times New Roman" w:cs="Times New Roman"/>
          <w:color w:val="auto"/>
        </w:rPr>
        <w:t>各废石堆场</w:t>
      </w:r>
      <w:r>
        <w:rPr>
          <w:rFonts w:hint="default" w:ascii="Times New Roman" w:hAnsi="Times New Roman" w:cs="Times New Roman"/>
          <w:color w:val="auto"/>
          <w:sz w:val="24"/>
        </w:rPr>
        <w:t>堆场高度小于4.5m，采用紧密分层压实堆放，分层间留2m宽台阶，堆放前缘坡度不大于</w:t>
      </w:r>
      <w:r>
        <w:rPr>
          <w:rStyle w:val="544"/>
          <w:rFonts w:hint="default" w:ascii="Times New Roman" w:hAnsi="Times New Roman" w:cs="Times New Roman"/>
          <w:color w:val="auto"/>
        </w:rPr>
        <w:t>40°</w:t>
      </w:r>
      <w:r>
        <w:rPr>
          <w:rFonts w:hint="default" w:ascii="Times New Roman" w:hAnsi="Times New Roman" w:cs="Times New Roman"/>
          <w:color w:val="auto"/>
          <w:sz w:val="24"/>
        </w:rPr>
        <w:t>。</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为了减少废石堆场的占地面积，本次环评要求：在项目基建、开采及闭矿期间尽量将废石用于填平工业场地、回填采空区、路基材料等用途，减少废石的产生量；同时在建设废石堆场时，应设计考虑采取必要的废石堆稳定防护措施：</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①在废石场周围设置完整的排水系统，上游及两侧建设完善截排洪工程；</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②在废石场四周修筑拦石坝，拦石坝采用浆砌块石砌筑；</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③废石堆放采用自上而下逐层放缓台阶形边坡。各平台还应有2%～3%的逆坡，使场内雨水流向坡脚处（平台眉线与山坡交汇线）的排水沟，然后汇入场外沟渠一并外排。在场地地势较陡的地段要局部挖出台阶，以利于废石的稳定安息。</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（3）爆破器材库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按照相关规定，乌鲁木齐市周围的矿山，爆破器材由民爆公司统一配送。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（4）矿部生活区</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矿山生活区位于矿区南部沟谷内的平缓开阔地带，北距Ⅰ、Ⅱ、Ⅲ、Ⅳ号矿体工业场地2000m。区内</w:t>
      </w:r>
      <w:r>
        <w:rPr>
          <w:rFonts w:hint="eastAsia" w:ascii="Times New Roman" w:hAnsi="Times New Roman" w:cs="Times New Roman"/>
          <w:color w:val="auto"/>
          <w:lang w:eastAsia="zh-CN"/>
        </w:rPr>
        <w:t>生活设施有</w:t>
      </w:r>
      <w:r>
        <w:rPr>
          <w:rFonts w:hint="default" w:ascii="Times New Roman" w:hAnsi="Times New Roman" w:cs="Times New Roman"/>
          <w:color w:val="auto"/>
        </w:rPr>
        <w:t>宿舍、食堂、浴室等，</w:t>
      </w:r>
      <w:r>
        <w:rPr>
          <w:rFonts w:hint="eastAsia" w:ascii="Times New Roman" w:hAnsi="Times New Roman" w:cs="Times New Roman"/>
          <w:color w:val="auto"/>
          <w:lang w:eastAsia="zh-CN"/>
        </w:rPr>
        <w:t>利用原有设施，</w:t>
      </w:r>
      <w:r>
        <w:rPr>
          <w:rFonts w:hint="default" w:ascii="Times New Roman" w:hAnsi="Times New Roman" w:cs="Times New Roman"/>
          <w:color w:val="auto"/>
        </w:rPr>
        <w:t>总建筑面积744m</w:t>
      </w:r>
      <w:r>
        <w:rPr>
          <w:rFonts w:hint="default" w:ascii="Times New Roman" w:hAnsi="Times New Roman" w:cs="Times New Roman"/>
          <w:color w:val="auto"/>
          <w:vertAlign w:val="superscript"/>
        </w:rPr>
        <w:t>2</w:t>
      </w:r>
      <w:r>
        <w:rPr>
          <w:rFonts w:hint="default" w:ascii="Times New Roman" w:hAnsi="Times New Roman" w:cs="Times New Roman"/>
          <w:color w:val="auto"/>
        </w:rPr>
        <w:t>，占地面积约6000m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（5）矿石运输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①矿石、废石内部运输</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矿山坑内及地表矿石、废石运输采用有轨运输，矿石、废石由采用3t蓄电池式电机车牵引0.5m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翻转式矿车运输，轨距为600mm，轨道采用15kg/m钢轨。中段的运输平巷为向平硐口方向 3‰的重车下坡方式。矿石自平硐运至地表后，先堆放在矿石堆场然后由运输车拉运至外售地。废石自平硐运至地表后，然后由人工经地表轨道推运至废石场，部分废石进行综合利用，剩余部分由运输车辆运至废石堆场进行集中堆放。</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②矿石运输</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本项目主要有6个分布在不同方位的矿体组成，根据各矿体工业场地分部情况，依次沿个矿体敷设场内道路，最终与外部道路汇集相连。</w:t>
      </w:r>
    </w:p>
    <w:p>
      <w:pPr>
        <w:pStyle w:val="378"/>
        <w:snapToGrid w:val="0"/>
        <w:ind w:firstLine="480" w:firstLineChars="200"/>
        <w:rPr>
          <w:rFonts w:hint="default" w:ascii="Times New Roman" w:hAnsi="Times New Roman" w:cs="Times New Roman"/>
          <w:color w:val="auto"/>
          <w:szCs w:val="21"/>
          <w:vertAlign w:val="superscript"/>
        </w:rPr>
      </w:pPr>
      <w:r>
        <w:rPr>
          <w:rFonts w:hint="default" w:ascii="Times New Roman" w:hAnsi="Times New Roman" w:cs="Times New Roman"/>
          <w:color w:val="auto"/>
        </w:rPr>
        <w:t>采场工业场地道路</w:t>
      </w:r>
      <w:r>
        <w:rPr>
          <w:rFonts w:hint="default" w:ascii="Times New Roman" w:hAnsi="Times New Roman" w:cs="Times New Roman"/>
          <w:color w:val="auto"/>
          <w:lang w:val="en-US" w:eastAsia="zh-CN"/>
        </w:rPr>
        <w:t>2.8</w:t>
      </w:r>
      <w:r>
        <w:rPr>
          <w:rFonts w:hint="default" w:ascii="Times New Roman" w:hAnsi="Times New Roman" w:cs="Times New Roman"/>
          <w:color w:val="auto"/>
        </w:rPr>
        <w:t>km，主干道路面宽为4.5m，路基宽6.5m，最大坡度8%，最小转弯半径为15m。路面结构为简易碎石。占地面积为</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82</w:t>
      </w:r>
      <w:r>
        <w:rPr>
          <w:rFonts w:hint="default" w:ascii="Times New Roman" w:hAnsi="Times New Roman" w:cs="Times New Roman"/>
          <w:color w:val="auto"/>
          <w:lang w:val="en-US" w:eastAsia="zh-CN"/>
        </w:rPr>
        <w:t>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rPr>
        <w:t>。</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（6）外部运输</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矿石外运运输道路与本项目相接，可满足项目矿石外运的要求。</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详见项目区总平面布置图3.1-</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3.1.10.2项目占地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项目区工程占地情况见表3.1-</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w:t>
      </w:r>
      <w:r>
        <w:rPr>
          <w:rFonts w:hint="default" w:ascii="Times New Roman" w:hAnsi="Times New Roman" w:eastAsia="黑体" w:cs="Times New Roman"/>
          <w:color w:val="auto"/>
          <w:szCs w:val="21"/>
          <w:lang w:val="en-US" w:eastAsia="zh-CN"/>
        </w:rPr>
        <w:t>11</w:t>
      </w:r>
      <w:r>
        <w:rPr>
          <w:rFonts w:hint="default" w:ascii="Times New Roman" w:hAnsi="Times New Roman" w:eastAsia="黑体" w:cs="Times New Roman"/>
          <w:color w:val="auto"/>
          <w:szCs w:val="21"/>
        </w:rPr>
        <w:t xml:space="preserve">  工程占地一览表</w:t>
      </w:r>
    </w:p>
    <w:tbl>
      <w:tblPr>
        <w:tblStyle w:val="7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349"/>
        <w:gridCol w:w="1844"/>
        <w:gridCol w:w="1986"/>
        <w:gridCol w:w="1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46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37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项目名称</w:t>
            </w:r>
          </w:p>
        </w:tc>
        <w:tc>
          <w:tcPr>
            <w:tcW w:w="10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占地面积（m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116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建筑面积（m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46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37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Ⅰ、Ⅱ、Ⅲ、Ⅳ号矿体工业场地</w:t>
            </w:r>
          </w:p>
        </w:tc>
        <w:tc>
          <w:tcPr>
            <w:tcW w:w="10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3600</w:t>
            </w:r>
          </w:p>
        </w:tc>
        <w:tc>
          <w:tcPr>
            <w:tcW w:w="116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450</w:t>
            </w: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彩板房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46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378"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Ⅴ矿体及Ⅵ矿体场地</w:t>
            </w:r>
          </w:p>
        </w:tc>
        <w:tc>
          <w:tcPr>
            <w:tcW w:w="10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1200</w:t>
            </w:r>
          </w:p>
        </w:tc>
        <w:tc>
          <w:tcPr>
            <w:tcW w:w="116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彩板房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46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37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废石堆放场</w:t>
            </w:r>
          </w:p>
        </w:tc>
        <w:tc>
          <w:tcPr>
            <w:tcW w:w="1082"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4000</w:t>
            </w:r>
          </w:p>
        </w:tc>
        <w:tc>
          <w:tcPr>
            <w:tcW w:w="116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46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37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矿山道路</w:t>
            </w:r>
          </w:p>
        </w:tc>
        <w:tc>
          <w:tcPr>
            <w:tcW w:w="1082"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val="en-US" w:eastAsia="zh-CN"/>
              </w:rPr>
              <w:t>82</w:t>
            </w:r>
            <w:r>
              <w:rPr>
                <w:rFonts w:hint="default" w:ascii="Times New Roman" w:hAnsi="Times New Roman" w:eastAsia="宋体" w:cs="Times New Roman"/>
                <w:color w:val="auto"/>
                <w:szCs w:val="21"/>
                <w:lang w:val="en-US" w:eastAsia="zh-CN"/>
              </w:rPr>
              <w:t>00</w:t>
            </w:r>
          </w:p>
        </w:tc>
        <w:tc>
          <w:tcPr>
            <w:tcW w:w="116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碎石路面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847" w:type="pct"/>
            <w:gridSpan w:val="2"/>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1082"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27000</w:t>
            </w:r>
          </w:p>
        </w:tc>
        <w:tc>
          <w:tcPr>
            <w:tcW w:w="1165" w:type="pct"/>
            <w:noWrap w:val="0"/>
            <w:vAlign w:val="center"/>
          </w:tcPr>
          <w:p>
            <w:pPr>
              <w:jc w:val="center"/>
              <w:rPr>
                <w:rFonts w:hint="default" w:ascii="Times New Roman" w:hAnsi="Times New Roman" w:eastAsia="宋体" w:cs="Times New Roman"/>
                <w:color w:val="auto"/>
                <w:szCs w:val="21"/>
              </w:rPr>
            </w:pPr>
          </w:p>
        </w:tc>
        <w:tc>
          <w:tcPr>
            <w:tcW w:w="90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pStyle w:val="4"/>
        <w:keepLines/>
        <w:adjustRightInd w:val="0"/>
        <w:snapToGrid w:val="0"/>
        <w:spacing w:line="360" w:lineRule="auto"/>
        <w:ind w:left="661" w:hanging="661" w:hangingChars="235"/>
        <w:jc w:val="both"/>
        <w:rPr>
          <w:rFonts w:hint="default" w:ascii="Times New Roman" w:hAnsi="Times New Roman" w:cs="Times New Roman"/>
          <w:color w:val="auto"/>
          <w:sz w:val="28"/>
          <w:szCs w:val="28"/>
        </w:rPr>
      </w:pPr>
      <w:bookmarkStart w:id="432" w:name="_Toc8474"/>
      <w:bookmarkStart w:id="433" w:name="_Toc11581"/>
      <w:bookmarkStart w:id="434" w:name="_Toc17603"/>
      <w:bookmarkStart w:id="435" w:name="_Toc17709378"/>
      <w:bookmarkStart w:id="436" w:name="_Toc14318"/>
      <w:bookmarkStart w:id="437" w:name="_Toc2231_WPSOffice_Level1"/>
      <w:bookmarkStart w:id="438" w:name="_Toc16780"/>
      <w:bookmarkStart w:id="439" w:name="_Toc3139_WPSOffice_Level2"/>
      <w:bookmarkStart w:id="440" w:name="_Toc17709288"/>
      <w:bookmarkStart w:id="441" w:name="_Toc8836361"/>
      <w:bookmarkStart w:id="442" w:name="_Toc7998999"/>
      <w:r>
        <w:rPr>
          <w:rFonts w:hint="default" w:ascii="Times New Roman" w:hAnsi="Times New Roman" w:cs="Times New Roman"/>
          <w:color w:val="auto"/>
          <w:sz w:val="28"/>
          <w:szCs w:val="28"/>
        </w:rPr>
        <w:t>3.2采矿工程概况</w:t>
      </w:r>
      <w:bookmarkEnd w:id="432"/>
      <w:bookmarkEnd w:id="433"/>
      <w:bookmarkEnd w:id="434"/>
      <w:bookmarkEnd w:id="435"/>
      <w:bookmarkEnd w:id="436"/>
      <w:bookmarkEnd w:id="437"/>
      <w:bookmarkEnd w:id="438"/>
      <w:bookmarkEnd w:id="439"/>
      <w:bookmarkEnd w:id="440"/>
      <w:bookmarkEnd w:id="441"/>
      <w:bookmarkEnd w:id="442"/>
    </w:p>
    <w:p>
      <w:pPr>
        <w:pStyle w:val="4"/>
        <w:keepLines/>
        <w:adjustRightInd w:val="0"/>
        <w:snapToGrid w:val="0"/>
        <w:spacing w:line="360" w:lineRule="auto"/>
        <w:ind w:left="661" w:hanging="661" w:hangingChars="235"/>
        <w:jc w:val="both"/>
        <w:rPr>
          <w:rFonts w:hint="default" w:ascii="Times New Roman" w:hAnsi="Times New Roman" w:cs="Times New Roman"/>
          <w:color w:val="auto"/>
          <w:sz w:val="28"/>
          <w:szCs w:val="28"/>
        </w:rPr>
      </w:pPr>
      <w:bookmarkStart w:id="443" w:name="_Toc17709289"/>
      <w:bookmarkStart w:id="444" w:name="_Toc17709383"/>
      <w:bookmarkStart w:id="445" w:name="_Toc23796_WPSOffice_Level2"/>
      <w:bookmarkStart w:id="446" w:name="_Toc15135_WPSOffice_Level1"/>
      <w:bookmarkStart w:id="447" w:name="_Toc8836362"/>
      <w:bookmarkStart w:id="448" w:name="_Toc7999007"/>
      <w:r>
        <w:rPr>
          <w:rFonts w:hint="default" w:ascii="Times New Roman" w:hAnsi="Times New Roman" w:cs="Times New Roman"/>
          <w:color w:val="auto"/>
          <w:sz w:val="28"/>
          <w:szCs w:val="28"/>
        </w:rPr>
        <w:t>3.2采矿工程概况</w:t>
      </w: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b/>
          <w:bCs/>
          <w:color w:val="auto"/>
          <w:sz w:val="24"/>
          <w:lang w:eastAsia="zh-CN"/>
        </w:rPr>
      </w:pPr>
      <w:bookmarkStart w:id="449" w:name="_Toc11030"/>
      <w:bookmarkStart w:id="450" w:name="_Toc7999000"/>
      <w:bookmarkStart w:id="451" w:name="_Toc909"/>
      <w:bookmarkStart w:id="452" w:name="_Toc6455"/>
      <w:bookmarkStart w:id="453" w:name="_Toc23038_WPSOffice_Level2"/>
      <w:bookmarkStart w:id="454" w:name="_Toc901"/>
      <w:bookmarkStart w:id="455" w:name="_Toc17709379"/>
      <w:bookmarkStart w:id="456" w:name="_Toc7682"/>
      <w:r>
        <w:rPr>
          <w:rFonts w:hint="eastAsia" w:ascii="Times New Roman" w:hAnsi="Times New Roman" w:cs="Times New Roman"/>
          <w:b/>
          <w:bCs/>
          <w:color w:val="auto"/>
          <w:sz w:val="24"/>
          <w:lang w:val="en-US" w:eastAsia="zh-CN"/>
        </w:rPr>
        <w:t>3.2.1</w:t>
      </w:r>
      <w:r>
        <w:rPr>
          <w:rFonts w:hint="default" w:ascii="Times New Roman" w:hAnsi="Times New Roman" w:cs="Times New Roman"/>
          <w:b/>
          <w:bCs/>
          <w:color w:val="auto"/>
          <w:sz w:val="24"/>
        </w:rPr>
        <w:t>矿山现状及</w:t>
      </w:r>
      <w:r>
        <w:rPr>
          <w:rFonts w:hint="default" w:ascii="Times New Roman" w:hAnsi="Times New Roman" w:cs="Times New Roman"/>
          <w:b/>
          <w:bCs/>
          <w:color w:val="auto"/>
          <w:sz w:val="24"/>
          <w:lang w:eastAsia="zh-CN"/>
        </w:rPr>
        <w:t>存在的环境问题</w:t>
      </w:r>
    </w:p>
    <w:p>
      <w:pPr>
        <w:adjustRightInd w:val="0"/>
        <w:snapToGrid w:val="0"/>
        <w:spacing w:line="360" w:lineRule="auto"/>
        <w:outlineLvl w:val="3"/>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3.2.1.1</w:t>
      </w:r>
      <w:r>
        <w:rPr>
          <w:rFonts w:hint="default" w:ascii="Times New Roman" w:hAnsi="Times New Roman" w:cs="Times New Roman"/>
          <w:color w:val="auto"/>
          <w:sz w:val="24"/>
          <w:szCs w:val="22"/>
          <w:lang w:val="en-US" w:eastAsia="zh-CN"/>
        </w:rPr>
        <w:t xml:space="preserve"> 矿山现状</w:t>
      </w:r>
    </w:p>
    <w:p>
      <w:pPr>
        <w:pStyle w:val="446"/>
        <w:pageBreakBefore w:val="0"/>
        <w:widowControl w:val="0"/>
        <w:kinsoku/>
        <w:wordWrap/>
        <w:overflowPunct/>
        <w:topLinePunct w:val="0"/>
        <w:bidi w:val="0"/>
        <w:adjustRightInd w:val="0"/>
        <w:snapToGrid w:val="0"/>
        <w:spacing w:line="360" w:lineRule="auto"/>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新疆达坂城柴窝堡杏树沟铜矿是一个小型规模的老矿山，2013年乌鲁木齐北天山欣欣矿业有限公司取得该矿采矿权，采矿许可证有效期自2013年3月27日至2020年8月27日（证号：C6500002010123120107175）。</w:t>
      </w:r>
    </w:p>
    <w:p>
      <w:pPr>
        <w:pStyle w:val="378"/>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老矿山</w:t>
      </w:r>
      <w:r>
        <w:rPr>
          <w:rFonts w:hint="default" w:ascii="Times New Roman" w:hAnsi="Times New Roman" w:cs="Times New Roman"/>
          <w:color w:val="auto"/>
        </w:rPr>
        <w:t>生活区位于矿区南部沟谷内的平缓开阔地带，总建筑面积744m</w:t>
      </w:r>
      <w:r>
        <w:rPr>
          <w:rFonts w:hint="default" w:ascii="Times New Roman" w:hAnsi="Times New Roman" w:cs="Times New Roman"/>
          <w:color w:val="auto"/>
          <w:vertAlign w:val="superscript"/>
        </w:rPr>
        <w:t>2</w:t>
      </w:r>
      <w:r>
        <w:rPr>
          <w:rFonts w:hint="default" w:ascii="Times New Roman" w:hAnsi="Times New Roman" w:cs="Times New Roman"/>
          <w:color w:val="auto"/>
        </w:rPr>
        <w:t>，占地面积约6000m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kern w:val="2"/>
          <w:sz w:val="24"/>
          <w:szCs w:val="24"/>
          <w:lang w:val="en-US" w:eastAsia="zh-CN" w:bidi="ar-SA"/>
        </w:rPr>
        <w:t>矿山以往临时爆破器材库建筑物已被拆除</w:t>
      </w:r>
      <w:r>
        <w:rPr>
          <w:rFonts w:hint="eastAsia" w:ascii="Times New Roman" w:hAnsi="Times New Roman" w:cs="Times New Roman"/>
          <w:color w:val="auto"/>
          <w:kern w:val="2"/>
          <w:sz w:val="24"/>
          <w:szCs w:val="24"/>
          <w:lang w:val="en-US" w:eastAsia="zh-CN" w:bidi="ar-SA"/>
        </w:rPr>
        <w:t>。</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根据现状调查，矿山目前在地表有3个老采坑（1、2、3号露天采坑）、3处废石堆放区域、3处废弃平硐口和1处采空区，具体如下：</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1、三处露天采坑</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矿山目前在地表有3个老采坑（1、2、3号露天采坑），分述如下：</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1）1号露天采坑位于Ⅰ、Ⅱ矿体上部，呈L形，采坑长约17-87m，宽约30-60m，深约6-25m，面积约3000m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，体积约2.15万m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2）2号露天采坑位于Ⅲ矿体上部，采坑长约142m，宽约6-10m，深约2-10m，面积约1200m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3）3号露天采坑位于Ⅳ矿体上部，采坑长约53m，宽约6-11m，深约4.5m，面积约500m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上述三处露天采坑区域面积共计4700m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，露天采坑体积共计约2.5万m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2、三处废石堆放区域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1）1号废石堆放区域位于1号露天采坑北东部约200m处，废石堆放长70m，宽4-8m，最大堆高6-8m，占地面积500m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left"/>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2）2号废石堆放区域位于2号露天采坑周边，废石堆放长约30m，宽约30m，最大堆高约7m，占地面积900m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3）3号废石堆放区域位于3号露天采坑东北部约100m处，废石堆放长约40-50m，宽约6m，最大堆高约6m，占地面积300m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上述三处废石堆放面积共计1700m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，废石体积共计5000m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3、三处废弃平硐口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根据开发利用方案，矿山原有的三处平硐（PD5、PD6、PD7）不再利用，平硐口截面净面积均为4.81m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，总面积约15m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，现状下未封堵。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4、现状下采空区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根据储量核实报告，现状下采空区位于Ⅲ号矿体上部，采空区地表长约180m，在1968m水平处长140m，采矿从地表到1968m水平最深处为65m，最低处深度约为23m，采空区面积4408m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，现状下未发生地面塌陷地质灾害。</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现状下，矿山未进行开采。</w:t>
      </w:r>
    </w:p>
    <w:p>
      <w:pPr>
        <w:adjustRightInd w:val="0"/>
        <w:snapToGrid w:val="0"/>
        <w:spacing w:line="360" w:lineRule="auto"/>
        <w:outlineLvl w:val="3"/>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3.2.1.2</w:t>
      </w:r>
      <w:r>
        <w:rPr>
          <w:rFonts w:hint="default" w:ascii="Times New Roman" w:hAnsi="Times New Roman" w:cs="Times New Roman"/>
          <w:color w:val="auto"/>
          <w:sz w:val="24"/>
          <w:szCs w:val="22"/>
          <w:lang w:val="en-US" w:eastAsia="zh-CN"/>
        </w:rPr>
        <w:t xml:space="preserve"> 矿山存在的环境问题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根据现场情况来看，主要存在的环境问题如下：</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3.2</w:t>
      </w:r>
      <w:r>
        <w:rPr>
          <w:rFonts w:hint="default" w:ascii="Times New Roman" w:hAnsi="Times New Roman" w:eastAsia="黑体" w:cs="Times New Roman"/>
          <w:color w:val="auto"/>
          <w:szCs w:val="21"/>
          <w:lang w:val="en-US" w:eastAsia="zh-CN"/>
        </w:rPr>
        <w:t>-1各采区现存环保问题及整改措施</w:t>
      </w:r>
    </w:p>
    <w:tbl>
      <w:tblPr>
        <w:tblStyle w:val="79"/>
        <w:tblW w:w="8721"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165"/>
        <w:gridCol w:w="2897"/>
        <w:gridCol w:w="138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采区名称</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现存环保问题</w:t>
            </w:r>
          </w:p>
        </w:tc>
        <w:tc>
          <w:tcPr>
            <w:tcW w:w="2897"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整改措施</w:t>
            </w:r>
          </w:p>
        </w:tc>
        <w:tc>
          <w:tcPr>
            <w:tcW w:w="1383"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整改时限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Ⅰ矿体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w:t>
            </w:r>
            <w:r>
              <w:rPr>
                <w:rFonts w:hint="eastAsia" w:ascii="Times New Roman" w:hAnsi="Times New Roman" w:cs="Times New Roman"/>
                <w:color w:val="auto"/>
                <w:kern w:val="2"/>
                <w:sz w:val="21"/>
                <w:szCs w:val="21"/>
                <w:lang w:val="en-US" w:eastAsia="zh-CN" w:bidi="ar-SA"/>
              </w:rPr>
              <w:t>15</w:t>
            </w:r>
            <w:r>
              <w:rPr>
                <w:rFonts w:hint="default" w:ascii="Times New Roman" w:hAnsi="Times New Roman" w:cs="Times New Roman"/>
                <w:color w:val="auto"/>
                <w:kern w:val="2"/>
                <w:sz w:val="21"/>
                <w:szCs w:val="21"/>
                <w:lang w:val="en-US" w:eastAsia="zh-CN" w:bidi="ar-SA"/>
              </w:rPr>
              <w:t>00m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restart"/>
            <w:tcBorders>
              <w:tl2br w:val="nil"/>
              <w:tr2bl w:val="nil"/>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将所有废石集中堆放在本次新设的废石场。</w:t>
            </w:r>
          </w:p>
        </w:tc>
        <w:tc>
          <w:tcPr>
            <w:tcW w:w="1383" w:type="dxa"/>
            <w:vMerge w:val="restar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待项目实施时予以落实</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76" w:type="dxa"/>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kern w:val="2"/>
                <w:sz w:val="21"/>
                <w:szCs w:val="21"/>
                <w:lang w:val="en-US" w:eastAsia="zh-CN" w:bidi="ar-SA"/>
              </w:rPr>
              <w:t>Ⅲ矿体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w:t>
            </w:r>
            <w:r>
              <w:rPr>
                <w:rFonts w:hint="eastAsia" w:ascii="Times New Roman" w:hAnsi="Times New Roman" w:cs="Times New Roman"/>
                <w:color w:val="auto"/>
                <w:kern w:val="2"/>
                <w:sz w:val="21"/>
                <w:szCs w:val="21"/>
                <w:lang w:val="en-US" w:eastAsia="zh-CN" w:bidi="ar-SA"/>
              </w:rPr>
              <w:t>25</w:t>
            </w:r>
            <w:r>
              <w:rPr>
                <w:rFonts w:hint="default" w:ascii="Times New Roman" w:hAnsi="Times New Roman" w:cs="Times New Roman"/>
                <w:color w:val="auto"/>
                <w:kern w:val="2"/>
                <w:sz w:val="21"/>
                <w:szCs w:val="21"/>
                <w:lang w:val="en-US" w:eastAsia="zh-CN" w:bidi="ar-SA"/>
              </w:rPr>
              <w:t>00m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c>
          <w:tcPr>
            <w:tcW w:w="1383"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kern w:val="2"/>
                <w:sz w:val="21"/>
                <w:szCs w:val="21"/>
                <w:lang w:val="en-US" w:eastAsia="zh-CN" w:bidi="ar-SA"/>
              </w:rPr>
              <w:t>Ⅳ矿体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废石场现有废石约10</w:t>
            </w:r>
            <w:r>
              <w:rPr>
                <w:rFonts w:hint="eastAsia" w:ascii="Times New Roman" w:hAnsi="Times New Roman"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c>
          <w:tcPr>
            <w:tcW w:w="1383"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r>
    </w:tbl>
    <w:p>
      <w:pPr>
        <w:spacing w:line="360" w:lineRule="auto"/>
        <w:ind w:firstLine="480" w:firstLineChars="200"/>
        <w:rPr>
          <w:rFonts w:hint="default" w:ascii="Times New Roman" w:hAnsi="Times New Roman" w:cs="Times New Roman"/>
          <w:snapToGrid w:val="0"/>
          <w:color w:val="auto"/>
          <w:kern w:val="0"/>
          <w:sz w:val="24"/>
        </w:rPr>
      </w:pP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bCs w:val="0"/>
          <w:color w:val="auto"/>
          <w:sz w:val="24"/>
        </w:rPr>
      </w:pPr>
      <w:r>
        <w:rPr>
          <w:rFonts w:hint="default" w:ascii="Times New Roman" w:hAnsi="Times New Roman" w:cs="Times New Roman"/>
          <w:color w:val="auto"/>
          <w:sz w:val="24"/>
        </w:rPr>
        <w:t>3.2.</w:t>
      </w:r>
      <w:r>
        <w:rPr>
          <w:rFonts w:hint="eastAsia" w:ascii="Times New Roman" w:hAnsi="Times New Roman" w:cs="Times New Roman"/>
          <w:color w:val="auto"/>
          <w:sz w:val="24"/>
          <w:lang w:val="en-US" w:eastAsia="zh-CN"/>
        </w:rPr>
        <w:t>2</w:t>
      </w:r>
      <w:r>
        <w:rPr>
          <w:rFonts w:hint="default" w:ascii="Times New Roman" w:hAnsi="Times New Roman" w:cs="Times New Roman"/>
          <w:bCs w:val="0"/>
          <w:color w:val="auto"/>
          <w:sz w:val="24"/>
        </w:rPr>
        <w:t>开采方式、开采范围和开采顺序</w:t>
      </w:r>
      <w:bookmarkEnd w:id="449"/>
      <w:bookmarkEnd w:id="450"/>
      <w:bookmarkEnd w:id="451"/>
      <w:bookmarkEnd w:id="452"/>
      <w:bookmarkEnd w:id="453"/>
      <w:bookmarkEnd w:id="454"/>
      <w:bookmarkEnd w:id="455"/>
      <w:bookmarkEnd w:id="456"/>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（1）开采方式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本项目矿山设计采用地下开采方式。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（2）开采范围</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开采范围为：矿山设计开采标高范围为2140m-1823m。</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（3）开采顺序</w:t>
      </w:r>
    </w:p>
    <w:p>
      <w:pPr>
        <w:adjustRightInd w:val="0"/>
        <w:snapToGrid w:val="0"/>
        <w:spacing w:line="360" w:lineRule="auto"/>
        <w:ind w:firstLine="480" w:firstLineChars="200"/>
        <w:rPr>
          <w:rFonts w:hint="default" w:ascii="Times New Roman" w:hAnsi="Times New Roman" w:cs="Times New Roman"/>
          <w:color w:val="auto"/>
          <w:sz w:val="24"/>
        </w:rPr>
      </w:pPr>
      <w:bookmarkStart w:id="457" w:name="_Toc4881"/>
      <w:bookmarkStart w:id="458" w:name="_Toc1581"/>
      <w:bookmarkStart w:id="459" w:name="_Toc28615"/>
      <w:bookmarkStart w:id="460" w:name="_Toc24148_WPSOffice_Level2"/>
      <w:bookmarkStart w:id="461" w:name="_Toc5509"/>
      <w:bookmarkStart w:id="462" w:name="_Toc7999001"/>
      <w:r>
        <w:rPr>
          <w:rFonts w:hint="default" w:ascii="Times New Roman" w:hAnsi="Times New Roman" w:cs="Times New Roman"/>
          <w:color w:val="auto"/>
          <w:sz w:val="24"/>
        </w:rPr>
        <w:t>由于Ⅰ、Ⅱ、Ⅲ、Ⅳ号矿体合计利用资源量占总利用资源量的99.05%，而Ⅴ、Ⅵ号等矿体设计利用资源量占设计利用总资源量的0.95%，因此，设计以Ⅰ、Ⅱ、Ⅲ、Ⅳ号矿体开拓系统为主全服务期开采，其生产规模除第一年按照57465.48吨/a安排外，其余各年按照60000吨/a（240t/d）安排；同时设计安排第一年同时依次开采Ⅴ、Ⅵ号等两个矿体，相应的生产任务为2534.52吨/a，作为Ⅰ、Ⅱ、Ⅲ、Ⅳ号矿体开拓系统第一年生产任务的补充，共同形成60000t/a（240t/d）的生产能力。</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设计总的开采顺序为自上而下开采；中段内采场采用先上盘后下盘，自端部向平硐口方向的后退式回采顺序。</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463" w:name="_Toc17709380"/>
      <w:r>
        <w:rPr>
          <w:rFonts w:hint="default" w:ascii="Times New Roman" w:hAnsi="Times New Roman" w:cs="Times New Roman"/>
          <w:bCs w:val="0"/>
          <w:color w:val="auto"/>
          <w:sz w:val="24"/>
          <w:szCs w:val="24"/>
        </w:rPr>
        <w:t>3.2.</w:t>
      </w:r>
      <w:r>
        <w:rPr>
          <w:rFonts w:hint="eastAsia"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rPr>
        <w:t>开拓方案</w:t>
      </w:r>
      <w:bookmarkEnd w:id="457"/>
      <w:bookmarkEnd w:id="458"/>
      <w:bookmarkEnd w:id="459"/>
      <w:bookmarkEnd w:id="460"/>
      <w:bookmarkEnd w:id="461"/>
      <w:bookmarkEnd w:id="462"/>
      <w:bookmarkEnd w:id="463"/>
    </w:p>
    <w:p>
      <w:pPr>
        <w:adjustRightInd w:val="0"/>
        <w:snapToGrid w:val="0"/>
        <w:spacing w:line="360" w:lineRule="auto"/>
        <w:outlineLvl w:val="3"/>
        <w:rPr>
          <w:rFonts w:hint="default" w:ascii="Times New Roman" w:hAnsi="Times New Roman" w:cs="Times New Roman"/>
          <w:color w:val="auto"/>
          <w:sz w:val="24"/>
          <w:szCs w:val="22"/>
        </w:rPr>
      </w:pPr>
      <w:bookmarkStart w:id="464" w:name="_Toc15547"/>
      <w:bookmarkStart w:id="465" w:name="_Toc9680"/>
      <w:bookmarkStart w:id="466" w:name="_Toc7999002"/>
      <w:r>
        <w:rPr>
          <w:rFonts w:hint="default" w:ascii="Times New Roman" w:hAnsi="Times New Roman" w:cs="Times New Roman"/>
          <w:color w:val="auto"/>
          <w:sz w:val="24"/>
          <w:szCs w:val="22"/>
        </w:rPr>
        <w:t>3.2.</w:t>
      </w:r>
      <w:r>
        <w:rPr>
          <w:rFonts w:hint="eastAsia"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.1地表移动范围</w:t>
      </w:r>
      <w:bookmarkEnd w:id="464"/>
      <w:bookmarkEnd w:id="465"/>
      <w:bookmarkEnd w:id="466"/>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本项目岩石移动角度如下：</w:t>
      </w:r>
    </w:p>
    <w:p>
      <w:pPr>
        <w:adjustRightInd w:val="0"/>
        <w:snapToGrid w:val="0"/>
        <w:spacing w:line="360" w:lineRule="auto"/>
        <w:ind w:firstLine="480" w:firstLineChars="200"/>
        <w:rPr>
          <w:rFonts w:hint="default" w:ascii="Times New Roman" w:hAnsi="Times New Roman" w:cs="Times New Roman"/>
          <w:color w:val="auto"/>
          <w:sz w:val="24"/>
        </w:rPr>
      </w:pPr>
      <w:bookmarkStart w:id="467" w:name="_Toc160"/>
      <w:bookmarkStart w:id="468" w:name="_Toc18035"/>
      <w:bookmarkStart w:id="469" w:name="_Toc7999003"/>
      <w:r>
        <w:rPr>
          <w:rFonts w:hint="default" w:ascii="Times New Roman" w:hAnsi="Times New Roman" w:cs="Times New Roman"/>
          <w:color w:val="auto"/>
          <w:sz w:val="24"/>
        </w:rPr>
        <w:t>下盘岩石移动角为65°，当矿体倾角小于65°时下盘岩石移动角为矿体倾角；上盘岩石移动角65°；端部岩石移动角70°。</w:t>
      </w: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3.2.</w:t>
      </w:r>
      <w:r>
        <w:rPr>
          <w:rFonts w:hint="eastAsia"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.2开拓运输方案</w:t>
      </w:r>
      <w:bookmarkEnd w:id="467"/>
      <w:bookmarkEnd w:id="468"/>
      <w:bookmarkEnd w:id="469"/>
    </w:p>
    <w:p>
      <w:pPr>
        <w:adjustRightInd w:val="0"/>
        <w:snapToGrid w:val="0"/>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rPr>
        <w:t>设计各矿体均采用平硐及平硐+溜井开拓方案。</w:t>
      </w:r>
      <w:bookmarkStart w:id="470" w:name="_Toc7999005"/>
      <w:bookmarkStart w:id="471" w:name="_Toc10069_WPSOffice_Level2"/>
      <w:bookmarkStart w:id="472" w:name="_Toc10750"/>
      <w:bookmarkStart w:id="473" w:name="_Toc20035"/>
      <w:bookmarkStart w:id="474" w:name="_Toc3572"/>
      <w:bookmarkStart w:id="475" w:name="_Toc17709381"/>
      <w:bookmarkStart w:id="476" w:name="_Toc9378"/>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rPr>
        <w:t>3.2.</w:t>
      </w:r>
      <w:r>
        <w:rPr>
          <w:rFonts w:hint="eastAsia" w:ascii="Times New Roman" w:hAnsi="Times New Roman" w:cs="Times New Roman"/>
          <w:bCs w:val="0"/>
          <w:color w:val="auto"/>
          <w:sz w:val="24"/>
          <w:szCs w:val="24"/>
          <w:lang w:val="en-US" w:eastAsia="zh-CN"/>
        </w:rPr>
        <w:t>4</w:t>
      </w:r>
      <w:r>
        <w:rPr>
          <w:rFonts w:hint="default" w:ascii="Times New Roman" w:hAnsi="Times New Roman" w:cs="Times New Roman"/>
          <w:bCs w:val="0"/>
          <w:color w:val="auto"/>
          <w:sz w:val="24"/>
          <w:szCs w:val="24"/>
        </w:rPr>
        <w:t>开采方法</w:t>
      </w:r>
      <w:bookmarkEnd w:id="470"/>
      <w:bookmarkEnd w:id="471"/>
      <w:bookmarkEnd w:id="472"/>
      <w:bookmarkEnd w:id="473"/>
      <w:bookmarkEnd w:id="474"/>
      <w:bookmarkEnd w:id="475"/>
      <w:bookmarkEnd w:id="476"/>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考虑该矿生产规模不大，矿体厚度不大，产状多为急倾斜等特点，为适应矿山需要，设计推荐采用浅孔留矿采矿法开采。</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477" w:name="_Toc17709382"/>
      <w:bookmarkStart w:id="478" w:name="_Toc7999006"/>
      <w:bookmarkStart w:id="479" w:name="_Toc26234_WPSOffice_Level2"/>
      <w:r>
        <w:rPr>
          <w:rFonts w:hint="default" w:ascii="Times New Roman" w:hAnsi="Times New Roman" w:cs="Times New Roman"/>
          <w:bCs w:val="0"/>
          <w:color w:val="auto"/>
          <w:sz w:val="24"/>
          <w:szCs w:val="24"/>
        </w:rPr>
        <w:t>3.2.</w:t>
      </w:r>
      <w:r>
        <w:rPr>
          <w:rFonts w:hint="eastAsia" w:ascii="Times New Roman" w:hAnsi="Times New Roman" w:cs="Times New Roman"/>
          <w:bCs w:val="0"/>
          <w:color w:val="auto"/>
          <w:sz w:val="24"/>
          <w:szCs w:val="24"/>
          <w:lang w:val="en-US" w:eastAsia="zh-CN"/>
        </w:rPr>
        <w:t>5</w:t>
      </w:r>
      <w:r>
        <w:rPr>
          <w:rFonts w:hint="default" w:ascii="Times New Roman" w:hAnsi="Times New Roman" w:cs="Times New Roman"/>
          <w:bCs w:val="0"/>
          <w:color w:val="auto"/>
          <w:sz w:val="24"/>
          <w:szCs w:val="24"/>
        </w:rPr>
        <w:t>开采流程</w:t>
      </w:r>
      <w:bookmarkEnd w:id="477"/>
      <w:bookmarkEnd w:id="478"/>
      <w:bookmarkEnd w:id="479"/>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（1）矿块参数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矿房沿矿体走向布置，长度为45-50m不等，高度为中段高25-50m，宽度为矿体厚度。矿房留底柱5m，间柱6m，顶柱4m。</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（2）采准切割</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留矿采矿法采切工程包括中段运输巷道、切割天井、联络道、拉底巷道及漏斗等。设计中段运输巷道在矿体下盘沿脉掘进，然后在中段运输巷道内向上掘进脉内切割天井，并与上中段平巷或地表贯通，天井内设人行梯。沿天井垂直方向每隔5m向两侧掘进联络道，采场两端联络道在高程上应错开布置，随着回采工作面的逐步提高，各联络道与两边矿房依次贯通。回采作业的全过程中，必须确保采场两侧的联络道有两个以上随时保持畅通，以满足作业人员进出采场及通风需要。</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在沿脉运输巷道中每隔6.0m靠近矿体下盘掘进漏斗颈至拉底平巷，相邻漏斗辟漏形成拉底巷道，作为备采工作面，拉底巷道高2.5m。</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（3）回采作业</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回采作业工序包括两个及部分：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回采工作面检查及撬顶以清除浮石、采场平整、凿岩、装药、爆破及通风。矿房回采自下而上分层进行，浅孔凿岩，打水平或上向孔。孔径38～42mm，孔距0.8m，排距为0.8m，孔深2.0m，梅花型布孔，起爆器＋塑料导爆管＋2号岩石硝铵炸药爆破。回采作业的主要质量问题是，一是严格控制开采界限，最大限度降低贫化；二是严格控制落矿块度，避免放矿时堵塞漏斗，造成放矿困难。</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矿房回采自拉底平巷开始，回采宽度为矿体厚度。矿石在爆破作用下破碎后，其所占空间会扩大约50%，为了给采场凿岩、爆破及通风工作提供合适的作业空间，每次爆破后放出爆下矿石的三分之一左右，放矿不宜过多或过少，其余矿石暂留矿房作为回采凿岩时的工作平台，同时也可起到支撑顶底板的作用。放矿时矿石借自重从漏斗溜放至矿车中运出平巷，放矿作业时间应与采场回采作业时间错开，严禁同时作业，以避免引起采场作业人员埋没事故发生。</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矿房顶柱留4m，间柱6m，在矿房顶板稳固性较差时，可在矿房内留若干矿柱，以保证顶底板稳定。</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（4）大放矿</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房回采结束后时，应组织集中放矿。大放矿是浅孔留矿法采矿的重要环节，组织的好坏对出矿质量有很大影响，一般在回采结束后，立即组织，存窿矿量不宜存放时间过长，避免采场围岩因暴露时间过长塌落而引起矿石贫化，或大块围岩塌落卡死漏斗，使采场中部分矿石无法放出、或放出不经济而引起的矿石损失。</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（5）回采顺序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为减小矿山基建工程量，降低初期投资，矿山开采采用自上而下的顺序，中段内从矿体端部向竖井或平硐方向后退式的顺序回采。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（6）采场顶、底板管理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在矿房回采中采场支护视顶、底板围岩稳定性而定，若稳固性稍差者，在矿房中用锚杆或锚网加固；若稳固性好者，由间柱和底柱支撑即可。</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（7）间柱、顶柱回收及采空区处理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柱回采在矿房回采结束后进行，间柱和顶柱及上中段底柱采用隔一采一方式回收，矿柱采用集中布孔、分次爆破崩落法回采。空区处理视顶、底板围岩稳定情况，若空区过大，顶、底板围岩不好者，空区采用下中段掘进废石进行回填，或崩落顶板岩石充填采空区。</w:t>
      </w:r>
    </w:p>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r>
        <w:rPr>
          <w:rFonts w:hint="default" w:ascii="Times New Roman" w:hAnsi="Times New Roman" w:cs="Times New Roman"/>
          <w:color w:val="auto"/>
          <w:sz w:val="28"/>
          <w:szCs w:val="28"/>
        </w:rPr>
        <w:t>3.3</w:t>
      </w:r>
      <w:r>
        <w:rPr>
          <w:rFonts w:hint="default" w:ascii="Times New Roman" w:hAnsi="Times New Roman" w:cs="Times New Roman"/>
          <w:bCs w:val="0"/>
          <w:color w:val="auto"/>
          <w:sz w:val="28"/>
          <w:szCs w:val="28"/>
        </w:rPr>
        <w:t>采矿工艺流程及产污节点</w:t>
      </w:r>
      <w:bookmarkEnd w:id="443"/>
      <w:bookmarkEnd w:id="444"/>
      <w:bookmarkEnd w:id="445"/>
      <w:bookmarkEnd w:id="446"/>
      <w:bookmarkEnd w:id="447"/>
      <w:bookmarkEnd w:id="448"/>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480" w:name="_Toc7999008"/>
      <w:bookmarkStart w:id="481" w:name="_Toc7525_WPSOffice_Level2"/>
      <w:bookmarkStart w:id="482" w:name="_Toc17709384"/>
      <w:r>
        <w:rPr>
          <w:rFonts w:hint="default" w:ascii="Times New Roman" w:hAnsi="Times New Roman" w:cs="Times New Roman"/>
          <w:bCs w:val="0"/>
          <w:color w:val="auto"/>
          <w:sz w:val="24"/>
          <w:szCs w:val="24"/>
        </w:rPr>
        <w:t>3.3.1采矿工艺流程</w:t>
      </w:r>
      <w:bookmarkEnd w:id="480"/>
      <w:bookmarkEnd w:id="481"/>
      <w:bookmarkEnd w:id="48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矿井生产工艺过程主要分为：井下及地上生产，井下作业主要是凿岩、井巷开拓、爆破；地上作业为装卸、运输等环节，采矿工艺流程及排污节点见图3.3-1。</w:t>
      </w:r>
    </w:p>
    <w:p>
      <w:pPr>
        <w:ind w:firstLine="435"/>
        <w:jc w:val="center"/>
        <w:rPr>
          <w:rFonts w:hint="default" w:ascii="Times New Roman" w:hAnsi="Times New Roman" w:eastAsia="仿宋_GB2312" w:cs="Times New Roman"/>
          <w:color w:val="auto"/>
          <w:sz w:val="24"/>
        </w:rPr>
      </w:pPr>
    </w:p>
    <w:p>
      <w:pPr>
        <w:ind w:firstLine="435"/>
        <w:rPr>
          <w:rFonts w:hint="default" w:ascii="Times New Roman" w:hAnsi="Times New Roman" w:eastAsia="仿宋_GB2312" w:cs="Times New Roman"/>
          <w:color w:val="auto"/>
          <w:sz w:val="24"/>
        </w:rPr>
      </w:pPr>
    </w:p>
    <w:p>
      <w:pPr>
        <w:ind w:firstLine="435"/>
        <w:rPr>
          <w:rFonts w:hint="default" w:ascii="Times New Roman" w:hAnsi="Times New Roman" w:eastAsia="仿宋_GB2312" w:cs="Times New Roman"/>
          <w:color w:val="auto"/>
          <w:sz w:val="24"/>
        </w:rPr>
      </w:pPr>
      <w:r>
        <w:rPr>
          <w:rFonts w:hint="default" w:ascii="Times New Roman" w:hAnsi="Times New Roman" w:cs="Times New Roman"/>
          <w:color w:val="auto"/>
          <w:lang/>
        </w:rPr>
        <w:drawing>
          <wp:anchor distT="0" distB="0" distL="114300" distR="114300" simplePos="0" relativeHeight="251669504" behindDoc="0" locked="0" layoutInCell="1" allowOverlap="1">
            <wp:simplePos x="0" y="0"/>
            <wp:positionH relativeFrom="column">
              <wp:posOffset>0</wp:posOffset>
            </wp:positionH>
            <wp:positionV relativeFrom="paragraph">
              <wp:posOffset>-99060</wp:posOffset>
            </wp:positionV>
            <wp:extent cx="5140960" cy="3070860"/>
            <wp:effectExtent l="0" t="0" r="2540" b="15240"/>
            <wp:wrapNone/>
            <wp:docPr id="12" name="图片 65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52" descr="21"/>
                    <pic:cNvPicPr>
                      <a:picLocks noChangeAspect="1"/>
                    </pic:cNvPicPr>
                  </pic:nvPicPr>
                  <pic:blipFill>
                    <a:blip r:embed="rId11"/>
                    <a:stretch>
                      <a:fillRect/>
                    </a:stretch>
                  </pic:blipFill>
                  <pic:spPr>
                    <a:xfrm>
                      <a:off x="0" y="0"/>
                      <a:ext cx="5140960" cy="3070860"/>
                    </a:xfrm>
                    <a:prstGeom prst="rect">
                      <a:avLst/>
                    </a:prstGeom>
                    <a:noFill/>
                    <a:ln>
                      <a:noFill/>
                    </a:ln>
                  </pic:spPr>
                </pic:pic>
              </a:graphicData>
            </a:graphic>
          </wp:anchor>
        </w:drawing>
      </w:r>
    </w:p>
    <w:p>
      <w:pPr>
        <w:ind w:firstLine="435"/>
        <w:rPr>
          <w:rFonts w:hint="default" w:ascii="Times New Roman" w:hAnsi="Times New Roman" w:eastAsia="仿宋_GB2312" w:cs="Times New Roman"/>
          <w:color w:val="auto"/>
          <w:sz w:val="24"/>
        </w:rPr>
      </w:pPr>
    </w:p>
    <w:p>
      <w:pPr>
        <w:ind w:firstLine="435"/>
        <w:rPr>
          <w:rFonts w:hint="default" w:ascii="Times New Roman" w:hAnsi="Times New Roman" w:eastAsia="仿宋_GB2312"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   </w:t>
      </w:r>
    </w:p>
    <w:p>
      <w:pPr>
        <w:spacing w:line="360" w:lineRule="auto"/>
        <w:jc w:val="center"/>
        <w:rPr>
          <w:rFonts w:hint="default" w:ascii="Times New Roman" w:hAnsi="Times New Roman" w:eastAsia="黑体" w:cs="Times New Roman"/>
          <w:color w:val="auto"/>
          <w:sz w:val="24"/>
        </w:rPr>
      </w:pPr>
    </w:p>
    <w:p>
      <w:pPr>
        <w:spacing w:line="360" w:lineRule="auto"/>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图3.3-1      采矿工艺流程及排污节点</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483" w:name="_Toc7999009"/>
      <w:bookmarkStart w:id="484" w:name="_Toc17709385"/>
      <w:bookmarkStart w:id="485" w:name="_Toc21150_WPSOffice_Level2"/>
      <w:r>
        <w:rPr>
          <w:rFonts w:hint="default" w:ascii="Times New Roman" w:hAnsi="Times New Roman" w:cs="Times New Roman"/>
          <w:bCs w:val="0"/>
          <w:color w:val="auto"/>
          <w:sz w:val="24"/>
          <w:szCs w:val="24"/>
        </w:rPr>
        <w:t>3.3.2污染物产生、排放情况</w:t>
      </w:r>
      <w:bookmarkEnd w:id="483"/>
      <w:bookmarkEnd w:id="484"/>
      <w:bookmarkEnd w:id="485"/>
    </w:p>
    <w:p>
      <w:pPr>
        <w:adjustRightInd w:val="0"/>
        <w:snapToGrid w:val="0"/>
        <w:spacing w:line="360" w:lineRule="auto"/>
        <w:ind w:firstLine="600" w:firstLineChars="250"/>
        <w:jc w:val="left"/>
        <w:rPr>
          <w:rFonts w:hint="default" w:ascii="Times New Roman" w:hAnsi="Times New Roman" w:cs="Times New Roman"/>
          <w:color w:val="auto"/>
          <w:sz w:val="24"/>
        </w:rPr>
      </w:pPr>
      <w:r>
        <w:rPr>
          <w:rFonts w:hint="default" w:ascii="Times New Roman" w:hAnsi="Times New Roman" w:cs="Times New Roman"/>
          <w:color w:val="auto"/>
          <w:sz w:val="24"/>
        </w:rPr>
        <w:t>根据本项目生产组成及工艺过程，可将本工程的主要影响源概括为二类：一、生态破坏影响源；二、矿区开采生产过程中产生的污染源（“三废”及噪声污染源：大气污染源、水污染源、固体废物污染源、噪声污染源）。根据排污特征分析，确定本工程主要污染源排污点见表3.3-1。</w:t>
      </w:r>
    </w:p>
    <w:p>
      <w:pPr>
        <w:ind w:firstLine="2520" w:firstLineChars="1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表3.3-1  主要污染源及排污点一览表</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82"/>
        <w:gridCol w:w="2453"/>
        <w:gridCol w:w="1256"/>
        <w:gridCol w:w="2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主要污染物</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产生规律</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482" w:type="dxa"/>
            <w:noWrap w:val="0"/>
            <w:vAlign w:val="center"/>
          </w:tcPr>
          <w:p>
            <w:pPr>
              <w:pStyle w:val="336"/>
              <w:adjustRightInd w:val="0"/>
              <w:snapToGrid w:val="0"/>
              <w:spacing w:line="240" w:lineRule="atLeas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凿岩</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产生于井下，从风井口排出，对外环境影响较小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爆破</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粉尘、CO、NO</w:t>
            </w:r>
            <w:r>
              <w:rPr>
                <w:rFonts w:hint="default" w:ascii="Times New Roman" w:hAnsi="Times New Roman" w:eastAsia="宋体" w:cs="Times New Roman"/>
                <w:color w:val="auto"/>
                <w:szCs w:val="21"/>
                <w:vertAlign w:val="subscript"/>
              </w:rPr>
              <w:t>2</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废石场</w:t>
            </w:r>
          </w:p>
        </w:tc>
        <w:tc>
          <w:tcPr>
            <w:tcW w:w="2453"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w:t>
            </w:r>
          </w:p>
        </w:tc>
        <w:tc>
          <w:tcPr>
            <w:tcW w:w="2453"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256"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c>
          <w:tcPr>
            <w:tcW w:w="2453"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256"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矿井涌水</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pH、SS、Cu、Zn、Pb等</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处理后利用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COD、氨氮</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处理后利用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废石淋溶水</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pH、SS、Cu、Zn、Pb等</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采矿机械</w:t>
            </w:r>
          </w:p>
        </w:tc>
        <w:tc>
          <w:tcPr>
            <w:tcW w:w="2453"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井下机械噪声</w:t>
            </w:r>
          </w:p>
        </w:tc>
        <w:tc>
          <w:tcPr>
            <w:tcW w:w="1256"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产生于井下，对地面影响较小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pStyle w:val="336"/>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凿岩机</w:t>
            </w:r>
          </w:p>
        </w:tc>
        <w:tc>
          <w:tcPr>
            <w:tcW w:w="2453"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256"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爆破</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爆破噪声</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机修机械</w:t>
            </w:r>
          </w:p>
        </w:tc>
        <w:tc>
          <w:tcPr>
            <w:tcW w:w="2453"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地上机械噪声</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隔声减震后进入环境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空压机</w:t>
            </w:r>
          </w:p>
        </w:tc>
        <w:tc>
          <w:tcPr>
            <w:tcW w:w="2453"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风机</w:t>
            </w:r>
          </w:p>
        </w:tc>
        <w:tc>
          <w:tcPr>
            <w:tcW w:w="2453"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vertAlign w:val="subscript"/>
              </w:rPr>
            </w:pP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矿石运输</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噪声、扬尘</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影响道路两侧声环境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掘进、开采</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采矿废石</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员工生活</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集中收集</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运往达坂城区柴窝堡乡垃圾收集站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48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机械设备</w:t>
            </w:r>
          </w:p>
        </w:tc>
        <w:tc>
          <w:tcPr>
            <w:tcW w:w="2453"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w:t>
            </w:r>
          </w:p>
        </w:tc>
        <w:tc>
          <w:tcPr>
            <w:tcW w:w="125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间歇性</w:t>
            </w:r>
          </w:p>
        </w:tc>
        <w:tc>
          <w:tcPr>
            <w:tcW w:w="2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废机油储存装置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3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生态环境影响</w:t>
            </w:r>
          </w:p>
        </w:tc>
        <w:tc>
          <w:tcPr>
            <w:tcW w:w="7393" w:type="dxa"/>
            <w:gridSpan w:val="4"/>
            <w:noWrap w:val="0"/>
            <w:vAlign w:val="top"/>
          </w:tcPr>
          <w:p>
            <w:pPr>
              <w:adjustRightInd w:val="0"/>
              <w:snapToGrid w:val="0"/>
              <w:spacing w:line="240" w:lineRule="atLeas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损失土地资源，造成地表破坏及水土流失；地表植被损失，影响景观，影响野生动物，地表塌陷等。</w:t>
            </w:r>
          </w:p>
        </w:tc>
      </w:tr>
    </w:tbl>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486" w:name="_Toc26822_WPSOffice_Level1"/>
      <w:bookmarkStart w:id="487" w:name="_Toc17709290"/>
      <w:bookmarkStart w:id="488" w:name="_Toc17709386"/>
      <w:bookmarkStart w:id="489" w:name="_Toc8836363"/>
      <w:bookmarkStart w:id="490" w:name="_Toc17289_WPSOffice_Level2"/>
      <w:bookmarkStart w:id="491" w:name="_Toc7999010"/>
      <w:r>
        <w:rPr>
          <w:rFonts w:hint="default" w:ascii="Times New Roman" w:hAnsi="Times New Roman" w:cs="Times New Roman"/>
          <w:color w:val="auto"/>
          <w:sz w:val="28"/>
          <w:szCs w:val="28"/>
        </w:rPr>
        <w:t>3.4</w:t>
      </w:r>
      <w:r>
        <w:rPr>
          <w:rFonts w:hint="default" w:ascii="Times New Roman" w:hAnsi="Times New Roman" w:cs="Times New Roman"/>
          <w:bCs w:val="0"/>
          <w:color w:val="auto"/>
          <w:sz w:val="28"/>
          <w:szCs w:val="28"/>
        </w:rPr>
        <w:t>污染物及污染源</w:t>
      </w:r>
      <w:bookmarkEnd w:id="486"/>
      <w:bookmarkEnd w:id="487"/>
      <w:bookmarkEnd w:id="488"/>
      <w:bookmarkEnd w:id="489"/>
      <w:bookmarkEnd w:id="490"/>
      <w:bookmarkEnd w:id="491"/>
    </w:p>
    <w:p>
      <w:pPr>
        <w:pStyle w:val="5"/>
        <w:keepLines w:val="0"/>
        <w:adjustRightInd w:val="0"/>
        <w:snapToGrid w:val="0"/>
        <w:spacing w:before="0" w:after="0" w:line="360" w:lineRule="auto"/>
        <w:rPr>
          <w:rFonts w:hint="default" w:ascii="Times New Roman" w:hAnsi="Times New Roman" w:cs="Times New Roman"/>
          <w:color w:val="auto"/>
          <w:sz w:val="24"/>
        </w:rPr>
      </w:pPr>
      <w:bookmarkStart w:id="492" w:name="_Toc26373_WPSOffice_Level2"/>
      <w:bookmarkStart w:id="493" w:name="_Toc7999011"/>
      <w:bookmarkStart w:id="494" w:name="_Toc17709387"/>
      <w:r>
        <w:rPr>
          <w:rFonts w:hint="default" w:ascii="Times New Roman" w:hAnsi="Times New Roman" w:cs="Times New Roman"/>
          <w:bCs w:val="0"/>
          <w:color w:val="auto"/>
          <w:sz w:val="24"/>
          <w:szCs w:val="24"/>
        </w:rPr>
        <w:t>3.4.1施工期污染源</w:t>
      </w:r>
      <w:bookmarkEnd w:id="492"/>
      <w:bookmarkEnd w:id="493"/>
      <w:bookmarkEnd w:id="494"/>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（1）施工期大气污染源及其污染物</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的大气污染源主要是施工扬尘与机械尾气。施工时工业广场场地平整、场内道路铺设等土石方工程阶段的挖方、填方，使表土松动从而产生一定扬尘，运输车辆在简易砂石公路上行驶也将产生一定的扬尘。在不利天气条件下，施工扬尘对现场及周围大气环境有一定影响。</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施工中使用的机械，如：挖掘机、装载机及其它运输车辆，在工作时将间断排放尾气，对施工场地及周围环境产生一定影响，其主要污染物为碳氢化合物、CO、颗粒物、NO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w:t>
      </w:r>
    </w:p>
    <w:p>
      <w:pPr>
        <w:adjustRightInd w:val="0"/>
        <w:snapToGrid w:val="0"/>
        <w:spacing w:line="360" w:lineRule="auto"/>
        <w:ind w:firstLine="480" w:firstLineChars="200"/>
        <w:jc w:val="left"/>
        <w:rPr>
          <w:rFonts w:hint="default" w:ascii="Times New Roman" w:hAnsi="Times New Roman" w:cs="Times New Roman"/>
          <w:color w:val="auto"/>
          <w:sz w:val="24"/>
        </w:rPr>
      </w:pPr>
      <w:bookmarkStart w:id="495" w:name="_Toc302511877"/>
      <w:bookmarkStart w:id="496" w:name="_Toc302506738"/>
      <w:bookmarkStart w:id="497" w:name="_Toc271021518"/>
      <w:bookmarkStart w:id="498" w:name="_Toc340048431"/>
      <w:bookmarkStart w:id="499" w:name="_Toc339816369"/>
      <w:r>
        <w:rPr>
          <w:rFonts w:hint="default" w:ascii="Times New Roman" w:hAnsi="Times New Roman" w:cs="Times New Roman"/>
          <w:color w:val="auto"/>
          <w:sz w:val="24"/>
        </w:rPr>
        <w:t>（2）水污染源及污染物</w:t>
      </w:r>
      <w:bookmarkEnd w:id="495"/>
      <w:bookmarkEnd w:id="496"/>
      <w:bookmarkEnd w:id="497"/>
      <w:bookmarkEnd w:id="498"/>
      <w:bookmarkEnd w:id="499"/>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废水污染源主要来自施工废水、生活污水和矿井涌水。</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①施工废水</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间产生的废水主要来源于施工设备、机械设备洗涤水、建筑施工过程中的混凝土养护废水以及开拓掘进凿岩废水。凿岩废水量较少，混凝土养护废水自然蒸发后消耗，施工设备、机械设备废水中主要含有少量的油污、泥沙、SS外，基本不含其它污染指标。施工期可建设临时的隔油沉淀池处理后回用。</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②生活污水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施工过程中在混凝土拌合、养护等阶段有少量废水产生，施工现场预计20人/天，用水指标按60L/人.d计算，污水排放量按用水的80%计，则生活污水排放量约0.96m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、SS等。项目施工污水经集中收集经污水处理设施处理达标后，用于周边绿化及道路洒水降尘。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③矿井涌水</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项目在修建采矿巷道、通风口、竖井等工程，在此过程会产生一定量的涌水。该部分涌水其主要污染因子为SS，经集中收集澄清处理后用于项目区及周边洒水降尘和绿化用水等，综合利用不外排。</w:t>
      </w:r>
    </w:p>
    <w:p>
      <w:pPr>
        <w:adjustRightInd w:val="0"/>
        <w:snapToGrid w:val="0"/>
        <w:spacing w:line="360" w:lineRule="auto"/>
        <w:ind w:firstLine="480" w:firstLineChars="200"/>
        <w:rPr>
          <w:rFonts w:hint="default" w:ascii="Times New Roman" w:hAnsi="Times New Roman" w:cs="Times New Roman"/>
          <w:color w:val="auto"/>
          <w:sz w:val="24"/>
        </w:rPr>
      </w:pPr>
      <w:bookmarkStart w:id="500" w:name="_Toc302511879"/>
      <w:bookmarkStart w:id="501" w:name="_Toc271021520"/>
      <w:bookmarkStart w:id="502" w:name="_Toc339816371"/>
      <w:bookmarkStart w:id="503" w:name="_Toc302506740"/>
      <w:bookmarkStart w:id="504" w:name="_Toc340048433"/>
      <w:r>
        <w:rPr>
          <w:rFonts w:hint="default" w:ascii="Times New Roman" w:hAnsi="Times New Roman" w:cs="Times New Roman"/>
          <w:color w:val="auto"/>
          <w:sz w:val="24"/>
        </w:rPr>
        <w:t>（3）噪声污染源</w:t>
      </w:r>
      <w:bookmarkEnd w:id="500"/>
      <w:bookmarkEnd w:id="501"/>
      <w:bookmarkEnd w:id="502"/>
      <w:bookmarkEnd w:id="503"/>
      <w:bookmarkEnd w:id="504"/>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的噪声污染主要来自施工机械，主要表现在道路铺设、采矿工业区场地平整等基础设施建设中以及矿井掘进、井巷工程等基建过程中。不同施工期主要机械设备噪声产生情况见表3.4-1。由表中可看出，由于施工机械噪声值较高，施工期对现场及周围环境将产生一定影响。</w:t>
      </w:r>
    </w:p>
    <w:p>
      <w:pPr>
        <w:ind w:firstLine="1995" w:firstLineChars="9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表3.4-1  施工期主要噪声源类比调查统计表           Leq[dB(A)]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1620"/>
        <w:gridCol w:w="1637"/>
        <w:gridCol w:w="1064"/>
        <w:gridCol w:w="1779"/>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声级dB(A)</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90-100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混凝土搅拌机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90-120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装载机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90-100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冲击打桩机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各种车辆</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70-95</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凿岩机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95-105</w:t>
            </w:r>
          </w:p>
        </w:tc>
      </w:tr>
    </w:tbl>
    <w:p>
      <w:pPr>
        <w:adjustRightInd w:val="0"/>
        <w:snapToGrid w:val="0"/>
        <w:spacing w:line="360" w:lineRule="auto"/>
        <w:ind w:firstLine="480" w:firstLineChars="200"/>
        <w:jc w:val="left"/>
        <w:rPr>
          <w:rFonts w:hint="default" w:ascii="Times New Roman" w:hAnsi="Times New Roman" w:cs="Times New Roman"/>
          <w:color w:val="auto"/>
          <w:sz w:val="24"/>
        </w:rPr>
      </w:pPr>
      <w:bookmarkStart w:id="505" w:name="_Toc302511878"/>
      <w:bookmarkStart w:id="506" w:name="_Toc340048432"/>
      <w:bookmarkStart w:id="507" w:name="_Toc271021519"/>
      <w:bookmarkStart w:id="508" w:name="_Toc302506739"/>
      <w:bookmarkStart w:id="509" w:name="_Toc339816370"/>
      <w:r>
        <w:rPr>
          <w:rFonts w:hint="default" w:ascii="Times New Roman" w:hAnsi="Times New Roman" w:cs="Times New Roman"/>
          <w:color w:val="auto"/>
          <w:sz w:val="24"/>
        </w:rPr>
        <w:t>（4）固体污染源及污染物</w:t>
      </w:r>
      <w:bookmarkEnd w:id="505"/>
      <w:bookmarkEnd w:id="506"/>
      <w:bookmarkEnd w:id="507"/>
      <w:bookmarkEnd w:id="508"/>
      <w:bookmarkEnd w:id="509"/>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项目施工期间主要固废为基建废石和生活垃圾。</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①基建废石</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施工期基建固废主要来自场地平整、道路工程以及井巷工程等基建工程中产生的废石等，其产生量约为</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。该部分固废主要用于修筑场内道路路基及填平工业场地等，剩余废石运至废石堆场。</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②生活垃圾</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施工期施工人员预计年每天20人，产生的生活垃圾按每人每天0.5kg计，则每天产生的生活垃圾约10kg，</w:t>
      </w:r>
      <w:r>
        <w:rPr>
          <w:rFonts w:hint="eastAsia" w:ascii="Times New Roman" w:hAnsi="Times New Roman" w:cs="Times New Roman"/>
          <w:color w:val="auto"/>
          <w:sz w:val="24"/>
          <w:lang w:eastAsia="zh-CN"/>
        </w:rPr>
        <w:t>生活垃圾运往达坂城柴窝堡垃圾收集站</w:t>
      </w:r>
      <w:r>
        <w:rPr>
          <w:rFonts w:hint="default" w:ascii="Times New Roman" w:hAnsi="Times New Roman" w:cs="Times New Roman"/>
          <w:color w:val="auto"/>
          <w:sz w:val="24"/>
        </w:rPr>
        <w:t>。</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10" w:name="_Toc17709388"/>
      <w:bookmarkStart w:id="511" w:name="_Toc7999012"/>
      <w:bookmarkStart w:id="512" w:name="_Toc17297_WPSOffice_Level2"/>
      <w:r>
        <w:rPr>
          <w:rFonts w:hint="default" w:ascii="Times New Roman" w:hAnsi="Times New Roman" w:cs="Times New Roman"/>
          <w:bCs w:val="0"/>
          <w:color w:val="auto"/>
          <w:sz w:val="24"/>
          <w:szCs w:val="24"/>
        </w:rPr>
        <w:t>3.4.2运营期污染影响源分析</w:t>
      </w:r>
      <w:bookmarkEnd w:id="510"/>
      <w:bookmarkEnd w:id="511"/>
      <w:bookmarkEnd w:id="512"/>
    </w:p>
    <w:p>
      <w:pPr>
        <w:adjustRightInd w:val="0"/>
        <w:snapToGrid w:val="0"/>
        <w:spacing w:line="360" w:lineRule="auto"/>
        <w:outlineLvl w:val="3"/>
        <w:rPr>
          <w:rFonts w:hint="default" w:ascii="Times New Roman" w:hAnsi="Times New Roman" w:cs="Times New Roman"/>
          <w:color w:val="auto"/>
          <w:sz w:val="24"/>
          <w:szCs w:val="22"/>
        </w:rPr>
      </w:pPr>
      <w:bookmarkStart w:id="513" w:name="_Toc7999013"/>
      <w:bookmarkStart w:id="514" w:name="_Toc17709389"/>
      <w:r>
        <w:rPr>
          <w:rFonts w:hint="default" w:ascii="Times New Roman" w:hAnsi="Times New Roman" w:cs="Times New Roman"/>
          <w:color w:val="auto"/>
          <w:sz w:val="24"/>
          <w:szCs w:val="22"/>
        </w:rPr>
        <w:t>3.4.2.1废气污染源及污染物排放情况</w:t>
      </w:r>
      <w:bookmarkEnd w:id="513"/>
      <w:bookmarkEnd w:id="514"/>
    </w:p>
    <w:p>
      <w:pPr>
        <w:adjustRightInd w:val="0"/>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（1）井下废气：主要是凿岩、爆破、装卸过程中产生的废气。</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为了使矿井内有一个良好的工作环境，井下通风采用抽出式通风方式。各分段巷道与进风井、回风井联通；采矿为湿式凿岩，对产生粉尘的作业面采用喷洒水；采用微差爆破，一次爆破后，集中通风；斜坡道为主要运输通道设置水幕进行降尘。</w:t>
      </w:r>
    </w:p>
    <w:p>
      <w:pPr>
        <w:adjustRightInd w:val="0"/>
        <w:snapToGrid w:val="0"/>
        <w:spacing w:line="360" w:lineRule="auto"/>
        <w:ind w:firstLine="600" w:firstLineChars="250"/>
        <w:jc w:val="left"/>
        <w:rPr>
          <w:rFonts w:hint="default" w:ascii="Times New Roman" w:hAnsi="Times New Roman" w:cs="Times New Roman"/>
          <w:color w:val="auto"/>
          <w:sz w:val="24"/>
        </w:rPr>
      </w:pPr>
      <w:r>
        <w:rPr>
          <w:rFonts w:hint="default" w:ascii="Times New Roman" w:hAnsi="Times New Roman" w:cs="Times New Roman"/>
          <w:color w:val="auto"/>
          <w:sz w:val="24"/>
        </w:rPr>
        <w:t>a、凿岩废气：采用湿式凿岩，无粉尘等排放。</w:t>
      </w:r>
    </w:p>
    <w:p>
      <w:pPr>
        <w:adjustRightInd w:val="0"/>
        <w:snapToGrid w:val="0"/>
        <w:spacing w:line="360" w:lineRule="auto"/>
        <w:ind w:firstLine="600" w:firstLineChars="25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b、爆破：井下爆破时会在瞬间产生大量的粉尘、CO、NO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等有害气体，依据《环境统计手册》，每吨炸药爆炸时产生CO为44.7kg，NO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为2.1kg，粉尘0.026kg，本项目采矿作业有害物质产生量见表3.4-2。</w:t>
      </w:r>
    </w:p>
    <w:p>
      <w:pPr>
        <w:ind w:firstLine="2310" w:firstLineChars="11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表3.4-2   采矿作业有害物质产生量</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359"/>
        <w:gridCol w:w="2690"/>
        <w:gridCol w:w="1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7" w:hRule="atLeast"/>
          <w:jc w:val="center"/>
        </w:trPr>
        <w:tc>
          <w:tcPr>
            <w:tcW w:w="152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35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单位产生量</w:t>
            </w:r>
          </w:p>
        </w:tc>
        <w:tc>
          <w:tcPr>
            <w:tcW w:w="269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195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炸药量（kg/a）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1" w:hRule="atLeast"/>
          <w:jc w:val="center"/>
        </w:trPr>
        <w:tc>
          <w:tcPr>
            <w:tcW w:w="152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235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华文中宋" w:cs="Times New Roman"/>
                <w:color w:val="auto"/>
                <w:szCs w:val="21"/>
              </w:rPr>
              <w:t>44.7kg/t</w:t>
            </w:r>
          </w:p>
        </w:tc>
        <w:tc>
          <w:tcPr>
            <w:tcW w:w="269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1.42t/a</w:t>
            </w:r>
          </w:p>
        </w:tc>
        <w:tc>
          <w:tcPr>
            <w:tcW w:w="1950"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7" w:hRule="atLeast"/>
          <w:jc w:val="center"/>
        </w:trPr>
        <w:tc>
          <w:tcPr>
            <w:tcW w:w="152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lang w:val="en-US" w:eastAsia="zh-CN"/>
              </w:rPr>
              <w:t>2</w:t>
            </w:r>
          </w:p>
        </w:tc>
        <w:tc>
          <w:tcPr>
            <w:tcW w:w="235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华文中宋" w:cs="Times New Roman"/>
                <w:color w:val="auto"/>
                <w:szCs w:val="21"/>
              </w:rPr>
              <w:t>2.1kg/t</w:t>
            </w:r>
          </w:p>
        </w:tc>
        <w:tc>
          <w:tcPr>
            <w:tcW w:w="269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0.067</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1950"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7" w:hRule="atLeast"/>
          <w:jc w:val="center"/>
        </w:trPr>
        <w:tc>
          <w:tcPr>
            <w:tcW w:w="152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2359"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华文中宋" w:cs="Times New Roman"/>
                <w:color w:val="auto"/>
                <w:szCs w:val="21"/>
              </w:rPr>
              <w:t>0.026kg/t</w:t>
            </w:r>
          </w:p>
        </w:tc>
        <w:tc>
          <w:tcPr>
            <w:tcW w:w="269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0.00083</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1950"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r>
    </w:tbl>
    <w:p>
      <w:pPr>
        <w:adjustRightInd w:val="0"/>
        <w:snapToGrid w:val="0"/>
        <w:spacing w:before="156" w:beforeLines="5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爆破瞬间产生大量的粉尘、CO、NOx等有害气体，随井下排风会带出部分含尘废气，量较小，由风井排出的废气很快会稀释、扩散。</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c、装卸：对井下矿石和废石堆体采取洒水降尘、井下强制通风，铲装过程中粉尘排放量很小。</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井下采用喷洒水湿式作业控制采矿凿岩、矿岩装卸及爆破时产生的粉尘。加强井下通风，井下污风由风井口强制外排，外排废气中粉尘浓度可降至1mg/m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bidi="ar-SA"/>
        </w:rPr>
        <w:t>能够满足《铜镍</w:t>
      </w:r>
      <w:r>
        <w:rPr>
          <w:rFonts w:hint="default" w:ascii="Times New Roman" w:hAnsi="Times New Roman" w:eastAsia="宋体" w:cs="Times New Roman"/>
          <w:color w:val="auto"/>
          <w:sz w:val="24"/>
        </w:rPr>
        <w:t>钴工业污染物排放标准》（GB25467-2010）矿石采选颗粒物排放限值要求。</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（2）矿石运输扬尘</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运输扬尘主要是矿山内部的汽车运输扬尘，即矿石、废石在矿山内部汽车运输所产生道路扬尘，沿途道路扬尘对沿途的局部大气环境有影响，但因为扩散条件良好，影响范围和程度有限。本次主要考虑在矿区内的道路扬尘影响。</w:t>
      </w:r>
    </w:p>
    <w:p>
      <w:pPr>
        <w:adjustRightInd w:val="0"/>
        <w:snapToGrid w:val="0"/>
        <w:spacing w:line="360" w:lineRule="auto"/>
        <w:ind w:firstLine="600" w:firstLineChars="250"/>
        <w:jc w:val="left"/>
        <w:rPr>
          <w:rFonts w:hint="default" w:ascii="Times New Roman" w:hAnsi="Times New Roman" w:cs="Times New Roman"/>
          <w:color w:val="auto"/>
          <w:sz w:val="24"/>
        </w:rPr>
      </w:pPr>
      <w:r>
        <w:rPr>
          <w:rFonts w:hint="default" w:ascii="Times New Roman" w:hAnsi="Times New Roman" w:cs="Times New Roman"/>
          <w:color w:val="auto"/>
          <w:sz w:val="24"/>
        </w:rPr>
        <w:t>道路扬尘计算公式：</w:t>
      </w:r>
    </w:p>
    <w:p>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t>Qp=0.123（V/5）·（M/6.8）</w:t>
      </w:r>
      <w:r>
        <w:rPr>
          <w:rFonts w:hint="default" w:ascii="Times New Roman" w:hAnsi="Times New Roman" w:cs="Times New Roman"/>
          <w:color w:val="auto"/>
          <w:sz w:val="24"/>
          <w:vertAlign w:val="superscript"/>
        </w:rPr>
        <w:t>0.85</w:t>
      </w:r>
      <w:r>
        <w:rPr>
          <w:rFonts w:hint="default" w:ascii="Times New Roman" w:hAnsi="Times New Roman" w:cs="Times New Roman"/>
          <w:color w:val="auto"/>
          <w:sz w:val="24"/>
        </w:rPr>
        <w:t>·（P/0.5）</w:t>
      </w:r>
      <w:r>
        <w:rPr>
          <w:rFonts w:hint="default" w:ascii="Times New Roman" w:hAnsi="Times New Roman" w:cs="Times New Roman"/>
          <w:color w:val="auto"/>
          <w:sz w:val="24"/>
          <w:vertAlign w:val="superscript"/>
        </w:rPr>
        <w:t>0.72</w:t>
      </w:r>
    </w:p>
    <w:p>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t>Q′p=Qp·L·Q/M</w:t>
      </w:r>
    </w:p>
    <w:p>
      <w:pPr>
        <w:spacing w:line="360" w:lineRule="auto"/>
        <w:ind w:firstLine="540" w:firstLineChars="225"/>
        <w:rPr>
          <w:rFonts w:hint="default" w:ascii="Times New Roman" w:hAnsi="Times New Roman" w:cs="Times New Roman"/>
          <w:color w:val="auto"/>
          <w:sz w:val="24"/>
        </w:rPr>
      </w:pPr>
      <w:r>
        <w:rPr>
          <w:rFonts w:hint="default" w:ascii="Times New Roman" w:hAnsi="Times New Roman" w:cs="Times New Roman"/>
          <w:color w:val="auto"/>
          <w:sz w:val="24"/>
        </w:rPr>
        <w:t>计算参数：Qp—道路扬尘量，（kg/km·辆）；</w:t>
      </w:r>
    </w:p>
    <w:p>
      <w:pPr>
        <w:spacing w:line="360" w:lineRule="auto"/>
        <w:ind w:firstLine="1800" w:firstLineChars="750"/>
        <w:rPr>
          <w:rFonts w:hint="default" w:ascii="Times New Roman" w:hAnsi="Times New Roman" w:cs="Times New Roman"/>
          <w:color w:val="auto"/>
          <w:sz w:val="24"/>
        </w:rPr>
      </w:pPr>
      <w:r>
        <w:rPr>
          <w:rFonts w:hint="default" w:ascii="Times New Roman" w:hAnsi="Times New Roman" w:cs="Times New Roman"/>
          <w:color w:val="auto"/>
          <w:sz w:val="24"/>
        </w:rPr>
        <w:t>Q′p—总扬尘量，（kg/a）；</w:t>
      </w:r>
    </w:p>
    <w:p>
      <w:pPr>
        <w:spacing w:line="360" w:lineRule="auto"/>
        <w:ind w:firstLine="1800" w:firstLineChars="750"/>
        <w:rPr>
          <w:rFonts w:hint="default" w:ascii="Times New Roman" w:hAnsi="Times New Roman" w:cs="Times New Roman"/>
          <w:color w:val="auto"/>
          <w:sz w:val="24"/>
        </w:rPr>
      </w:pPr>
      <w:r>
        <w:rPr>
          <w:rFonts w:hint="default" w:ascii="Times New Roman" w:hAnsi="Times New Roman" w:cs="Times New Roman"/>
          <w:color w:val="auto"/>
          <w:sz w:val="24"/>
        </w:rPr>
        <w:t>V—车辆速度，（20km/h）；</w:t>
      </w:r>
    </w:p>
    <w:p>
      <w:pPr>
        <w:spacing w:line="360" w:lineRule="auto"/>
        <w:ind w:firstLine="1800" w:firstLineChars="750"/>
        <w:rPr>
          <w:rFonts w:hint="default" w:ascii="Times New Roman" w:hAnsi="Times New Roman" w:cs="Times New Roman"/>
          <w:color w:val="auto"/>
          <w:sz w:val="24"/>
        </w:rPr>
      </w:pPr>
      <w:r>
        <w:rPr>
          <w:rFonts w:hint="default" w:ascii="Times New Roman" w:hAnsi="Times New Roman" w:cs="Times New Roman"/>
          <w:color w:val="auto"/>
          <w:sz w:val="24"/>
        </w:rPr>
        <w:t>M—车辆载重，20t/辆；</w:t>
      </w:r>
    </w:p>
    <w:p>
      <w:pPr>
        <w:spacing w:line="360" w:lineRule="auto"/>
        <w:ind w:left="1800" w:leftChars="857"/>
        <w:rPr>
          <w:rFonts w:hint="default" w:ascii="Times New Roman" w:hAnsi="Times New Roman" w:cs="Times New Roman"/>
          <w:color w:val="auto"/>
          <w:sz w:val="24"/>
        </w:rPr>
      </w:pPr>
      <w:r>
        <w:rPr>
          <w:rFonts w:hint="default" w:ascii="Times New Roman" w:hAnsi="Times New Roman" w:cs="Times New Roman"/>
          <w:color w:val="auto"/>
          <w:sz w:val="24"/>
        </w:rPr>
        <w:t>P—路面灰尘覆盖率，（自然含水率状态下取3.2kg/m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；洒水后为0.5kg/m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pStyle w:val="32"/>
        <w:adjustRightInd w:val="0"/>
        <w:snapToGrid w:val="0"/>
        <w:spacing w:line="360" w:lineRule="auto"/>
        <w:ind w:firstLine="1800" w:firstLineChars="7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L—运距，（</w:t>
      </w:r>
      <w:r>
        <w:rPr>
          <w:rFonts w:hint="default" w:ascii="Times New Roman" w:hAnsi="Times New Roman" w:eastAsia="宋体" w:cs="Times New Roman"/>
          <w:color w:val="auto"/>
          <w:sz w:val="24"/>
          <w:lang w:val="en-US" w:eastAsia="zh-CN"/>
        </w:rPr>
        <w:t>2.8</w:t>
      </w:r>
      <w:r>
        <w:rPr>
          <w:rFonts w:hint="default" w:ascii="Times New Roman" w:hAnsi="Times New Roman" w:eastAsia="宋体" w:cs="Times New Roman"/>
          <w:color w:val="auto"/>
          <w:sz w:val="24"/>
        </w:rPr>
        <w:t>km）；</w:t>
      </w:r>
    </w:p>
    <w:p>
      <w:pPr>
        <w:spacing w:line="360" w:lineRule="auto"/>
        <w:ind w:firstLine="1800" w:firstLineChars="750"/>
        <w:rPr>
          <w:rFonts w:hint="default" w:ascii="Times New Roman" w:hAnsi="Times New Roman" w:cs="Times New Roman"/>
          <w:color w:val="auto"/>
          <w:sz w:val="24"/>
        </w:rPr>
      </w:pPr>
      <w:r>
        <w:rPr>
          <w:rFonts w:hint="default" w:ascii="Times New Roman" w:hAnsi="Times New Roman" w:cs="Times New Roman"/>
          <w:color w:val="auto"/>
          <w:sz w:val="24"/>
        </w:rPr>
        <w:t>Q—运输量，（6万t/a）。</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本项目矿车共4 辆，载重为20t，矿石在厂区内运输过程中的产尘量为</w:t>
      </w:r>
      <w:r>
        <w:rPr>
          <w:rFonts w:hint="default" w:ascii="Times New Roman" w:hAnsi="Times New Roman" w:cs="Times New Roman"/>
          <w:color w:val="auto"/>
          <w:sz w:val="24"/>
          <w:lang w:val="en-US" w:eastAsia="zh-CN"/>
        </w:rPr>
        <w:t>0.41</w:t>
      </w:r>
      <w:r>
        <w:rPr>
          <w:rFonts w:hint="default" w:ascii="Times New Roman" w:hAnsi="Times New Roman" w:cs="Times New Roman"/>
          <w:color w:val="auto"/>
          <w:sz w:val="24"/>
        </w:rPr>
        <w:t>t/a，设计配备1台洒水车，利用矿井涌水对矿区至外部运输道路进行洒水抑尘，视天气状况适当调整洒水频率和洒水量，在炎热、干燥季节，则加大洒水频次及洒水量，以路面湿润不起尘为准，可有效抑制扬尘产生。</w:t>
      </w:r>
    </w:p>
    <w:p>
      <w:pPr>
        <w:adjustRightInd w:val="0"/>
        <w:snapToGrid w:val="0"/>
        <w:spacing w:line="360" w:lineRule="auto"/>
        <w:ind w:firstLine="600" w:firstLineChars="250"/>
        <w:jc w:val="left"/>
        <w:rPr>
          <w:rFonts w:hint="default" w:ascii="Times New Roman" w:hAnsi="Times New Roman" w:cs="Times New Roman"/>
          <w:color w:val="auto"/>
          <w:sz w:val="24"/>
        </w:rPr>
      </w:pPr>
      <w:r>
        <w:rPr>
          <w:rFonts w:hint="default" w:ascii="Times New Roman" w:hAnsi="Times New Roman" w:cs="Times New Roman"/>
          <w:color w:val="auto"/>
          <w:sz w:val="24"/>
        </w:rPr>
        <w:t>在采取道路洒水降尘、道路路面铺碎石等措施后，可以抑制扬尘量约85%，运输车辆扬尘产生及排放情况详见表3.4-3。</w:t>
      </w:r>
    </w:p>
    <w:p>
      <w:pPr>
        <w:ind w:firstLine="2205" w:firstLineChars="10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表3.4-3   运输车辆扬尘产生及排放表</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2562"/>
        <w:gridCol w:w="1561"/>
        <w:gridCol w:w="3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6" w:hRule="atLeast"/>
          <w:jc w:val="center"/>
        </w:trPr>
        <w:tc>
          <w:tcPr>
            <w:tcW w:w="137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56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产生量（自然含水量）</w:t>
            </w:r>
          </w:p>
        </w:tc>
        <w:tc>
          <w:tcPr>
            <w:tcW w:w="1561"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排放量（洒水）</w:t>
            </w:r>
          </w:p>
        </w:tc>
        <w:tc>
          <w:tcPr>
            <w:tcW w:w="3030"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jc w:val="center"/>
        </w:trPr>
        <w:tc>
          <w:tcPr>
            <w:tcW w:w="137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运输扬尘</w:t>
            </w:r>
          </w:p>
        </w:tc>
        <w:tc>
          <w:tcPr>
            <w:tcW w:w="256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0.41</w:t>
            </w:r>
            <w:r>
              <w:rPr>
                <w:rFonts w:hint="default" w:ascii="Times New Roman" w:hAnsi="Times New Roman" w:eastAsia="宋体" w:cs="Times New Roman"/>
                <w:color w:val="auto"/>
                <w:szCs w:val="21"/>
              </w:rPr>
              <w:t>t/a</w:t>
            </w:r>
          </w:p>
        </w:tc>
        <w:tc>
          <w:tcPr>
            <w:tcW w:w="1561"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0.062</w:t>
            </w:r>
            <w:r>
              <w:rPr>
                <w:rFonts w:hint="default" w:ascii="Times New Roman" w:hAnsi="Times New Roman" w:eastAsia="宋体" w:cs="Times New Roman"/>
                <w:color w:val="auto"/>
                <w:szCs w:val="21"/>
              </w:rPr>
              <w:t>t/a</w:t>
            </w:r>
          </w:p>
        </w:tc>
        <w:tc>
          <w:tcPr>
            <w:tcW w:w="3030" w:type="dxa"/>
            <w:noWrap w:val="0"/>
            <w:vAlign w:val="center"/>
          </w:tcPr>
          <w:p>
            <w:pPr>
              <w:adjustRightInd w:val="0"/>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采取洒水降尘后排放量降低85%</w:t>
            </w:r>
          </w:p>
        </w:tc>
      </w:tr>
    </w:tbl>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（3）堆场扬尘</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项目运营过程中，废石场内堆存的废石在表面含水率低，大风天气情况下，会产生风力扬尘，起尘量按照北京环科院的风洞试验结果，计算模式如下废石堆场扬尘量经验公式：</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采用公式：Q1=11.7U</w:t>
      </w:r>
      <w:r>
        <w:rPr>
          <w:rFonts w:hint="default" w:ascii="Times New Roman" w:hAnsi="Times New Roman" w:cs="Times New Roman"/>
          <w:color w:val="auto"/>
          <w:sz w:val="24"/>
          <w:vertAlign w:val="superscript"/>
        </w:rPr>
        <w:t>2.45</w:t>
      </w:r>
      <w:r>
        <w:rPr>
          <w:rFonts w:hint="default" w:ascii="Times New Roman" w:hAnsi="Times New Roman" w:cs="Times New Roman"/>
          <w:color w:val="auto"/>
          <w:sz w:val="24"/>
        </w:rPr>
        <w:t>·S</w:t>
      </w:r>
      <w:r>
        <w:rPr>
          <w:rFonts w:hint="default" w:ascii="Times New Roman" w:hAnsi="Times New Roman" w:cs="Times New Roman"/>
          <w:color w:val="auto"/>
          <w:sz w:val="24"/>
          <w:vertAlign w:val="superscript"/>
        </w:rPr>
        <w:t>0.345</w:t>
      </w:r>
      <w:r>
        <w:rPr>
          <w:rFonts w:hint="default" w:ascii="Times New Roman" w:hAnsi="Times New Roman" w:cs="Times New Roman"/>
          <w:color w:val="auto"/>
          <w:sz w:val="24"/>
        </w:rPr>
        <w:t>·e</w:t>
      </w:r>
      <w:r>
        <w:rPr>
          <w:rFonts w:hint="default" w:ascii="Times New Roman" w:hAnsi="Times New Roman" w:cs="Times New Roman"/>
          <w:color w:val="auto"/>
          <w:sz w:val="24"/>
          <w:vertAlign w:val="superscript"/>
        </w:rPr>
        <w:t>-0.5ω</w:t>
      </w:r>
      <w:r>
        <w:rPr>
          <w:rFonts w:hint="default" w:ascii="Times New Roman" w:hAnsi="Times New Roman" w:cs="Times New Roman"/>
          <w:color w:val="auto"/>
          <w:sz w:val="24"/>
        </w:rPr>
        <w:t>·e</w:t>
      </w:r>
      <w:r>
        <w:rPr>
          <w:rFonts w:hint="default" w:ascii="Times New Roman" w:hAnsi="Times New Roman" w:cs="Times New Roman"/>
          <w:color w:val="auto"/>
          <w:sz w:val="24"/>
          <w:vertAlign w:val="superscript"/>
        </w:rPr>
        <w:t>-0.55（W-0.07）</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计算参数：Q1—矿堆起尘量，  （mg/s）；</w:t>
      </w:r>
    </w:p>
    <w:p>
      <w:pPr>
        <w:adjustRightInd w:val="0"/>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W—物料湿度，     （5%）；</w:t>
      </w:r>
    </w:p>
    <w:p>
      <w:pPr>
        <w:adjustRightInd w:val="0"/>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ω—空气相对湿度， （23%）；</w:t>
      </w:r>
    </w:p>
    <w:p>
      <w:pPr>
        <w:adjustRightInd w:val="0"/>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S—堆场面积，     （</w:t>
      </w:r>
      <w:r>
        <w:rPr>
          <w:rFonts w:hint="default" w:ascii="Times New Roman" w:hAnsi="Times New Roman" w:cs="Times New Roman"/>
          <w:color w:val="auto"/>
          <w:sz w:val="24"/>
          <w:lang w:val="en-US" w:eastAsia="zh-CN"/>
        </w:rPr>
        <w:t>4000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adjustRightInd w:val="0"/>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U—临界风速，     （2m/s）。</w:t>
      </w:r>
    </w:p>
    <w:p>
      <w:pPr>
        <w:adjustRightInd w:val="0"/>
        <w:snapToGrid w:val="0"/>
        <w:spacing w:line="360" w:lineRule="auto"/>
        <w:ind w:firstLine="600" w:firstLineChars="250"/>
        <w:jc w:val="left"/>
        <w:rPr>
          <w:rFonts w:hint="default" w:ascii="Times New Roman" w:hAnsi="Times New Roman" w:cs="Times New Roman"/>
          <w:color w:val="auto"/>
          <w:sz w:val="24"/>
        </w:rPr>
      </w:pPr>
      <w:r>
        <w:rPr>
          <w:rFonts w:hint="default" w:ascii="Times New Roman" w:hAnsi="Times New Roman" w:cs="Times New Roman"/>
          <w:color w:val="auto"/>
          <w:sz w:val="24"/>
        </w:rPr>
        <w:t>本工程矿石堆场起尘量详见表3.4-4。</w:t>
      </w:r>
    </w:p>
    <w:p>
      <w:pPr>
        <w:ind w:firstLine="2520" w:firstLineChars="1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表3.4-4  矿石堆场扬尘排放表</w:t>
      </w:r>
    </w:p>
    <w:tbl>
      <w:tblPr>
        <w:tblStyle w:val="79"/>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45"/>
        <w:gridCol w:w="2025"/>
        <w:gridCol w:w="3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16" w:hRule="atLeast"/>
          <w:jc w:val="center"/>
        </w:trPr>
        <w:tc>
          <w:tcPr>
            <w:tcW w:w="1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14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产生量（自然含水量）</w:t>
            </w:r>
          </w:p>
        </w:tc>
        <w:tc>
          <w:tcPr>
            <w:tcW w:w="202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排放量（洒水）</w:t>
            </w:r>
          </w:p>
        </w:tc>
        <w:tc>
          <w:tcPr>
            <w:tcW w:w="33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41" w:hRule="atLeast"/>
          <w:jc w:val="center"/>
        </w:trPr>
        <w:tc>
          <w:tcPr>
            <w:tcW w:w="120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w:t>
            </w:r>
          </w:p>
        </w:tc>
        <w:tc>
          <w:tcPr>
            <w:tcW w:w="214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0.64</w:t>
            </w:r>
            <w:r>
              <w:rPr>
                <w:rFonts w:hint="default" w:ascii="Times New Roman" w:hAnsi="Times New Roman" w:eastAsia="宋体" w:cs="Times New Roman"/>
                <w:color w:val="auto"/>
                <w:szCs w:val="21"/>
              </w:rPr>
              <w:t>t/a</w:t>
            </w:r>
          </w:p>
        </w:tc>
        <w:tc>
          <w:tcPr>
            <w:tcW w:w="202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16</w:t>
            </w:r>
            <w:r>
              <w:rPr>
                <w:rFonts w:hint="default" w:ascii="Times New Roman" w:hAnsi="Times New Roman" w:eastAsia="宋体" w:cs="Times New Roman"/>
                <w:color w:val="auto"/>
                <w:szCs w:val="21"/>
              </w:rPr>
              <w:t>t/a</w:t>
            </w:r>
          </w:p>
        </w:tc>
        <w:tc>
          <w:tcPr>
            <w:tcW w:w="33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采取洒水降尘后排放量降低75%</w:t>
            </w:r>
          </w:p>
        </w:tc>
      </w:tr>
    </w:tbl>
    <w:p>
      <w:pPr>
        <w:adjustRightInd w:val="0"/>
        <w:snapToGrid w:val="0"/>
        <w:spacing w:line="360" w:lineRule="auto"/>
        <w:ind w:firstLine="360" w:firstLineChars="150"/>
        <w:jc w:val="left"/>
        <w:rPr>
          <w:color w:val="auto"/>
          <w:sz w:val="24"/>
        </w:rPr>
      </w:pPr>
      <w:r>
        <w:rPr>
          <w:rFonts w:hint="eastAsia"/>
          <w:color w:val="auto"/>
          <w:sz w:val="24"/>
        </w:rPr>
        <w:t>（4）</w:t>
      </w:r>
      <w:r>
        <w:rPr>
          <w:color w:val="auto"/>
          <w:sz w:val="24"/>
        </w:rPr>
        <w:t>燃油废气</w:t>
      </w:r>
    </w:p>
    <w:p>
      <w:pPr>
        <w:adjustRightInd w:val="0"/>
        <w:snapToGrid w:val="0"/>
        <w:spacing w:line="360" w:lineRule="auto"/>
        <w:ind w:firstLine="480" w:firstLineChars="200"/>
        <w:rPr>
          <w:color w:val="auto"/>
          <w:sz w:val="24"/>
        </w:rPr>
      </w:pPr>
      <w:r>
        <w:rPr>
          <w:color w:val="auto"/>
          <w:sz w:val="24"/>
        </w:rPr>
        <w:t>燃油废气是指矿区柴油设备在停电情况下，自备的柴油发电机、柴油空压机机械排放的废气，矿区范围大燃油排放点分散，排放时间短，所用燃油设备为正规厂家产品，能耗符合国家相关标准。</w:t>
      </w:r>
    </w:p>
    <w:p>
      <w:pPr>
        <w:adjustRightInd w:val="0"/>
        <w:snapToGrid w:val="0"/>
        <w:spacing w:line="360" w:lineRule="auto"/>
        <w:ind w:firstLine="480" w:firstLineChars="200"/>
        <w:rPr>
          <w:rFonts w:eastAsia="黑体"/>
          <w:color w:val="auto"/>
          <w:sz w:val="24"/>
        </w:rPr>
      </w:pPr>
      <w:r>
        <w:rPr>
          <w:color w:val="auto"/>
          <w:sz w:val="24"/>
        </w:rPr>
        <w:t>项目年消耗柴油预计为</w:t>
      </w:r>
      <w:r>
        <w:rPr>
          <w:rFonts w:hint="eastAsia"/>
          <w:color w:val="auto"/>
          <w:sz w:val="24"/>
          <w:lang w:val="en-US" w:eastAsia="zh-CN"/>
        </w:rPr>
        <w:t>60</w:t>
      </w:r>
      <w:r>
        <w:rPr>
          <w:color w:val="auto"/>
          <w:sz w:val="24"/>
        </w:rPr>
        <w:t>t，根据《社会区域类 环境影响评价》及《大气环境影响评价实用技术》中给出柴油燃烧污染排放因子及源强，SO</w:t>
      </w:r>
      <w:r>
        <w:rPr>
          <w:color w:val="auto"/>
          <w:sz w:val="24"/>
          <w:vertAlign w:val="subscript"/>
        </w:rPr>
        <w:t>2</w:t>
      </w:r>
      <w:r>
        <w:rPr>
          <w:rFonts w:hint="eastAsia"/>
          <w:color w:val="auto"/>
          <w:sz w:val="24"/>
        </w:rPr>
        <w:t>：</w:t>
      </w:r>
      <w:r>
        <w:rPr>
          <w:color w:val="auto"/>
          <w:sz w:val="24"/>
        </w:rPr>
        <w:t>2.24kg/t ，NO</w:t>
      </w:r>
      <w:r>
        <w:rPr>
          <w:color w:val="auto"/>
          <w:sz w:val="24"/>
          <w:vertAlign w:val="subscript"/>
        </w:rPr>
        <w:t>X</w:t>
      </w:r>
      <w:r>
        <w:rPr>
          <w:rFonts w:hint="eastAsia"/>
          <w:color w:val="auto"/>
          <w:sz w:val="24"/>
        </w:rPr>
        <w:t>：</w:t>
      </w:r>
      <w:r>
        <w:rPr>
          <w:color w:val="auto"/>
          <w:sz w:val="24"/>
        </w:rPr>
        <w:t>2.92kg/t，CO</w:t>
      </w:r>
      <w:r>
        <w:rPr>
          <w:rFonts w:hint="eastAsia"/>
          <w:color w:val="auto"/>
          <w:sz w:val="24"/>
        </w:rPr>
        <w:t>：</w:t>
      </w:r>
      <w:r>
        <w:rPr>
          <w:color w:val="auto"/>
          <w:sz w:val="24"/>
        </w:rPr>
        <w:t>0.78kg/t，烃类</w:t>
      </w:r>
      <w:r>
        <w:rPr>
          <w:rFonts w:hint="eastAsia"/>
          <w:color w:val="auto"/>
          <w:sz w:val="24"/>
        </w:rPr>
        <w:t>：</w:t>
      </w:r>
      <w:r>
        <w:rPr>
          <w:color w:val="auto"/>
          <w:sz w:val="24"/>
        </w:rPr>
        <w:t>2.13kg/t，计算项目柴油废气污染物排放情况见表见表3</w:t>
      </w:r>
      <w:r>
        <w:rPr>
          <w:rFonts w:hint="eastAsia"/>
          <w:color w:val="auto"/>
          <w:sz w:val="24"/>
        </w:rPr>
        <w:t>.4</w:t>
      </w:r>
      <w:r>
        <w:rPr>
          <w:color w:val="auto"/>
          <w:sz w:val="24"/>
        </w:rPr>
        <w:t>-</w:t>
      </w:r>
      <w:r>
        <w:rPr>
          <w:rFonts w:hint="eastAsia"/>
          <w:color w:val="auto"/>
          <w:sz w:val="24"/>
          <w:lang w:val="en-US" w:eastAsia="zh-CN"/>
        </w:rPr>
        <w:t>5</w:t>
      </w:r>
      <w:r>
        <w:rPr>
          <w:color w:val="auto"/>
          <w:sz w:val="24"/>
        </w:rPr>
        <w:t>。</w:t>
      </w:r>
      <w:r>
        <w:rPr>
          <w:rFonts w:eastAsia="黑体"/>
          <w:color w:val="auto"/>
          <w:sz w:val="24"/>
        </w:rPr>
        <w:t xml:space="preserve">         </w:t>
      </w:r>
    </w:p>
    <w:p>
      <w:pPr>
        <w:adjustRightInd w:val="0"/>
        <w:snapToGrid w:val="0"/>
        <w:ind w:firstLine="3480" w:firstLineChars="1450"/>
        <w:rPr>
          <w:rFonts w:eastAsia="黑体"/>
          <w:color w:val="auto"/>
          <w:szCs w:val="21"/>
        </w:rPr>
      </w:pPr>
      <w:r>
        <w:rPr>
          <w:rFonts w:eastAsia="黑体"/>
          <w:color w:val="auto"/>
          <w:sz w:val="24"/>
        </w:rPr>
        <w:t xml:space="preserve"> </w:t>
      </w:r>
      <w:r>
        <w:rPr>
          <w:rFonts w:eastAsia="黑体"/>
          <w:color w:val="auto"/>
          <w:szCs w:val="21"/>
        </w:rPr>
        <w:t>表3</w:t>
      </w:r>
      <w:r>
        <w:rPr>
          <w:rFonts w:hint="eastAsia" w:eastAsia="黑体"/>
          <w:color w:val="auto"/>
          <w:szCs w:val="21"/>
        </w:rPr>
        <w:t>.4</w:t>
      </w:r>
      <w:r>
        <w:rPr>
          <w:rFonts w:eastAsia="黑体"/>
          <w:color w:val="auto"/>
          <w:szCs w:val="21"/>
        </w:rPr>
        <w:t>-</w:t>
      </w:r>
      <w:r>
        <w:rPr>
          <w:rFonts w:hint="eastAsia" w:eastAsia="黑体"/>
          <w:color w:val="auto"/>
          <w:szCs w:val="21"/>
          <w:lang w:val="en-US" w:eastAsia="zh-CN"/>
        </w:rPr>
        <w:t>5</w:t>
      </w:r>
      <w:r>
        <w:rPr>
          <w:rFonts w:eastAsia="黑体"/>
          <w:color w:val="auto"/>
          <w:szCs w:val="21"/>
        </w:rPr>
        <w:t xml:space="preserve">   燃油废气污染负荷表</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1515"/>
        <w:gridCol w:w="1515"/>
        <w:gridCol w:w="1515"/>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247" w:type="dxa"/>
            <w:noWrap w:val="0"/>
            <w:vAlign w:val="center"/>
          </w:tcPr>
          <w:p>
            <w:pPr>
              <w:adjustRightInd w:val="0"/>
              <w:snapToGrid w:val="0"/>
              <w:spacing w:line="240" w:lineRule="atLeast"/>
              <w:jc w:val="center"/>
              <w:rPr>
                <w:rFonts w:eastAsia="宋体"/>
                <w:color w:val="auto"/>
                <w:szCs w:val="21"/>
              </w:rPr>
            </w:pPr>
            <w:r>
              <w:rPr>
                <w:rFonts w:hAnsi="宋体" w:eastAsia="宋体"/>
                <w:color w:val="auto"/>
                <w:szCs w:val="21"/>
              </w:rPr>
              <w:t>污染物</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SO</w:t>
            </w:r>
            <w:r>
              <w:rPr>
                <w:rFonts w:eastAsia="宋体"/>
                <w:color w:val="auto"/>
                <w:szCs w:val="21"/>
                <w:vertAlign w:val="subscript"/>
              </w:rPr>
              <w:t>2</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NOx</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CO</w:t>
            </w:r>
          </w:p>
        </w:tc>
        <w:tc>
          <w:tcPr>
            <w:tcW w:w="1736" w:type="dxa"/>
            <w:noWrap w:val="0"/>
            <w:vAlign w:val="center"/>
          </w:tcPr>
          <w:p>
            <w:pPr>
              <w:adjustRightInd w:val="0"/>
              <w:snapToGrid w:val="0"/>
              <w:spacing w:line="240" w:lineRule="atLeast"/>
              <w:jc w:val="center"/>
              <w:rPr>
                <w:rFonts w:eastAsia="宋体"/>
                <w:color w:val="auto"/>
                <w:szCs w:val="21"/>
              </w:rPr>
            </w:pPr>
            <w:r>
              <w:rPr>
                <w:rFonts w:hAnsi="宋体" w:eastAsia="宋体"/>
                <w:color w:val="auto"/>
                <w:szCs w:val="21"/>
              </w:rPr>
              <w:t>烃类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247" w:type="dxa"/>
            <w:noWrap w:val="0"/>
            <w:vAlign w:val="center"/>
          </w:tcPr>
          <w:p>
            <w:pPr>
              <w:adjustRightInd w:val="0"/>
              <w:snapToGrid w:val="0"/>
              <w:spacing w:line="240" w:lineRule="atLeast"/>
              <w:jc w:val="center"/>
              <w:rPr>
                <w:rFonts w:eastAsia="宋体"/>
                <w:color w:val="auto"/>
                <w:szCs w:val="21"/>
              </w:rPr>
            </w:pPr>
            <w:r>
              <w:rPr>
                <w:rFonts w:hAnsi="宋体" w:eastAsia="宋体"/>
                <w:color w:val="auto"/>
                <w:szCs w:val="21"/>
              </w:rPr>
              <w:t>产生系数（</w:t>
            </w:r>
            <w:r>
              <w:rPr>
                <w:rFonts w:eastAsia="宋体"/>
                <w:color w:val="auto"/>
                <w:szCs w:val="21"/>
              </w:rPr>
              <w:t>kg/t</w:t>
            </w:r>
            <w:r>
              <w:rPr>
                <w:rFonts w:hAnsi="宋体" w:eastAsia="宋体"/>
                <w:color w:val="auto"/>
                <w:szCs w:val="21"/>
              </w:rPr>
              <w:t>油）</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2.24</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2.92</w:t>
            </w:r>
          </w:p>
        </w:tc>
        <w:tc>
          <w:tcPr>
            <w:tcW w:w="1515"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0.78</w:t>
            </w:r>
          </w:p>
        </w:tc>
        <w:tc>
          <w:tcPr>
            <w:tcW w:w="1736" w:type="dxa"/>
            <w:noWrap w:val="0"/>
            <w:vAlign w:val="center"/>
          </w:tcPr>
          <w:p>
            <w:pPr>
              <w:adjustRightInd w:val="0"/>
              <w:snapToGrid w:val="0"/>
              <w:spacing w:line="240" w:lineRule="atLeast"/>
              <w:jc w:val="center"/>
              <w:rPr>
                <w:rFonts w:eastAsia="宋体"/>
                <w:color w:val="auto"/>
                <w:szCs w:val="21"/>
              </w:rPr>
            </w:pPr>
            <w:r>
              <w:rPr>
                <w:rFonts w:eastAsia="宋体"/>
                <w:color w:val="auto"/>
                <w:szCs w:val="21"/>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247" w:type="dxa"/>
            <w:noWrap w:val="0"/>
            <w:vAlign w:val="center"/>
          </w:tcPr>
          <w:p>
            <w:pPr>
              <w:adjustRightInd w:val="0"/>
              <w:snapToGrid w:val="0"/>
              <w:spacing w:line="240" w:lineRule="atLeast"/>
              <w:jc w:val="center"/>
              <w:rPr>
                <w:rFonts w:eastAsia="宋体"/>
                <w:color w:val="auto"/>
                <w:szCs w:val="21"/>
              </w:rPr>
            </w:pPr>
            <w:r>
              <w:rPr>
                <w:rFonts w:hAnsi="宋体" w:eastAsia="宋体"/>
                <w:color w:val="auto"/>
                <w:szCs w:val="21"/>
              </w:rPr>
              <w:t>年排放量（</w:t>
            </w:r>
            <w:r>
              <w:rPr>
                <w:rFonts w:eastAsia="宋体"/>
                <w:color w:val="auto"/>
                <w:szCs w:val="21"/>
              </w:rPr>
              <w:t>t/a</w:t>
            </w:r>
            <w:r>
              <w:rPr>
                <w:rFonts w:hAnsi="宋体" w:eastAsia="宋体"/>
                <w:color w:val="auto"/>
                <w:szCs w:val="21"/>
              </w:rPr>
              <w:t>）</w:t>
            </w:r>
          </w:p>
        </w:tc>
        <w:tc>
          <w:tcPr>
            <w:tcW w:w="1515" w:type="dxa"/>
            <w:noWrap w:val="0"/>
            <w:vAlign w:val="center"/>
          </w:tcPr>
          <w:p>
            <w:pPr>
              <w:adjustRightInd w:val="0"/>
              <w:snapToGrid w:val="0"/>
              <w:spacing w:line="240" w:lineRule="atLeast"/>
              <w:jc w:val="center"/>
              <w:rPr>
                <w:rFonts w:hint="default" w:eastAsia="宋体"/>
                <w:color w:val="auto"/>
                <w:szCs w:val="21"/>
                <w:lang w:val="en-US" w:eastAsia="zh-CN"/>
              </w:rPr>
            </w:pPr>
            <w:r>
              <w:rPr>
                <w:rFonts w:hint="eastAsia" w:eastAsia="宋体"/>
                <w:color w:val="auto"/>
                <w:szCs w:val="21"/>
                <w:lang w:val="en-US" w:eastAsia="zh-CN"/>
              </w:rPr>
              <w:t>0.13</w:t>
            </w:r>
          </w:p>
        </w:tc>
        <w:tc>
          <w:tcPr>
            <w:tcW w:w="1515" w:type="dxa"/>
            <w:noWrap w:val="0"/>
            <w:vAlign w:val="center"/>
          </w:tcPr>
          <w:p>
            <w:pPr>
              <w:adjustRightInd w:val="0"/>
              <w:snapToGrid w:val="0"/>
              <w:spacing w:line="240" w:lineRule="atLeast"/>
              <w:jc w:val="center"/>
              <w:rPr>
                <w:rFonts w:hint="default" w:eastAsia="宋体"/>
                <w:color w:val="auto"/>
                <w:szCs w:val="21"/>
                <w:lang w:val="en-US" w:eastAsia="zh-CN"/>
              </w:rPr>
            </w:pPr>
            <w:r>
              <w:rPr>
                <w:rFonts w:hint="eastAsia" w:eastAsia="宋体"/>
                <w:color w:val="auto"/>
                <w:szCs w:val="21"/>
              </w:rPr>
              <w:t>0.</w:t>
            </w:r>
            <w:r>
              <w:rPr>
                <w:rFonts w:hint="eastAsia" w:eastAsia="宋体"/>
                <w:color w:val="auto"/>
                <w:szCs w:val="21"/>
                <w:lang w:val="en-US" w:eastAsia="zh-CN"/>
              </w:rPr>
              <w:t>17</w:t>
            </w:r>
          </w:p>
        </w:tc>
        <w:tc>
          <w:tcPr>
            <w:tcW w:w="1515" w:type="dxa"/>
            <w:noWrap w:val="0"/>
            <w:vAlign w:val="center"/>
          </w:tcPr>
          <w:p>
            <w:pPr>
              <w:adjustRightInd w:val="0"/>
              <w:snapToGrid w:val="0"/>
              <w:spacing w:line="240" w:lineRule="atLeast"/>
              <w:jc w:val="center"/>
              <w:rPr>
                <w:rFonts w:hint="default" w:eastAsia="宋体"/>
                <w:color w:val="auto"/>
                <w:szCs w:val="21"/>
                <w:lang w:val="en-US" w:eastAsia="zh-CN"/>
              </w:rPr>
            </w:pPr>
            <w:r>
              <w:rPr>
                <w:rFonts w:hint="eastAsia" w:eastAsia="宋体"/>
                <w:color w:val="auto"/>
                <w:szCs w:val="21"/>
                <w:lang w:val="en-US" w:eastAsia="zh-CN"/>
              </w:rPr>
              <w:t>0.047</w:t>
            </w:r>
          </w:p>
        </w:tc>
        <w:tc>
          <w:tcPr>
            <w:tcW w:w="1736" w:type="dxa"/>
            <w:noWrap w:val="0"/>
            <w:vAlign w:val="center"/>
          </w:tcPr>
          <w:p>
            <w:pPr>
              <w:adjustRightInd w:val="0"/>
              <w:snapToGrid w:val="0"/>
              <w:spacing w:line="240" w:lineRule="atLeast"/>
              <w:jc w:val="center"/>
              <w:rPr>
                <w:rFonts w:eastAsia="宋体"/>
                <w:color w:val="auto"/>
                <w:szCs w:val="21"/>
              </w:rPr>
            </w:pPr>
            <w:r>
              <w:rPr>
                <w:rFonts w:hint="eastAsia" w:eastAsia="宋体"/>
                <w:color w:val="auto"/>
                <w:szCs w:val="21"/>
              </w:rPr>
              <w:t>0.</w:t>
            </w:r>
            <w:r>
              <w:rPr>
                <w:rFonts w:hint="eastAsia" w:eastAsia="宋体"/>
                <w:color w:val="auto"/>
                <w:szCs w:val="21"/>
                <w:lang w:val="en-US" w:eastAsia="zh-CN"/>
              </w:rPr>
              <w:t>13</w:t>
            </w:r>
            <w:r>
              <w:rPr>
                <w:rFonts w:hint="eastAsia" w:eastAsia="宋体"/>
                <w:color w:val="auto"/>
                <w:szCs w:val="21"/>
              </w:rPr>
              <w:t xml:space="preserve"> </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2"/>
        </w:rPr>
      </w:pPr>
      <w:r>
        <w:rPr>
          <w:color w:val="auto"/>
          <w:sz w:val="24"/>
        </w:rPr>
        <w:t>由表3</w:t>
      </w:r>
      <w:r>
        <w:rPr>
          <w:rFonts w:hint="eastAsia"/>
          <w:color w:val="auto"/>
          <w:sz w:val="24"/>
        </w:rPr>
        <w:t>.4</w:t>
      </w:r>
      <w:r>
        <w:rPr>
          <w:color w:val="auto"/>
          <w:sz w:val="24"/>
        </w:rPr>
        <w:t>-5可知，矿山发电机燃油采用含硫量不大于0.2%的优质0</w:t>
      </w:r>
      <w:r>
        <w:rPr>
          <w:color w:val="auto"/>
          <w:sz w:val="24"/>
          <w:vertAlign w:val="superscript"/>
        </w:rPr>
        <w:t>#</w:t>
      </w:r>
      <w:r>
        <w:rPr>
          <w:color w:val="auto"/>
          <w:sz w:val="24"/>
        </w:rPr>
        <w:t>柴油的条件下，主要污染物SO</w:t>
      </w:r>
      <w:r>
        <w:rPr>
          <w:color w:val="auto"/>
          <w:sz w:val="24"/>
          <w:vertAlign w:val="subscript"/>
        </w:rPr>
        <w:t>2</w:t>
      </w:r>
      <w:r>
        <w:rPr>
          <w:color w:val="auto"/>
          <w:sz w:val="24"/>
        </w:rPr>
        <w:t>、NOx等排放量较小</w:t>
      </w:r>
      <w:r>
        <w:rPr>
          <w:rFonts w:hint="eastAsia"/>
          <w:color w:val="auto"/>
          <w:sz w:val="24"/>
        </w:rPr>
        <w:t>。</w:t>
      </w:r>
      <w:r>
        <w:rPr>
          <w:color w:val="auto"/>
          <w:sz w:val="24"/>
        </w:rPr>
        <w:t>项目所处区域空旷，环境容量较大，污染物较易扩散稀释，不会形成局部区域集中污染，即燃油废气污染物对项目区环境空气质量不会形成明显的污染影响。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运营期大气污染物排放情况统计详见表3.4-</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w:t>
      </w:r>
    </w:p>
    <w:p>
      <w:pPr>
        <w:adjustRightInd w:val="0"/>
        <w:snapToGrid w:val="0"/>
        <w:ind w:firstLine="2100" w:firstLineChars="10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w:t>
      </w:r>
      <w:r>
        <w:rPr>
          <w:rFonts w:hint="eastAsia" w:ascii="Times New Roman" w:hAnsi="Times New Roman" w:eastAsia="黑体" w:cs="Times New Roman"/>
          <w:color w:val="auto"/>
          <w:szCs w:val="21"/>
          <w:lang w:val="en-US" w:eastAsia="zh-CN"/>
        </w:rPr>
        <w:t>6</w:t>
      </w:r>
      <w:r>
        <w:rPr>
          <w:rFonts w:hint="default" w:ascii="Times New Roman" w:hAnsi="Times New Roman" w:eastAsia="黑体" w:cs="Times New Roman"/>
          <w:color w:val="auto"/>
          <w:szCs w:val="21"/>
        </w:rPr>
        <w:t xml:space="preserve">  运营期大气污染物排放情况统计表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525"/>
        <w:gridCol w:w="1674"/>
        <w:gridCol w:w="1919"/>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3013" w:type="dxa"/>
            <w:gridSpan w:val="2"/>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产生量（t/a）</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88"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井工采矿</w:t>
            </w:r>
          </w:p>
        </w:tc>
        <w:tc>
          <w:tcPr>
            <w:tcW w:w="1525" w:type="dxa"/>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爆破</w:t>
            </w: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1.42</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88"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52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lang w:val="en-US" w:eastAsia="zh-CN"/>
              </w:rPr>
              <w:t>2</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0.067</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488"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525"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0.00083</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488"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52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w:t>
            </w: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0.41</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488" w:type="dxa"/>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525"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0.64</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13" w:type="dxa"/>
            <w:gridSpan w:val="2"/>
            <w:vMerge w:val="restart"/>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eastAsia" w:hAnsi="宋体" w:eastAsia="宋体"/>
                <w:color w:val="auto"/>
                <w:szCs w:val="21"/>
              </w:rPr>
              <w:t>柴油发电机的废气</w:t>
            </w: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eastAsia="宋体"/>
                <w:color w:val="auto"/>
                <w:szCs w:val="21"/>
              </w:rPr>
              <w:t>SO</w:t>
            </w:r>
            <w:r>
              <w:rPr>
                <w:rFonts w:eastAsia="宋体"/>
                <w:color w:val="auto"/>
                <w:szCs w:val="21"/>
                <w:vertAlign w:val="subscript"/>
              </w:rPr>
              <w:t>2</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13</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13" w:type="dxa"/>
            <w:gridSpan w:val="2"/>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eastAsia="宋体"/>
                <w:color w:val="auto"/>
                <w:szCs w:val="21"/>
              </w:rPr>
              <w:t>NOx</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17</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13" w:type="dxa"/>
            <w:gridSpan w:val="2"/>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eastAsia="宋体"/>
                <w:color w:val="auto"/>
                <w:szCs w:val="21"/>
              </w:rPr>
              <w:t>CO</w:t>
            </w:r>
          </w:p>
        </w:tc>
        <w:tc>
          <w:tcPr>
            <w:tcW w:w="1919"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047</w:t>
            </w:r>
          </w:p>
        </w:tc>
        <w:tc>
          <w:tcPr>
            <w:tcW w:w="1916"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13" w:type="dxa"/>
            <w:gridSpan w:val="2"/>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p>
        </w:tc>
        <w:tc>
          <w:tcPr>
            <w:tcW w:w="1674"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Ansi="宋体" w:eastAsia="宋体"/>
                <w:color w:val="auto"/>
                <w:szCs w:val="21"/>
              </w:rPr>
              <w:t>烃类</w:t>
            </w:r>
          </w:p>
        </w:tc>
        <w:tc>
          <w:tcPr>
            <w:tcW w:w="1919" w:type="dxa"/>
            <w:noWrap w:val="0"/>
            <w:vAlign w:val="top"/>
          </w:tcPr>
          <w:p>
            <w:pPr>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13</w:t>
            </w:r>
          </w:p>
        </w:tc>
        <w:tc>
          <w:tcPr>
            <w:tcW w:w="1916" w:type="dxa"/>
            <w:noWrap w:val="0"/>
            <w:vAlign w:val="top"/>
          </w:tcPr>
          <w:p>
            <w:pPr>
              <w:jc w:val="center"/>
              <w:rPr>
                <w:rFonts w:hint="default" w:ascii="Times New Roman" w:hAnsi="Times New Roman" w:eastAsia="宋体" w:cs="Times New Roman"/>
                <w:color w:val="auto"/>
                <w:szCs w:val="21"/>
                <w:lang w:val="en-US" w:eastAsia="zh-CN"/>
              </w:rPr>
            </w:pPr>
            <w:r>
              <w:rPr>
                <w:rFonts w:eastAsia="宋体"/>
                <w:color w:val="auto"/>
                <w:szCs w:val="21"/>
              </w:rPr>
              <w:t>0.</w:t>
            </w:r>
            <w:r>
              <w:rPr>
                <w:rFonts w:hint="eastAsia" w:eastAsia="宋体"/>
                <w:color w:val="auto"/>
                <w:szCs w:val="21"/>
                <w:lang w:val="en-US" w:eastAsia="zh-CN"/>
              </w:rPr>
              <w:t>13</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default" w:ascii="Times New Roman" w:hAnsi="Times New Roman" w:cs="Times New Roman"/>
          <w:color w:val="auto"/>
          <w:sz w:val="24"/>
          <w:szCs w:val="22"/>
        </w:rPr>
      </w:pPr>
      <w:bookmarkStart w:id="515" w:name="_Toc17709390"/>
      <w:bookmarkStart w:id="516" w:name="_Toc7999014"/>
      <w:r>
        <w:rPr>
          <w:rFonts w:hint="default" w:ascii="Times New Roman" w:hAnsi="Times New Roman" w:cs="Times New Roman"/>
          <w:color w:val="auto"/>
          <w:sz w:val="24"/>
          <w:szCs w:val="22"/>
        </w:rPr>
        <w:t>3.4.2.2水污染源及污染物排放情况</w:t>
      </w:r>
      <w:bookmarkEnd w:id="515"/>
      <w:bookmarkEnd w:id="516"/>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（1）生产废水</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生产废水：项目生产用水主要用于湿式凿岩用水、爆破区域喷洒用水等，用水量为50m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/d。项目地下开采过程中会产生矿井涌水，涌水量为50m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矿井涌水主要来自湿式凿岩废水和裂隙渗水，其主要污染因子为SS，浓度340～520mg/L。矿井涌水由水泵送至高位水池（容积为200m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）沉淀至12小时，SS处理效率为50%，因此矿井涌水经沉淀处理后能够满足《污水综合排放标准》（GB8978-1996）二级标准的要求。</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矿井涌水经收集沉淀处理后，涌水全部回用于矿区生产用水和洒水降尘。</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项目区属于干旱缺水地区，矿井涌水主要污染物为SS且不含有任何有毒有害物质，经沉淀处理后可满足项目生产用水和洒水降尘，同时又能提高了水资源的利用率等。项目矿井涌水具体使用情况详见表3.4-</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p>
    <w:p>
      <w:pPr>
        <w:ind w:firstLine="2310" w:firstLineChars="11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w:t>
      </w:r>
      <w:r>
        <w:rPr>
          <w:rFonts w:hint="default" w:ascii="Times New Roman" w:hAnsi="Times New Roman" w:eastAsia="黑体" w:cs="Times New Roman"/>
          <w:color w:val="auto"/>
          <w:szCs w:val="21"/>
          <w:lang w:val="en-US" w:eastAsia="zh-CN"/>
        </w:rPr>
        <w:t>6</w:t>
      </w:r>
      <w:r>
        <w:rPr>
          <w:rFonts w:hint="default" w:ascii="Times New Roman" w:hAnsi="Times New Roman" w:eastAsia="黑体" w:cs="Times New Roman"/>
          <w:color w:val="auto"/>
          <w:szCs w:val="21"/>
        </w:rPr>
        <w:t xml:space="preserve">  项目矿井涌水使用一览表</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268"/>
        <w:gridCol w:w="1557"/>
        <w:gridCol w:w="3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exact"/>
          <w:jc w:val="center"/>
        </w:trPr>
        <w:tc>
          <w:tcPr>
            <w:tcW w:w="1527"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项目涌水量</w:t>
            </w:r>
          </w:p>
        </w:tc>
        <w:tc>
          <w:tcPr>
            <w:tcW w:w="226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用水工段</w:t>
            </w:r>
          </w:p>
        </w:tc>
        <w:tc>
          <w:tcPr>
            <w:tcW w:w="1557"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用水量（m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p>
        </w:tc>
        <w:tc>
          <w:tcPr>
            <w:tcW w:w="31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exact"/>
          <w:jc w:val="center"/>
        </w:trPr>
        <w:tc>
          <w:tcPr>
            <w:tcW w:w="1527"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p>
        </w:tc>
        <w:tc>
          <w:tcPr>
            <w:tcW w:w="226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项目生产</w:t>
            </w:r>
          </w:p>
        </w:tc>
        <w:tc>
          <w:tcPr>
            <w:tcW w:w="1557"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c>
          <w:tcPr>
            <w:tcW w:w="31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用于项目生产用水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exact"/>
          <w:jc w:val="center"/>
        </w:trPr>
        <w:tc>
          <w:tcPr>
            <w:tcW w:w="152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26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项目道路洒水</w:t>
            </w:r>
          </w:p>
        </w:tc>
        <w:tc>
          <w:tcPr>
            <w:tcW w:w="155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31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用于项目道路洒水降尘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exact"/>
          <w:jc w:val="center"/>
        </w:trPr>
        <w:tc>
          <w:tcPr>
            <w:tcW w:w="152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26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废石场、临时堆场</w:t>
            </w:r>
          </w:p>
        </w:tc>
        <w:tc>
          <w:tcPr>
            <w:tcW w:w="155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31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用于废石场、临时堆场洒水降尘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exact"/>
          <w:jc w:val="center"/>
        </w:trPr>
        <w:tc>
          <w:tcPr>
            <w:tcW w:w="1527"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268"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项目区附近</w:t>
            </w:r>
          </w:p>
        </w:tc>
        <w:tc>
          <w:tcPr>
            <w:tcW w:w="1557"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1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用于项目区附近及周边绿化用水</w:t>
            </w:r>
          </w:p>
        </w:tc>
      </w:tr>
    </w:tbl>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（2）生活污水</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矿区定员约42人，生活用水定额按《新疆生活用水定额》中南疆地区每人85L/d·人计算，生活用水量每天预计为3.57m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/d（892.5m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/a），污水按80%的排放量计，生活污水排放量为2.9m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/d（725m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/a）。在生活区内修建污水处理设施，废水经处理达到《污水综合排放标准》（GB8978-1996）二级标准后，用于洒水降尘和绿化。</w:t>
      </w:r>
    </w:p>
    <w:p>
      <w:pPr>
        <w:autoSpaceDE w:val="0"/>
        <w:autoSpaceDN w:val="0"/>
        <w:adjustRightInd w:val="0"/>
        <w:snapToGrid w:val="0"/>
        <w:spacing w:line="360" w:lineRule="auto"/>
        <w:ind w:firstLine="480" w:firstLineChars="200"/>
        <w:rPr>
          <w:rFonts w:hint="default" w:ascii="Times New Roman" w:hAnsi="Times New Roman" w:eastAsia="黑体" w:cs="Times New Roman"/>
          <w:color w:val="auto"/>
          <w:sz w:val="24"/>
        </w:rPr>
      </w:pPr>
      <w:r>
        <w:rPr>
          <w:rFonts w:hint="default" w:ascii="Times New Roman" w:hAnsi="Times New Roman" w:cs="Times New Roman"/>
          <w:color w:val="auto"/>
          <w:sz w:val="24"/>
        </w:rPr>
        <w:t>本项目生活污水污染物产生量及排放情况详见表3.4-</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pPr>
        <w:ind w:firstLine="1995" w:firstLineChars="9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w:t>
      </w:r>
      <w:r>
        <w:rPr>
          <w:rFonts w:hint="default" w:ascii="Times New Roman" w:hAnsi="Times New Roman" w:eastAsia="黑体" w:cs="Times New Roman"/>
          <w:color w:val="auto"/>
          <w:szCs w:val="21"/>
          <w:lang w:val="en-US" w:eastAsia="zh-CN"/>
        </w:rPr>
        <w:t>7</w:t>
      </w:r>
      <w:r>
        <w:rPr>
          <w:rFonts w:hint="default" w:ascii="Times New Roman" w:hAnsi="Times New Roman" w:eastAsia="黑体" w:cs="Times New Roman"/>
          <w:color w:val="auto"/>
          <w:szCs w:val="21"/>
        </w:rPr>
        <w:t xml:space="preserve">  项目生活污水主要污染物及排放情况</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450"/>
        <w:gridCol w:w="1445"/>
        <w:gridCol w:w="1114"/>
        <w:gridCol w:w="1114"/>
        <w:gridCol w:w="1115"/>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628" w:type="dxa"/>
            <w:gridSpan w:val="2"/>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主要污染物</w:t>
            </w:r>
          </w:p>
        </w:tc>
        <w:tc>
          <w:tcPr>
            <w:tcW w:w="144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排水量</w:t>
            </w:r>
          </w:p>
        </w:tc>
        <w:tc>
          <w:tcPr>
            <w:tcW w:w="111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11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CODcr</w:t>
            </w:r>
          </w:p>
        </w:tc>
        <w:tc>
          <w:tcPr>
            <w:tcW w:w="1115" w:type="dxa"/>
            <w:noWrap w:val="0"/>
            <w:vAlign w:val="center"/>
          </w:tcPr>
          <w:p>
            <w:pPr>
              <w:spacing w:line="240" w:lineRule="exac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11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178"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处理前</w:t>
            </w:r>
          </w:p>
        </w:tc>
        <w:tc>
          <w:tcPr>
            <w:tcW w:w="1450"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浓度（mg/l）</w:t>
            </w:r>
          </w:p>
        </w:tc>
        <w:tc>
          <w:tcPr>
            <w:tcW w:w="1445"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2.9m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（725m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360</w:t>
            </w: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320</w:t>
            </w:r>
          </w:p>
        </w:tc>
        <w:tc>
          <w:tcPr>
            <w:tcW w:w="111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220</w:t>
            </w:r>
          </w:p>
        </w:tc>
        <w:tc>
          <w:tcPr>
            <w:tcW w:w="111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178" w:type="dxa"/>
            <w:vMerge w:val="continue"/>
            <w:noWrap w:val="0"/>
            <w:vAlign w:val="center"/>
          </w:tcPr>
          <w:p>
            <w:pPr>
              <w:widowControl/>
              <w:spacing w:line="240" w:lineRule="exact"/>
              <w:jc w:val="center"/>
              <w:rPr>
                <w:rFonts w:hint="default" w:ascii="Times New Roman" w:hAnsi="Times New Roman" w:eastAsia="宋体" w:cs="Times New Roman"/>
                <w:color w:val="auto"/>
                <w:szCs w:val="21"/>
              </w:rPr>
            </w:pPr>
          </w:p>
        </w:tc>
        <w:tc>
          <w:tcPr>
            <w:tcW w:w="1450"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产生量（t/a）</w:t>
            </w:r>
          </w:p>
        </w:tc>
        <w:tc>
          <w:tcPr>
            <w:tcW w:w="1445" w:type="dxa"/>
            <w:vMerge w:val="continue"/>
            <w:noWrap w:val="0"/>
            <w:vAlign w:val="center"/>
          </w:tcPr>
          <w:p>
            <w:pPr>
              <w:widowControl/>
              <w:spacing w:line="240" w:lineRule="exact"/>
              <w:jc w:val="center"/>
              <w:rPr>
                <w:rFonts w:hint="default" w:ascii="Times New Roman" w:hAnsi="Times New Roman" w:eastAsia="宋体" w:cs="Times New Roman"/>
                <w:color w:val="auto"/>
                <w:szCs w:val="21"/>
                <w:vertAlign w:val="superscript"/>
              </w:rPr>
            </w:pP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0.26</w:t>
            </w: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0.23</w:t>
            </w:r>
          </w:p>
        </w:tc>
        <w:tc>
          <w:tcPr>
            <w:tcW w:w="111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0.16</w:t>
            </w:r>
          </w:p>
        </w:tc>
        <w:tc>
          <w:tcPr>
            <w:tcW w:w="111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 xml:space="preserve">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178"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处理后</w:t>
            </w:r>
          </w:p>
        </w:tc>
        <w:tc>
          <w:tcPr>
            <w:tcW w:w="1450"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浓度（mg/l）</w:t>
            </w:r>
          </w:p>
        </w:tc>
        <w:tc>
          <w:tcPr>
            <w:tcW w:w="1445" w:type="dxa"/>
            <w:vMerge w:val="continue"/>
            <w:noWrap w:val="0"/>
            <w:vAlign w:val="center"/>
          </w:tcPr>
          <w:p>
            <w:pPr>
              <w:widowControl/>
              <w:spacing w:line="240" w:lineRule="exact"/>
              <w:jc w:val="center"/>
              <w:rPr>
                <w:rFonts w:hint="default" w:ascii="Times New Roman" w:hAnsi="Times New Roman" w:eastAsia="宋体" w:cs="Times New Roman"/>
                <w:color w:val="auto"/>
                <w:szCs w:val="21"/>
                <w:vertAlign w:val="superscript"/>
              </w:rPr>
            </w:pP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150</w:t>
            </w: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150</w:t>
            </w:r>
          </w:p>
        </w:tc>
        <w:tc>
          <w:tcPr>
            <w:tcW w:w="111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30</w:t>
            </w:r>
          </w:p>
        </w:tc>
        <w:tc>
          <w:tcPr>
            <w:tcW w:w="111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178" w:type="dxa"/>
            <w:vMerge w:val="continue"/>
            <w:noWrap w:val="0"/>
            <w:vAlign w:val="center"/>
          </w:tcPr>
          <w:p>
            <w:pPr>
              <w:widowControl/>
              <w:spacing w:line="240" w:lineRule="exact"/>
              <w:jc w:val="center"/>
              <w:rPr>
                <w:rFonts w:hint="default" w:ascii="Times New Roman" w:hAnsi="Times New Roman" w:eastAsia="宋体" w:cs="Times New Roman"/>
                <w:color w:val="auto"/>
                <w:szCs w:val="21"/>
              </w:rPr>
            </w:pPr>
          </w:p>
        </w:tc>
        <w:tc>
          <w:tcPr>
            <w:tcW w:w="1450"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tc>
        <w:tc>
          <w:tcPr>
            <w:tcW w:w="1445" w:type="dxa"/>
            <w:vMerge w:val="continue"/>
            <w:noWrap w:val="0"/>
            <w:vAlign w:val="center"/>
          </w:tcPr>
          <w:p>
            <w:pPr>
              <w:widowControl/>
              <w:spacing w:line="240" w:lineRule="exact"/>
              <w:jc w:val="center"/>
              <w:rPr>
                <w:rFonts w:hint="default" w:ascii="Times New Roman" w:hAnsi="Times New Roman" w:eastAsia="宋体" w:cs="Times New Roman"/>
                <w:color w:val="auto"/>
                <w:szCs w:val="21"/>
                <w:vertAlign w:val="superscript"/>
              </w:rPr>
            </w:pP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0.11</w:t>
            </w:r>
          </w:p>
        </w:tc>
        <w:tc>
          <w:tcPr>
            <w:tcW w:w="1114"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0.11</w:t>
            </w:r>
          </w:p>
        </w:tc>
        <w:tc>
          <w:tcPr>
            <w:tcW w:w="111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0.02</w:t>
            </w:r>
          </w:p>
        </w:tc>
        <w:tc>
          <w:tcPr>
            <w:tcW w:w="111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 xml:space="preserve">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2628" w:type="dxa"/>
            <w:gridSpan w:val="2"/>
            <w:noWrap w:val="0"/>
            <w:vAlign w:val="center"/>
          </w:tcPr>
          <w:p>
            <w:pPr>
              <w:widowControl/>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削减量（t/a）</w:t>
            </w:r>
          </w:p>
        </w:tc>
        <w:tc>
          <w:tcPr>
            <w:tcW w:w="144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14" w:type="dxa"/>
            <w:noWrap w:val="0"/>
            <w:vAlign w:val="center"/>
          </w:tcPr>
          <w:p>
            <w:pPr>
              <w:spacing w:line="240" w:lineRule="exact"/>
              <w:ind w:right="220"/>
              <w:jc w:val="center"/>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0.58</w:t>
            </w:r>
          </w:p>
        </w:tc>
        <w:tc>
          <w:tcPr>
            <w:tcW w:w="1114" w:type="dxa"/>
            <w:noWrap w:val="0"/>
            <w:vAlign w:val="center"/>
          </w:tcPr>
          <w:p>
            <w:pPr>
              <w:jc w:val="center"/>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0.15</w:t>
            </w:r>
          </w:p>
        </w:tc>
        <w:tc>
          <w:tcPr>
            <w:tcW w:w="1115" w:type="dxa"/>
            <w:noWrap w:val="0"/>
            <w:vAlign w:val="center"/>
          </w:tcPr>
          <w:p>
            <w:pPr>
              <w:jc w:val="center"/>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0.12</w:t>
            </w:r>
          </w:p>
        </w:tc>
        <w:tc>
          <w:tcPr>
            <w:tcW w:w="1112" w:type="dxa"/>
            <w:noWrap w:val="0"/>
            <w:vAlign w:val="center"/>
          </w:tcPr>
          <w:p>
            <w:pPr>
              <w:jc w:val="center"/>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0.</w:t>
            </w:r>
            <w:r>
              <w:rPr>
                <w:rFonts w:hint="default" w:ascii="Times New Roman" w:hAnsi="Times New Roman" w:eastAsia="宋体" w:cs="Times New Roman"/>
                <w:color w:val="auto"/>
                <w:sz w:val="22"/>
                <w:szCs w:val="22"/>
              </w:rPr>
              <w:t>01</w:t>
            </w:r>
          </w:p>
        </w:tc>
      </w:tr>
    </w:tbl>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运营期用排水</w:t>
      </w:r>
      <w:r>
        <w:rPr>
          <w:rFonts w:hint="default" w:ascii="Times New Roman" w:hAnsi="Times New Roman" w:cs="Times New Roman"/>
          <w:color w:val="auto"/>
          <w:sz w:val="24"/>
          <w:lang w:eastAsia="zh-CN"/>
        </w:rPr>
        <w:t>量</w:t>
      </w:r>
      <w:r>
        <w:rPr>
          <w:rFonts w:hint="default" w:ascii="Times New Roman" w:hAnsi="Times New Roman" w:cs="Times New Roman"/>
          <w:color w:val="auto"/>
          <w:sz w:val="24"/>
        </w:rPr>
        <w:t>详见水平衡图3.1-</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（3）废石堆场淋溶水</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当进入废石场的雨水量和冰雪消融水大于场内废石的最大持水量时，多余的水份渗出形成废石场淋溶水，废石中部分被雨、雪水溶解的成份也随之流出，因此淋溶水中含有一定量的矿物元素。对照本矿山的废石浸出毒性分析结果，从分析结果来看，废石浸出液中主要有害成份的浓度均低于《危险废物鉴别标准——浸出毒性鉴别》（GB5085.3-2007）的限值和《污水综合排放标准》（GB8978-1996）二级标准限值。项目在废石堆场周边修有排水沟，集中汇入防渗集水池后用于废石堆场洒水降尘。项目位于乌鲁木齐市115°方位、直距44km处处，气候炎热干燥，年平均降水量为38.4mm，年蒸发量为3164.2mm。废石堆场淋溶液产生量较少，并且均得到合理处置，因此项目废石淋溶液经集中收集用于废石堆场洒水降尘自然蒸发，不会对外环境造成任何影响的。</w:t>
      </w:r>
    </w:p>
    <w:p>
      <w:pPr>
        <w:adjustRightInd w:val="0"/>
        <w:snapToGrid w:val="0"/>
        <w:spacing w:line="360" w:lineRule="auto"/>
        <w:outlineLvl w:val="3"/>
        <w:rPr>
          <w:rFonts w:hint="default" w:ascii="Times New Roman" w:hAnsi="Times New Roman" w:cs="Times New Roman"/>
          <w:color w:val="auto"/>
          <w:sz w:val="24"/>
          <w:szCs w:val="22"/>
        </w:rPr>
      </w:pPr>
      <w:bookmarkStart w:id="517" w:name="_Toc7999015"/>
      <w:bookmarkStart w:id="518" w:name="_Toc17709391"/>
      <w:r>
        <w:rPr>
          <w:rFonts w:hint="default" w:ascii="Times New Roman" w:hAnsi="Times New Roman" w:cs="Times New Roman"/>
          <w:color w:val="auto"/>
          <w:sz w:val="24"/>
          <w:szCs w:val="22"/>
        </w:rPr>
        <w:t>3.4.2.3噪声排放情况</w:t>
      </w:r>
      <w:bookmarkEnd w:id="517"/>
      <w:bookmarkEnd w:id="518"/>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凿岩机、钻机、爆破噪声均发声于井下，对地面无影响，地面上的强噪声设备主要为空压机、风机以及运输车辆等。空压机、风机属于空气动力性声源，其余基本属于机械性声源，并且要求高噪声设备必须安装在设备间内，减轻对矿区周边环境的影响。根据同类矿区采矿设备的实测及类比调查分析，矿区的各机械设备噪声排放情况见表3.4-</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w:t>
      </w:r>
      <w:r>
        <w:rPr>
          <w:rFonts w:hint="default" w:ascii="Times New Roman" w:hAnsi="Times New Roman" w:eastAsia="黑体" w:cs="Times New Roman"/>
          <w:color w:val="auto"/>
          <w:szCs w:val="21"/>
          <w:lang w:val="en-US" w:eastAsia="zh-CN"/>
        </w:rPr>
        <w:t>8</w:t>
      </w:r>
      <w:r>
        <w:rPr>
          <w:rFonts w:hint="default" w:ascii="Times New Roman" w:hAnsi="Times New Roman" w:eastAsia="黑体" w:cs="Times New Roman"/>
          <w:color w:val="auto"/>
          <w:szCs w:val="21"/>
        </w:rPr>
        <w:t xml:space="preserve">  矿区噪声排放情况一览表</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1"/>
        <w:gridCol w:w="2297"/>
        <w:gridCol w:w="2296"/>
        <w:gridCol w:w="22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噪声源位置</w:t>
            </w: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噪声设备</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声压级</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vMerge w:val="restar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井口区域</w:t>
            </w: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90-98</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vMerge w:val="continue"/>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风机</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85-95</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vMerge w:val="continue"/>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绞车</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80-95</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vMerge w:val="continue"/>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装载机</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80-95</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运输道路</w:t>
            </w: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6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生产区</w:t>
            </w:r>
          </w:p>
        </w:tc>
        <w:tc>
          <w:tcPr>
            <w:tcW w:w="229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柴油发电机</w:t>
            </w:r>
          </w:p>
        </w:tc>
        <w:tc>
          <w:tcPr>
            <w:tcW w:w="2296"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c>
          <w:tcPr>
            <w:tcW w:w="229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停电时使用</w:t>
            </w:r>
          </w:p>
        </w:tc>
      </w:tr>
    </w:tbl>
    <w:p>
      <w:pPr>
        <w:adjustRightInd w:val="0"/>
        <w:snapToGrid w:val="0"/>
        <w:spacing w:line="360" w:lineRule="auto"/>
        <w:outlineLvl w:val="3"/>
        <w:rPr>
          <w:rFonts w:hint="default" w:ascii="Times New Roman" w:hAnsi="Times New Roman" w:cs="Times New Roman"/>
          <w:color w:val="auto"/>
          <w:sz w:val="24"/>
          <w:szCs w:val="22"/>
        </w:rPr>
      </w:pPr>
      <w:bookmarkStart w:id="519" w:name="_Toc17709392"/>
      <w:bookmarkStart w:id="520" w:name="_Toc7999016"/>
      <w:r>
        <w:rPr>
          <w:rFonts w:hint="default" w:ascii="Times New Roman" w:hAnsi="Times New Roman" w:cs="Times New Roman"/>
          <w:color w:val="auto"/>
          <w:sz w:val="24"/>
          <w:szCs w:val="22"/>
        </w:rPr>
        <w:t>3.4.2.4固体废物排放情况</w:t>
      </w:r>
      <w:bookmarkEnd w:id="519"/>
      <w:bookmarkEnd w:id="520"/>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本项目所产生的固体废物主要是矿井废石、生活垃圾和废机油。</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（1）矿井废石</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项目开采期废石量为36t/d（9000t/a），废石密度为2.7t/m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，松散系数均为1.4，则废石体积为3333.3m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/a，项目服务年限为4.38a，在整个服务年限内废石量为14599.9m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。为了减少废石堆场的占地面积，项目将废石用于填平工业场地、回填采空区、路基材料等用途。</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（2）生活垃圾</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生活垃圾的产生量按0.5kg/d·人计，矿区劳动定员为42人，则生活垃圾产生量约为0. 021t/d（6.0t/a）。</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（3）废机油</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项目运营过程会产生废机油，属于危险废物（HW08），来源于工程机械和大型设备润滑，产生量约为0.5t/a。环评要求在矿区内建危废暂存池（1m×1m×1m，1m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），位于机修间内，用于临时存放废机油，废机油暂存最长不得超过1年。项目废机油须定期委托具有危险废物经营资质的专业队伍自带专业工具清理运走，严禁外排。运营期固体废物排放情况统计详见表3.4-</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w:t>
      </w:r>
      <w:r>
        <w:rPr>
          <w:rFonts w:hint="default" w:ascii="Times New Roman" w:hAnsi="Times New Roman" w:eastAsia="黑体" w:cs="Times New Roman"/>
          <w:color w:val="auto"/>
          <w:szCs w:val="21"/>
          <w:lang w:val="en-US" w:eastAsia="zh-CN"/>
        </w:rPr>
        <w:t>9</w:t>
      </w:r>
      <w:r>
        <w:rPr>
          <w:rFonts w:hint="default" w:ascii="Times New Roman" w:hAnsi="Times New Roman" w:eastAsia="黑体" w:cs="Times New Roman"/>
          <w:color w:val="auto"/>
          <w:szCs w:val="21"/>
        </w:rPr>
        <w:t xml:space="preserve">   矿区固废产生明显统计表</w:t>
      </w:r>
    </w:p>
    <w:tbl>
      <w:tblPr>
        <w:tblStyle w:val="79"/>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1133"/>
        <w:gridCol w:w="5100"/>
        <w:gridCol w:w="104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2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33" w:type="dxa"/>
            <w:noWrap w:val="0"/>
            <w:vAlign w:val="top"/>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tc>
        <w:tc>
          <w:tcPr>
            <w:tcW w:w="510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w:t>
            </w:r>
          </w:p>
        </w:tc>
        <w:tc>
          <w:tcPr>
            <w:tcW w:w="1048"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剩余量</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2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矿山废石</w:t>
            </w:r>
          </w:p>
        </w:tc>
        <w:tc>
          <w:tcPr>
            <w:tcW w:w="1133"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9000t/a</w:t>
            </w:r>
          </w:p>
        </w:tc>
        <w:tc>
          <w:tcPr>
            <w:tcW w:w="510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堆存在废石场</w:t>
            </w:r>
          </w:p>
        </w:tc>
        <w:tc>
          <w:tcPr>
            <w:tcW w:w="1048"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9000t/a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2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133" w:type="dxa"/>
            <w:noWrap w:val="0"/>
            <w:vAlign w:val="top"/>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6t/a</w:t>
            </w:r>
          </w:p>
        </w:tc>
        <w:tc>
          <w:tcPr>
            <w:tcW w:w="510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定期运至达坂城区柴窝堡乡垃圾回收站</w:t>
            </w:r>
          </w:p>
        </w:tc>
        <w:tc>
          <w:tcPr>
            <w:tcW w:w="1048"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6t/a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241"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133" w:type="dxa"/>
            <w:noWrap w:val="0"/>
            <w:vAlign w:val="top"/>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0.5t/a</w:t>
            </w:r>
          </w:p>
        </w:tc>
        <w:tc>
          <w:tcPr>
            <w:tcW w:w="510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定期委托有资质单位进行回收</w:t>
            </w:r>
          </w:p>
        </w:tc>
        <w:tc>
          <w:tcPr>
            <w:tcW w:w="1048"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pPr>
        <w:adjustRightInd w:val="0"/>
        <w:snapToGrid w:val="0"/>
        <w:spacing w:line="360" w:lineRule="auto"/>
        <w:outlineLvl w:val="3"/>
        <w:rPr>
          <w:rFonts w:hint="default" w:ascii="Times New Roman" w:hAnsi="Times New Roman" w:cs="Times New Roman"/>
          <w:color w:val="auto"/>
          <w:sz w:val="24"/>
          <w:szCs w:val="22"/>
        </w:rPr>
      </w:pPr>
      <w:bookmarkStart w:id="521" w:name="_Toc17709393"/>
      <w:bookmarkStart w:id="522" w:name="_Toc7999017"/>
      <w:r>
        <w:rPr>
          <w:rFonts w:hint="default" w:ascii="Times New Roman" w:hAnsi="Times New Roman" w:cs="Times New Roman"/>
          <w:color w:val="auto"/>
          <w:sz w:val="24"/>
          <w:szCs w:val="22"/>
        </w:rPr>
        <w:t>3.4.2.5生态影响分析</w:t>
      </w:r>
      <w:bookmarkEnd w:id="521"/>
    </w:p>
    <w:p>
      <w:pPr>
        <w:pStyle w:val="378"/>
        <w:keepNext w:val="0"/>
        <w:keepLines w:val="0"/>
        <w:pageBreakBefore w:val="0"/>
        <w:widowControl w:val="0"/>
        <w:kinsoku/>
        <w:wordWrap/>
        <w:overflowPunct/>
        <w:topLinePunct w:val="0"/>
        <w:autoSpaceDE/>
        <w:autoSpaceDN/>
        <w:bidi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（1）占地</w:t>
      </w:r>
    </w:p>
    <w:p>
      <w:pPr>
        <w:pStyle w:val="378"/>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ascii="Times New Roman" w:hAnsi="Times New Roman" w:cs="Times New Roman"/>
          <w:color w:val="auto"/>
        </w:rPr>
      </w:pPr>
      <w:r>
        <w:rPr>
          <w:rFonts w:hint="default" w:ascii="Times New Roman" w:hAnsi="Times New Roman" w:cs="Times New Roman"/>
          <w:color w:val="auto"/>
        </w:rPr>
        <w:t>开采过程中，可能产生的地面塌陷、废石场占地会对生态环境产生不利影响，如造成生态服务功能、生态类型改变、野生动植物的生存空间缩小等。本项目总占地面积为0.42km</w:t>
      </w:r>
      <w:r>
        <w:rPr>
          <w:rFonts w:hint="default" w:ascii="Times New Roman" w:hAnsi="Times New Roman" w:cs="Times New Roman"/>
          <w:color w:val="auto"/>
          <w:vertAlign w:val="superscript"/>
        </w:rPr>
        <w:t>2</w:t>
      </w:r>
      <w:r>
        <w:rPr>
          <w:rFonts w:hint="default" w:ascii="Times New Roman" w:hAnsi="Times New Roman" w:cs="Times New Roman"/>
          <w:color w:val="auto"/>
        </w:rPr>
        <w:t>，其中永久占地面积</w:t>
      </w:r>
      <w:r>
        <w:rPr>
          <w:rFonts w:hint="eastAsia" w:ascii="Times New Roman" w:hAnsi="Times New Roman" w:cs="Times New Roman"/>
          <w:color w:val="auto"/>
          <w:lang w:val="en-US" w:eastAsia="zh-CN"/>
        </w:rPr>
        <w:t>27000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，具体详见表3.4-1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rPr>
        <w:t>用于存储运营期间产生的废石。各废石堆场场址平坦开阔，主要分布于地层稳定，无断层，断层破碎带等，不在天然滑坡及泥石流影响区。</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表3.4-1</w:t>
      </w:r>
      <w:r>
        <w:rPr>
          <w:rFonts w:hint="default" w:ascii="Times New Roman" w:hAnsi="Times New Roman" w:eastAsia="黑体" w:cs="Times New Roman"/>
          <w:color w:val="auto"/>
          <w:szCs w:val="21"/>
          <w:lang w:val="en-US" w:eastAsia="zh-CN"/>
        </w:rPr>
        <w:t>0</w:t>
      </w:r>
      <w:r>
        <w:rPr>
          <w:rFonts w:hint="default" w:ascii="Times New Roman" w:hAnsi="Times New Roman" w:eastAsia="黑体" w:cs="Times New Roman"/>
          <w:color w:val="auto"/>
          <w:szCs w:val="21"/>
        </w:rPr>
        <w:t xml:space="preserve">    工程永久占地情况一览表</w:t>
      </w:r>
    </w:p>
    <w:tbl>
      <w:tblPr>
        <w:tblStyle w:val="79"/>
        <w:tblW w:w="5000"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1253"/>
        <w:gridCol w:w="3668"/>
        <w:gridCol w:w="233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887" w:type="pct"/>
            <w:gridSpan w:val="2"/>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35" w:type="pct"/>
            <w:vMerge w:val="restar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w:t>
            </w:r>
          </w:p>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w:t>
            </w:r>
          </w:p>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场地</w:t>
            </w:r>
          </w:p>
        </w:tc>
        <w:tc>
          <w:tcPr>
            <w:tcW w:w="215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Ⅰ、Ⅱ、Ⅲ、Ⅳ号矿体工业场地</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35" w:type="pct"/>
            <w:vMerge w:val="continue"/>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15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Ⅴ矿体及Ⅵ矿体场地</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735" w:type="pct"/>
            <w:vMerge w:val="continue"/>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15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887" w:type="pct"/>
            <w:gridSpan w:val="2"/>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废石堆场</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74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887" w:type="pct"/>
            <w:gridSpan w:val="2"/>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矿山道路</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82</w:t>
            </w:r>
            <w:r>
              <w:rPr>
                <w:rFonts w:hint="default" w:ascii="Times New Roman" w:hAnsi="Times New Roman" w:eastAsia="宋体" w:cs="Times New Roman"/>
                <w:color w:val="auto"/>
                <w:sz w:val="21"/>
                <w:szCs w:val="21"/>
                <w:lang w:val="en-US" w:eastAsia="zh-CN"/>
              </w:rPr>
              <w:t>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jc w:val="center"/>
        </w:trPr>
        <w:tc>
          <w:tcPr>
            <w:tcW w:w="3629" w:type="pct"/>
            <w:gridSpan w:val="3"/>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371"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27000</w:t>
            </w:r>
          </w:p>
        </w:tc>
      </w:tr>
    </w:tbl>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（2）生态环境破坏和生态影响</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工程对生态环境的影响主要源于开采过程中矿区占地对土壤扰动、对植被的破坏，永久性占地将改变区域土地利用功能，降低土壤的抗侵蚀能力，引起水土流失。如果生态破坏程度过大或得不到及时修复，就有可能导致区域生态环境进一步衰退，故需要采取一定的恢复措施，以维护区域生态环境的完整性。矿山开发利用对区域内生态体系稳定性影响主要途径有以下几方面：</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①开采直接破坏采场土壤、植被，改变土地的使用功能和生态景观；</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②道路占地破环原有地表，改变原有地貌，破坏自然景观；</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③工业场地、废石场、矿区道路等永久性占地，破坏自然景观；</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④根据本工程的特点，营运期各种机械的噪声及人员的活动干扰，都将使原来栖息在工程区附近的各种野生动物受到惊吓而迁移别处栖息。</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23" w:name="_Toc17709394"/>
      <w:bookmarkStart w:id="524" w:name="_Toc7105_WPSOffice_Level2"/>
      <w:r>
        <w:rPr>
          <w:rFonts w:hint="default" w:ascii="Times New Roman" w:hAnsi="Times New Roman" w:cs="Times New Roman"/>
          <w:bCs w:val="0"/>
          <w:color w:val="auto"/>
          <w:sz w:val="24"/>
          <w:szCs w:val="24"/>
        </w:rPr>
        <w:t>3.4.3污染物排放汇总</w:t>
      </w:r>
      <w:bookmarkEnd w:id="522"/>
      <w:bookmarkEnd w:id="523"/>
      <w:bookmarkEnd w:id="524"/>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工程投入正常运营期间污染物排放情况汇总列于表3.4-1</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ind w:firstLine="1785" w:firstLineChars="8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表3.4-1</w:t>
      </w:r>
      <w:r>
        <w:rPr>
          <w:rFonts w:hint="default"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rPr>
        <w:t xml:space="preserve">  工程正常运营期污染物排放情况</w:t>
      </w:r>
    </w:p>
    <w:tbl>
      <w:tblPr>
        <w:tblStyle w:val="79"/>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1100"/>
        <w:gridCol w:w="1276"/>
        <w:gridCol w:w="992"/>
        <w:gridCol w:w="992"/>
        <w:gridCol w:w="373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1526" w:type="dxa"/>
            <w:gridSpan w:val="2"/>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2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主要污染物</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373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426"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100"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2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1.42t/a</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1.42t/a</w:t>
            </w:r>
          </w:p>
        </w:tc>
        <w:tc>
          <w:tcPr>
            <w:tcW w:w="3736"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抽出式通风系统、洒水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spacing w:line="240" w:lineRule="exact"/>
              <w:jc w:val="center"/>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0.067</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0.067</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373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0.00083</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992" w:type="dxa"/>
            <w:noWrap w:val="0"/>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0.00083</w:t>
            </w:r>
            <w:r>
              <w:rPr>
                <w:rFonts w:hint="default" w:ascii="Times New Roman" w:hAnsi="Times New Roman" w:cs="Times New Roman"/>
                <w:color w:val="auto"/>
                <w:sz w:val="24"/>
              </w:rPr>
              <w:t>t</w:t>
            </w:r>
            <w:r>
              <w:rPr>
                <w:rFonts w:hint="default" w:ascii="Times New Roman" w:hAnsi="Times New Roman" w:eastAsia="宋体" w:cs="Times New Roman"/>
                <w:color w:val="auto"/>
                <w:szCs w:val="21"/>
              </w:rPr>
              <w:t>/a</w:t>
            </w:r>
          </w:p>
        </w:tc>
        <w:tc>
          <w:tcPr>
            <w:tcW w:w="373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无组织排放扬尘</w:t>
            </w:r>
          </w:p>
        </w:tc>
        <w:tc>
          <w:tcPr>
            <w:tcW w:w="1276" w:type="dxa"/>
            <w:noWrap w:val="0"/>
            <w:vAlign w:val="center"/>
          </w:tcPr>
          <w:p>
            <w:pPr>
              <w:pStyle w:val="235"/>
              <w:adjustRightInd/>
              <w:spacing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道路</w:t>
            </w:r>
          </w:p>
        </w:tc>
        <w:tc>
          <w:tcPr>
            <w:tcW w:w="992"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0.41</w:t>
            </w:r>
            <w:r>
              <w:rPr>
                <w:rFonts w:hint="default" w:ascii="Times New Roman" w:hAnsi="Times New Roman" w:eastAsia="宋体" w:cs="Times New Roman"/>
                <w:color w:val="auto"/>
                <w:szCs w:val="21"/>
              </w:rPr>
              <w:t>t/a</w:t>
            </w:r>
          </w:p>
        </w:tc>
        <w:tc>
          <w:tcPr>
            <w:tcW w:w="992"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0.062</w:t>
            </w:r>
            <w:r>
              <w:rPr>
                <w:rFonts w:hint="default" w:ascii="Times New Roman" w:hAnsi="Times New Roman" w:eastAsia="宋体" w:cs="Times New Roman"/>
                <w:color w:val="auto"/>
                <w:szCs w:val="21"/>
              </w:rPr>
              <w:t>t/a</w:t>
            </w:r>
          </w:p>
        </w:tc>
        <w:tc>
          <w:tcPr>
            <w:tcW w:w="3736" w:type="dxa"/>
            <w:noWrap w:val="0"/>
            <w:vAlign w:val="center"/>
          </w:tcPr>
          <w:p>
            <w:pPr>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堆场周围设置挡墙、定期洒水降尘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exac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pStyle w:val="235"/>
              <w:adjustRightInd/>
              <w:spacing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废石堆场</w:t>
            </w:r>
          </w:p>
        </w:tc>
        <w:tc>
          <w:tcPr>
            <w:tcW w:w="992"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0.64</w:t>
            </w:r>
            <w:r>
              <w:rPr>
                <w:rFonts w:hint="default" w:ascii="Times New Roman" w:hAnsi="Times New Roman" w:eastAsia="宋体" w:cs="Times New Roman"/>
                <w:color w:val="auto"/>
                <w:szCs w:val="21"/>
              </w:rPr>
              <w:t>t/a</w:t>
            </w:r>
          </w:p>
        </w:tc>
        <w:tc>
          <w:tcPr>
            <w:tcW w:w="992"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0.16</w:t>
            </w:r>
            <w:r>
              <w:rPr>
                <w:rFonts w:hint="default" w:ascii="Times New Roman" w:hAnsi="Times New Roman" w:eastAsia="宋体" w:cs="Times New Roman"/>
                <w:color w:val="auto"/>
                <w:szCs w:val="21"/>
              </w:rPr>
              <w:t>t/a</w:t>
            </w:r>
          </w:p>
        </w:tc>
        <w:tc>
          <w:tcPr>
            <w:tcW w:w="3736" w:type="dxa"/>
            <w:noWrap w:val="0"/>
            <w:vAlign w:val="center"/>
          </w:tcPr>
          <w:p>
            <w:pPr>
              <w:pStyle w:val="235"/>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厂</w:t>
            </w:r>
            <w:r>
              <w:rPr>
                <w:rFonts w:hint="default" w:ascii="Times New Roman" w:hAnsi="Times New Roman" w:eastAsia="宋体" w:cs="Times New Roman"/>
                <w:color w:val="auto"/>
                <w:sz w:val="21"/>
                <w:szCs w:val="21"/>
              </w:rPr>
              <w:t>区道路硬化并洒水降尘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4" w:hRule="exact"/>
          <w:jc w:val="center"/>
        </w:trPr>
        <w:tc>
          <w:tcPr>
            <w:tcW w:w="426"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100" w:type="dxa"/>
            <w:noWrap w:val="0"/>
            <w:vAlign w:val="center"/>
          </w:tcPr>
          <w:p>
            <w:pPr>
              <w:snapToGrid w:val="0"/>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矿井涌水</w:t>
            </w:r>
          </w:p>
        </w:tc>
        <w:tc>
          <w:tcPr>
            <w:tcW w:w="1276" w:type="dxa"/>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0t/a</w:t>
            </w:r>
          </w:p>
        </w:tc>
        <w:tc>
          <w:tcPr>
            <w:tcW w:w="3736" w:type="dxa"/>
            <w:noWrap w:val="0"/>
            <w:vAlign w:val="center"/>
          </w:tcPr>
          <w:p>
            <w:pPr>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用于井下生产和附近综合利用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生活污水2750m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276" w:type="dxa"/>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360mg/L 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150mg/L</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1t/a</w:t>
            </w:r>
          </w:p>
        </w:tc>
        <w:tc>
          <w:tcPr>
            <w:tcW w:w="3736" w:type="dxa"/>
            <w:vMerge w:val="restart"/>
            <w:noWrap w:val="0"/>
            <w:vAlign w:val="center"/>
          </w:tcPr>
          <w:p>
            <w:pPr>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生活区设置地埋式一体化生物处理设施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320mg/L </w:t>
            </w:r>
            <w:r>
              <w:rPr>
                <w:rFonts w:hint="default" w:ascii="Times New Roman" w:hAnsi="Times New Roman" w:eastAsia="宋体" w:cs="Times New Roman"/>
                <w:color w:val="auto"/>
                <w:szCs w:val="21"/>
                <w:lang w:val="en-US" w:eastAsia="zh-CN"/>
              </w:rPr>
              <w:t>0.23</w:t>
            </w:r>
            <w:r>
              <w:rPr>
                <w:rFonts w:hint="default" w:ascii="Times New Roman" w:hAnsi="Times New Roman" w:eastAsia="宋体" w:cs="Times New Roman"/>
                <w:color w:val="auto"/>
                <w:szCs w:val="21"/>
              </w:rPr>
              <w:t>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150mg/L</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0.11</w:t>
            </w:r>
            <w:r>
              <w:rPr>
                <w:rFonts w:hint="default" w:ascii="Times New Roman" w:hAnsi="Times New Roman" w:eastAsia="宋体" w:cs="Times New Roman"/>
                <w:color w:val="auto"/>
                <w:szCs w:val="21"/>
              </w:rPr>
              <w:t>t/a</w:t>
            </w:r>
          </w:p>
        </w:tc>
        <w:tc>
          <w:tcPr>
            <w:tcW w:w="3736" w:type="dxa"/>
            <w:vMerge w:val="continue"/>
            <w:noWrap w:val="0"/>
            <w:vAlign w:val="center"/>
          </w:tcPr>
          <w:p>
            <w:pPr>
              <w:pStyle w:val="235"/>
              <w:spacing w:line="240" w:lineRule="exact"/>
              <w:rPr>
                <w:rFonts w:hint="default" w:ascii="Times New Roman" w:hAnsi="Times New Roman" w:eastAsia="宋体"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220mg/L </w:t>
            </w:r>
            <w:r>
              <w:rPr>
                <w:rFonts w:hint="default" w:ascii="Times New Roman" w:hAnsi="Times New Roman" w:eastAsia="宋体" w:cs="Times New Roman"/>
                <w:color w:val="auto"/>
                <w:szCs w:val="21"/>
                <w:lang w:val="en-US" w:eastAsia="zh-CN"/>
              </w:rPr>
              <w:t>0.16</w:t>
            </w:r>
            <w:r>
              <w:rPr>
                <w:rFonts w:hint="default" w:ascii="Times New Roman" w:hAnsi="Times New Roman" w:eastAsia="宋体" w:cs="Times New Roman"/>
                <w:color w:val="auto"/>
                <w:szCs w:val="21"/>
              </w:rPr>
              <w:t>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30mg/L</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t/a</w:t>
            </w:r>
          </w:p>
        </w:tc>
        <w:tc>
          <w:tcPr>
            <w:tcW w:w="3736" w:type="dxa"/>
            <w:vMerge w:val="continue"/>
            <w:noWrap w:val="0"/>
            <w:vAlign w:val="center"/>
          </w:tcPr>
          <w:p>
            <w:pPr>
              <w:pStyle w:val="235"/>
              <w:spacing w:line="240" w:lineRule="exact"/>
              <w:rPr>
                <w:rFonts w:hint="default" w:ascii="Times New Roman" w:hAnsi="Times New Roman" w:eastAsia="宋体"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10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276" w:type="dxa"/>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25mg/L 0.0</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20mg/L 0.0</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t/a</w:t>
            </w:r>
          </w:p>
        </w:tc>
        <w:tc>
          <w:tcPr>
            <w:tcW w:w="3736" w:type="dxa"/>
            <w:vMerge w:val="continue"/>
            <w:noWrap w:val="0"/>
            <w:vAlign w:val="center"/>
          </w:tcPr>
          <w:p>
            <w:pPr>
              <w:pStyle w:val="235"/>
              <w:spacing w:line="240" w:lineRule="exact"/>
              <w:rPr>
                <w:rFonts w:hint="default" w:ascii="Times New Roman" w:hAnsi="Times New Roman" w:eastAsia="宋体"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2376" w:type="dxa"/>
            <w:gridSpan w:val="2"/>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采矿废石</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9</w:t>
            </w:r>
            <w:r>
              <w:rPr>
                <w:rFonts w:hint="default" w:ascii="Times New Roman" w:hAnsi="Times New Roman" w:eastAsia="宋体" w:cs="Times New Roman"/>
                <w:color w:val="auto"/>
                <w:szCs w:val="21"/>
              </w:rPr>
              <w:t>000t/a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9</w:t>
            </w:r>
            <w:r>
              <w:rPr>
                <w:rFonts w:hint="default" w:ascii="Times New Roman" w:hAnsi="Times New Roman" w:eastAsia="宋体" w:cs="Times New Roman"/>
                <w:color w:val="auto"/>
                <w:szCs w:val="21"/>
              </w:rPr>
              <w:t>000t/a</w:t>
            </w:r>
          </w:p>
        </w:tc>
        <w:tc>
          <w:tcPr>
            <w:tcW w:w="3736" w:type="dxa"/>
            <w:noWrap w:val="0"/>
            <w:vAlign w:val="center"/>
          </w:tcPr>
          <w:p>
            <w:pPr>
              <w:snapToGrid w:val="0"/>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堆存在废石场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376" w:type="dxa"/>
            <w:gridSpan w:val="2"/>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rPr>
              <w:t>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rPr>
              <w:t>t/a</w:t>
            </w:r>
          </w:p>
        </w:tc>
        <w:tc>
          <w:tcPr>
            <w:tcW w:w="3736" w:type="dxa"/>
            <w:noWrap w:val="0"/>
            <w:vAlign w:val="center"/>
          </w:tcPr>
          <w:p>
            <w:pPr>
              <w:snapToGrid w:val="0"/>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在生活区设置生活垃圾池收集后统一运至达坂城区柴窝堡乡垃圾收集站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26" w:type="dxa"/>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376" w:type="dxa"/>
            <w:gridSpan w:val="2"/>
            <w:noWrap w:val="0"/>
            <w:vAlign w:val="center"/>
          </w:tcPr>
          <w:p>
            <w:pPr>
              <w:pStyle w:val="235"/>
              <w:adjustRightInd/>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0.5t/a</w:t>
            </w:r>
          </w:p>
        </w:tc>
        <w:tc>
          <w:tcPr>
            <w:tcW w:w="99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0t/a</w:t>
            </w:r>
          </w:p>
        </w:tc>
        <w:tc>
          <w:tcPr>
            <w:tcW w:w="3736" w:type="dxa"/>
            <w:noWrap w:val="0"/>
            <w:vAlign w:val="center"/>
          </w:tcPr>
          <w:p>
            <w:pPr>
              <w:snapToGrid w:val="0"/>
              <w:spacing w:line="240" w:lineRule="exact"/>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环评要求矿区内建废机油暂存池(1m×1m1m，1m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)，临时存放废机油不得超过1年，须定期委托具有危险废物经营资质的专业队伍自清理运走，严禁外排。</w:t>
            </w:r>
          </w:p>
        </w:tc>
      </w:tr>
    </w:tbl>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525" w:name="_Toc11939_WPSOffice_Level1"/>
      <w:bookmarkStart w:id="526" w:name="_Toc8836364"/>
      <w:bookmarkStart w:id="527" w:name="_Toc17709395"/>
      <w:bookmarkStart w:id="528" w:name="_Toc23925_WPSOffice_Level2"/>
      <w:bookmarkStart w:id="529" w:name="_Toc17709291"/>
      <w:bookmarkStart w:id="530" w:name="_Toc7999018"/>
      <w:r>
        <w:rPr>
          <w:rFonts w:hint="default" w:ascii="Times New Roman" w:hAnsi="Times New Roman" w:cs="Times New Roman"/>
          <w:bCs w:val="0"/>
          <w:color w:val="auto"/>
          <w:sz w:val="28"/>
          <w:szCs w:val="28"/>
        </w:rPr>
        <w:t>3.5水平衡及物料平衡</w:t>
      </w:r>
      <w:bookmarkEnd w:id="525"/>
      <w:bookmarkEnd w:id="526"/>
      <w:bookmarkEnd w:id="527"/>
      <w:bookmarkEnd w:id="528"/>
      <w:bookmarkEnd w:id="529"/>
      <w:bookmarkEnd w:id="530"/>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31" w:name="_Toc13526_WPSOffice_Level2"/>
      <w:bookmarkStart w:id="532" w:name="_Toc7999019"/>
      <w:bookmarkStart w:id="533" w:name="_Toc17709396"/>
      <w:r>
        <w:rPr>
          <w:rFonts w:hint="default" w:ascii="Times New Roman" w:hAnsi="Times New Roman" w:cs="Times New Roman"/>
          <w:bCs w:val="0"/>
          <w:color w:val="auto"/>
          <w:sz w:val="24"/>
          <w:szCs w:val="24"/>
        </w:rPr>
        <w:t>3.5.1水平衡</w:t>
      </w:r>
      <w:bookmarkEnd w:id="531"/>
      <w:bookmarkEnd w:id="532"/>
      <w:bookmarkEnd w:id="533"/>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 xml:space="preserve"> 项目水平衡图详见图3.1-</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r>
        <w:rPr>
          <w:rFonts w:hint="default" w:ascii="Times New Roman" w:hAnsi="Times New Roman" w:cs="Times New Roman"/>
          <w:bCs/>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2472055</wp:posOffset>
                </wp:positionH>
                <wp:positionV relativeFrom="paragraph">
                  <wp:posOffset>114300</wp:posOffset>
                </wp:positionV>
                <wp:extent cx="319405" cy="143510"/>
                <wp:effectExtent l="0" t="0" r="0" b="0"/>
                <wp:wrapNone/>
                <wp:docPr id="11" name="矩形 10"/>
                <wp:cNvGraphicFramePr/>
                <a:graphic xmlns:a="http://schemas.openxmlformats.org/drawingml/2006/main">
                  <a:graphicData uri="http://schemas.microsoft.com/office/word/2010/wordprocessingShape">
                    <wps:wsp>
                      <wps:cNvSpPr/>
                      <wps:spPr>
                        <a:xfrm>
                          <a:off x="0" y="0"/>
                          <a:ext cx="319405" cy="143510"/>
                        </a:xfrm>
                        <a:prstGeom prst="rect">
                          <a:avLst/>
                        </a:prstGeom>
                        <a:solidFill>
                          <a:srgbClr val="BDF7C6">
                            <a:alpha val="0"/>
                          </a:srgbClr>
                        </a:solidFill>
                        <a:ln w="15875">
                          <a:noFill/>
                        </a:ln>
                      </wps:spPr>
                      <wps:bodyPr wrap="square" lIns="0" tIns="0" rIns="0" bIns="0" upright="1"/>
                    </wps:wsp>
                  </a:graphicData>
                </a:graphic>
              </wp:anchor>
            </w:drawing>
          </mc:Choice>
          <mc:Fallback>
            <w:pict>
              <v:rect id="矩形 10" o:spid="_x0000_s1026" o:spt="1" style="position:absolute;left:0pt;margin-left:194.65pt;margin-top:9pt;height:11.3pt;width:25.15pt;z-index:251668480;mso-width-relative:page;mso-height-relative:page;" fillcolor="#BDF7C6" filled="t" stroked="f" coordsize="21600,21600" o:gfxdata="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p+Ab3ZAAAACQEAAA8AAAAAAAAAAQAgAAAAIgAAAGRycy9kb3du&#10;cmV2LnhtbFBLAQIUABQAAAAIAIdO4kBO91FaxQEAAGsDAAAOAAAAAAAAAAEAIAAAACgBAABkcnMv&#10;ZTJvRG9jLnhtbFBLBQYAAAAABgAGAFkBAABfBQAAAAA=&#10;">
                <v:fill on="t" opacity="0f" focussize="0,0"/>
                <v:stroke on="f" weight="1.25pt"/>
                <v:imagedata o:title=""/>
                <o:lock v:ext="edit" aspectratio="f"/>
                <v:textbox inset="0mm,0mm,0mm,0mm"/>
              </v:rect>
            </w:pict>
          </mc:Fallback>
        </mc:AlternateContent>
      </w:r>
      <w:bookmarkStart w:id="534" w:name="_Toc7999020"/>
      <w:bookmarkStart w:id="535" w:name="_Toc17709397"/>
      <w:r>
        <w:rPr>
          <w:rFonts w:hint="default" w:ascii="Times New Roman" w:hAnsi="Times New Roman" w:cs="Times New Roman"/>
          <w:bCs w:val="0"/>
          <w:color w:val="auto"/>
          <w:sz w:val="24"/>
          <w:szCs w:val="24"/>
        </w:rPr>
        <w:t>3.5.2物料平衡</w:t>
      </w:r>
      <w:bookmarkEnd w:id="534"/>
      <w:bookmarkEnd w:id="535"/>
    </w:p>
    <w:p>
      <w:pPr>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本项目物料主要为矿石和废石，物料平衡详见表3.5-1和图3.5-1物料平衡图。</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表3.5-1   物料平衡                      单位：t/a</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1132"/>
        <w:gridCol w:w="994"/>
        <w:gridCol w:w="992"/>
        <w:gridCol w:w="2125"/>
        <w:gridCol w:w="26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39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64"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物料名称</w:t>
            </w:r>
          </w:p>
        </w:tc>
        <w:tc>
          <w:tcPr>
            <w:tcW w:w="583"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采出量</w:t>
            </w:r>
          </w:p>
        </w:tc>
        <w:tc>
          <w:tcPr>
            <w:tcW w:w="58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出料量</w:t>
            </w:r>
          </w:p>
        </w:tc>
        <w:tc>
          <w:tcPr>
            <w:tcW w:w="124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去向</w:t>
            </w:r>
          </w:p>
        </w:tc>
        <w:tc>
          <w:tcPr>
            <w:tcW w:w="152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39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4"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矿石</w:t>
            </w:r>
          </w:p>
        </w:tc>
        <w:tc>
          <w:tcPr>
            <w:tcW w:w="583"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60000</w:t>
            </w:r>
          </w:p>
        </w:tc>
        <w:tc>
          <w:tcPr>
            <w:tcW w:w="58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60000</w:t>
            </w:r>
          </w:p>
        </w:tc>
        <w:tc>
          <w:tcPr>
            <w:tcW w:w="124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c>
          <w:tcPr>
            <w:tcW w:w="152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7" w:hRule="exact"/>
          <w:jc w:val="center"/>
        </w:trPr>
        <w:tc>
          <w:tcPr>
            <w:tcW w:w="39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4"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w:t>
            </w:r>
          </w:p>
        </w:tc>
        <w:tc>
          <w:tcPr>
            <w:tcW w:w="583"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p>
        </w:tc>
        <w:tc>
          <w:tcPr>
            <w:tcW w:w="582"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p>
        </w:tc>
        <w:tc>
          <w:tcPr>
            <w:tcW w:w="124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堆放在废石的堆场</w:t>
            </w:r>
          </w:p>
        </w:tc>
        <w:tc>
          <w:tcPr>
            <w:tcW w:w="1527" w:type="pct"/>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尽量对废石进行综合利用</w:t>
            </w:r>
          </w:p>
        </w:tc>
      </w:tr>
    </w:tbl>
    <w:p>
      <w:pPr>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s">
            <w:drawing>
              <wp:anchor distT="0" distB="0" distL="114300" distR="114300" simplePos="0" relativeHeight="251662336" behindDoc="0" locked="0" layoutInCell="1" allowOverlap="1">
                <wp:simplePos x="0" y="0"/>
                <wp:positionH relativeFrom="column">
                  <wp:posOffset>1228725</wp:posOffset>
                </wp:positionH>
                <wp:positionV relativeFrom="paragraph">
                  <wp:posOffset>198120</wp:posOffset>
                </wp:positionV>
                <wp:extent cx="1028700" cy="297180"/>
                <wp:effectExtent l="0" t="0" r="0" b="0"/>
                <wp:wrapNone/>
                <wp:docPr id="5" name="文本框 10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hint="eastAsia"/>
                              </w:rPr>
                            </w:pPr>
                            <w:r>
                              <w:rPr>
                                <w:rFonts w:hint="eastAsia"/>
                              </w:rPr>
                              <w:t>矿石</w:t>
                            </w:r>
                            <w:r>
                              <w:rPr>
                                <w:rFonts w:hint="eastAsia"/>
                                <w:lang w:val="en-US" w:eastAsia="zh-CN"/>
                              </w:rPr>
                              <w:t>60</w:t>
                            </w:r>
                            <w:r>
                              <w:rPr>
                                <w:rFonts w:hint="eastAsia"/>
                              </w:rPr>
                              <w:t>000</w:t>
                            </w:r>
                          </w:p>
                        </w:txbxContent>
                      </wps:txbx>
                      <wps:bodyPr wrap="square" upright="1"/>
                    </wps:wsp>
                  </a:graphicData>
                </a:graphic>
              </wp:anchor>
            </w:drawing>
          </mc:Choice>
          <mc:Fallback>
            <w:pict>
              <v:shape id="文本框 103" o:spid="_x0000_s1026" o:spt="202" type="#_x0000_t202" style="position:absolute;left:0pt;margin-left:96.75pt;margin-top:15.6pt;height:23.4pt;width:81pt;z-index:251662336;mso-width-relative:page;mso-height-relative:page;" filled="f" stroked="f" coordsize="21600,21600" o:gfxdata="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J1kfPWAAAACQEAAA8AAAAAAAAAAQAgAAAA&#10;IgAAAGRycy9kb3ducmV2LnhtbFBLAQIUABQAAAAIAIdO4kCAOFVmmwEAABADAAAOAAAAAAAAAAEA&#10;IAAAACUBAABkcnMvZTJvRG9jLnhtbFBLBQYAAAAABgAGAFkBAAAyBQAAAAA=&#10;">
                <v:fill on="f" focussize="0,0"/>
                <v:stroke on="f"/>
                <v:imagedata o:title=""/>
                <o:lock v:ext="edit" aspectratio="f"/>
                <v:textbox>
                  <w:txbxContent>
                    <w:p>
                      <w:pPr>
                        <w:rPr>
                          <w:rFonts w:hint="eastAsia"/>
                        </w:rPr>
                      </w:pPr>
                      <w:r>
                        <w:rPr>
                          <w:rFonts w:hint="eastAsia"/>
                        </w:rPr>
                        <w:t>矿石</w:t>
                      </w:r>
                      <w:r>
                        <w:rPr>
                          <w:rFonts w:hint="eastAsia"/>
                          <w:lang w:val="en-US" w:eastAsia="zh-CN"/>
                        </w:rPr>
                        <w:t>60</w:t>
                      </w:r>
                      <w:r>
                        <w:rPr>
                          <w:rFonts w:hint="eastAsia"/>
                        </w:rPr>
                        <w:t>000</w:t>
                      </w:r>
                    </w:p>
                  </w:txbxContent>
                </v:textbox>
              </v:shape>
            </w:pict>
          </mc:Fallback>
        </mc:AlternateContent>
      </w:r>
    </w:p>
    <w:p>
      <w:pPr>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s">
            <w:drawing>
              <wp:anchor distT="0" distB="0" distL="114300" distR="114300" simplePos="0" relativeHeight="251664384" behindDoc="0" locked="0" layoutInCell="1" allowOverlap="1">
                <wp:simplePos x="0" y="0"/>
                <wp:positionH relativeFrom="column">
                  <wp:posOffset>2486025</wp:posOffset>
                </wp:positionH>
                <wp:positionV relativeFrom="paragraph">
                  <wp:posOffset>147320</wp:posOffset>
                </wp:positionV>
                <wp:extent cx="1028700" cy="297180"/>
                <wp:effectExtent l="0" t="0" r="0" b="0"/>
                <wp:wrapNone/>
                <wp:docPr id="7" name="文本框 10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hint="eastAsia" w:eastAsia="宋体"/>
                                <w:lang w:eastAsia="zh-CN"/>
                              </w:rPr>
                            </w:pPr>
                            <w:r>
                              <w:rPr>
                                <w:rFonts w:hint="eastAsia"/>
                                <w:lang w:eastAsia="zh-CN"/>
                              </w:rPr>
                              <w:t>选矿厂</w:t>
                            </w:r>
                          </w:p>
                        </w:txbxContent>
                      </wps:txbx>
                      <wps:bodyPr wrap="square" upright="1"/>
                    </wps:wsp>
                  </a:graphicData>
                </a:graphic>
              </wp:anchor>
            </w:drawing>
          </mc:Choice>
          <mc:Fallback>
            <w:pict>
              <v:shape id="文本框 105" o:spid="_x0000_s1026" o:spt="202" type="#_x0000_t202" style="position:absolute;left:0pt;margin-left:195.75pt;margin-top:11.6pt;height:23.4pt;width:81pt;z-index:251664384;mso-width-relative:page;mso-height-relative:page;" filled="f" stroked="f" coordsize="21600,21600" o:gfxdata="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ByAvvWAAAACQEAAA8AAAAAAAAAAQAgAAAA&#10;IgAAAGRycy9kb3ducmV2LnhtbFBLAQIUABQAAAAIAIdO4kDUf6BsmwEAABADAAAOAAAAAAAAAAEA&#10;IAAAACUBAABkcnMvZTJvRG9jLnhtbFBLBQYAAAAABgAGAFkBAAAyBQAAAAA=&#10;">
                <v:fill on="f" focussize="0,0"/>
                <v:stroke on="f"/>
                <v:imagedata o:title=""/>
                <o:lock v:ext="edit" aspectratio="f"/>
                <v:textbox>
                  <w:txbxContent>
                    <w:p>
                      <w:pPr>
                        <w:rPr>
                          <w:rFonts w:hint="eastAsia" w:eastAsia="宋体"/>
                          <w:lang w:eastAsia="zh-CN"/>
                        </w:rPr>
                      </w:pPr>
                      <w:r>
                        <w:rPr>
                          <w:rFonts w:hint="eastAsia"/>
                          <w:lang w:eastAsia="zh-CN"/>
                        </w:rPr>
                        <w:t>选矿厂</w:t>
                      </w:r>
                    </w:p>
                  </w:txbxContent>
                </v:textbox>
              </v:shape>
            </w:pict>
          </mc:Fallback>
        </mc:AlternateContent>
      </w:r>
    </w:p>
    <w:p>
      <w:pPr>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s">
            <w:drawing>
              <wp:anchor distT="0" distB="0" distL="114300" distR="114300" simplePos="0" relativeHeight="251661312" behindDoc="0" locked="0" layoutInCell="1" allowOverlap="1">
                <wp:simplePos x="0" y="0"/>
                <wp:positionH relativeFrom="column">
                  <wp:posOffset>1228725</wp:posOffset>
                </wp:positionH>
                <wp:positionV relativeFrom="paragraph">
                  <wp:posOffset>99695</wp:posOffset>
                </wp:positionV>
                <wp:extent cx="1257300" cy="0"/>
                <wp:effectExtent l="0" t="38100" r="0" b="38100"/>
                <wp:wrapNone/>
                <wp:docPr id="4" name="直线 102"/>
                <wp:cNvGraphicFramePr/>
                <a:graphic xmlns:a="http://schemas.openxmlformats.org/drawingml/2006/main">
                  <a:graphicData uri="http://schemas.microsoft.com/office/word/2010/wordprocessingShape">
                    <wps:wsp>
                      <wps:cNvSpPr/>
                      <wps:spPr>
                        <a:xfrm>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 o:spid="_x0000_s1026" o:spt="20" style="position:absolute;left:0pt;margin-left:96.75pt;margin-top:7.85pt;height:0pt;width:99pt;z-index:251661312;mso-width-relative:page;mso-height-relative:page;" filled="f" stroked="t" coordsize="21600,21600" o:gfxdata="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5t7ltgAAAAJAQAADwAAAAAAAAABACAA&#10;AAAiAAAAZHJzL2Rvd25yZXYueG1sUEsBAhQAFAAAAAgAh07iQKgjxxjUAQAAkwMAAA4AAAAAAAAA&#10;AQAgAAAAJwEAAGRycy9lMm9Eb2MueG1sUEsFBgAAAAAGAAYAWQEAAG0FAAAAAA==&#10;">
                <v:fill on="f" focussize="0,0"/>
                <v:stroke color="#000000" joinstyle="round" endarrow="block"/>
                <v:imagedata o:title=""/>
                <o:lock v:ext="edit" aspectratio="f"/>
              </v:line>
            </w:pict>
          </mc:Fallback>
        </mc:AlternateContent>
      </w:r>
      <w:r>
        <w:rPr>
          <w:rFonts w:hint="default" w:ascii="Times New Roman" w:hAnsi="Times New Roman" w:cs="Times New Roman"/>
          <w:color w:val="auto"/>
          <w:sz w:val="24"/>
          <w:lang/>
        </w:rPr>
        <mc:AlternateContent>
          <mc:Choice Requires="wps">
            <w:drawing>
              <wp:anchor distT="0" distB="0" distL="114300" distR="114300" simplePos="0" relativeHeight="251659264" behindDoc="0" locked="0" layoutInCell="1" allowOverlap="1">
                <wp:simplePos x="0" y="0"/>
                <wp:positionH relativeFrom="column">
                  <wp:posOffset>657225</wp:posOffset>
                </wp:positionH>
                <wp:positionV relativeFrom="paragraph">
                  <wp:posOffset>48260</wp:posOffset>
                </wp:positionV>
                <wp:extent cx="571500" cy="495300"/>
                <wp:effectExtent l="4445" t="4445" r="14605" b="14605"/>
                <wp:wrapNone/>
                <wp:docPr id="2" name="文本框 99"/>
                <wp:cNvGraphicFramePr/>
                <a:graphic xmlns:a="http://schemas.openxmlformats.org/drawingml/2006/main">
                  <a:graphicData uri="http://schemas.microsoft.com/office/word/2010/wordprocessingShape">
                    <wps:wsp>
                      <wps:cNvSpPr txBox="1"/>
                      <wps:spPr>
                        <a:xfrm>
                          <a:off x="0" y="0"/>
                          <a:ext cx="571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地下</w:t>
                            </w:r>
                            <w:r>
                              <w:br w:type="textWrapping"/>
                            </w:r>
                            <w:r>
                              <w:rPr>
                                <w:rFonts w:hint="eastAsia"/>
                              </w:rPr>
                              <w:t>矿井</w:t>
                            </w:r>
                          </w:p>
                        </w:txbxContent>
                      </wps:txbx>
                      <wps:bodyPr wrap="square" upright="1"/>
                    </wps:wsp>
                  </a:graphicData>
                </a:graphic>
              </wp:anchor>
            </w:drawing>
          </mc:Choice>
          <mc:Fallback>
            <w:pict>
              <v:shape id="文本框 99" o:spid="_x0000_s1026" o:spt="202" type="#_x0000_t202" style="position:absolute;left:0pt;margin-left:51.75pt;margin-top:3.8pt;height:39pt;width:45pt;z-index:251659264;mso-width-relative:page;mso-height-relative:page;" fillcolor="#FFFFFF" filled="t" stroked="t" coordsize="21600,21600" o:gfxdata="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LQZ31gAAAAgBAAAPAAAAAAAAAAEAIAAAACIAAABkcnMvZG93bnJldi54bWxQ&#10;SwECFAAUAAAACACHTuJAeAIaTfkBAAD2AwAADgAAAAAAAAABACAAAAAlAQAAZHJzL2Uyb0RvYy54&#10;bWxQSwUGAAAAAAYABgBZAQAAkAUAAAAA&#10;">
                <v:fill on="t" focussize="0,0"/>
                <v:stroke color="#000000" joinstyle="miter"/>
                <v:imagedata o:title=""/>
                <o:lock v:ext="edit" aspectratio="f"/>
                <v:textbox>
                  <w:txbxContent>
                    <w:p>
                      <w:pPr>
                        <w:rPr>
                          <w:rFonts w:hint="eastAsia"/>
                        </w:rPr>
                      </w:pPr>
                      <w:r>
                        <w:rPr>
                          <w:rFonts w:hint="eastAsia"/>
                        </w:rPr>
                        <w:t>地下</w:t>
                      </w:r>
                      <w:r>
                        <w:br w:type="textWrapping"/>
                      </w:r>
                      <w:r>
                        <w:rPr>
                          <w:rFonts w:hint="eastAsia"/>
                        </w:rPr>
                        <w:t>矿井</w:t>
                      </w:r>
                    </w:p>
                  </w:txbxContent>
                </v:textbox>
              </v:shape>
            </w:pict>
          </mc:Fallback>
        </mc:AlternateContent>
      </w:r>
      <w:r>
        <w:rPr>
          <w:rFonts w:hint="default" w:ascii="Times New Roman" w:hAnsi="Times New Roman" w:cs="Times New Roman"/>
          <w:color w:val="auto"/>
          <w:sz w:val="24"/>
          <w:lang/>
        </w:rPr>
        <mc:AlternateContent>
          <mc:Choice Requires="wps">
            <w:drawing>
              <wp:anchor distT="0" distB="0" distL="114300" distR="114300" simplePos="0" relativeHeight="251667456" behindDoc="0" locked="0" layoutInCell="1" allowOverlap="1">
                <wp:simplePos x="0" y="0"/>
                <wp:positionH relativeFrom="column">
                  <wp:posOffset>3400425</wp:posOffset>
                </wp:positionH>
                <wp:positionV relativeFrom="paragraph">
                  <wp:posOffset>170180</wp:posOffset>
                </wp:positionV>
                <wp:extent cx="800100" cy="534035"/>
                <wp:effectExtent l="4445" t="5080" r="14605" b="13335"/>
                <wp:wrapNone/>
                <wp:docPr id="10" name="文本框 108"/>
                <wp:cNvGraphicFramePr/>
                <a:graphic xmlns:a="http://schemas.openxmlformats.org/drawingml/2006/main">
                  <a:graphicData uri="http://schemas.microsoft.com/office/word/2010/wordprocessingShape">
                    <wps:wsp>
                      <wps:cNvSpPr txBox="1"/>
                      <wps:spPr>
                        <a:xfrm>
                          <a:off x="0" y="0"/>
                          <a:ext cx="800100" cy="53403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堆放在废石场</w:t>
                            </w:r>
                          </w:p>
                        </w:txbxContent>
                      </wps:txbx>
                      <wps:bodyPr wrap="square" upright="1"/>
                    </wps:wsp>
                  </a:graphicData>
                </a:graphic>
              </wp:anchor>
            </w:drawing>
          </mc:Choice>
          <mc:Fallback>
            <w:pict>
              <v:shape id="文本框 108" o:spid="_x0000_s1026" o:spt="202" type="#_x0000_t202" style="position:absolute;left:0pt;margin-left:267.75pt;margin-top:13.4pt;height:42.05pt;width:63pt;z-index:251667456;mso-width-relative:page;mso-height-relative:page;" filled="f" stroked="t" coordsize="21600,21600" o:gfxdata="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NsbyTXAAAACgEAAA8AAAAAAAAAAQAgAAAAIgAAAGRycy9kb3ducmV2LnhtbFBLAQIU&#10;ABQAAAAIAIdO4kAT5a2W9AEAAM8DAAAOAAAAAAAAAAEAIAAAACYBAABkcnMvZTJvRG9jLnhtbFBL&#10;BQYAAAAABgAGAFkBAACMBQAAAAA=&#10;">
                <v:fill on="f" focussize="0,0"/>
                <v:stroke color="#000000" joinstyle="miter"/>
                <v:imagedata o:title=""/>
                <o:lock v:ext="edit" aspectratio="f"/>
                <v:textbox>
                  <w:txbxContent>
                    <w:p>
                      <w:pPr>
                        <w:rPr>
                          <w:rFonts w:hint="eastAsia"/>
                        </w:rPr>
                      </w:pPr>
                      <w:r>
                        <w:rPr>
                          <w:rFonts w:hint="eastAsia"/>
                        </w:rPr>
                        <w:t>堆放在废石场</w:t>
                      </w:r>
                    </w:p>
                  </w:txbxContent>
                </v:textbox>
              </v:shape>
            </w:pict>
          </mc:Fallback>
        </mc:AlternateContent>
      </w:r>
      <w:r>
        <w:rPr>
          <w:rFonts w:hint="default" w:ascii="Times New Roman" w:hAnsi="Times New Roman" w:cs="Times New Roman"/>
          <w:color w:val="auto"/>
          <w:sz w:val="24"/>
          <w:lang/>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168910</wp:posOffset>
                </wp:positionV>
                <wp:extent cx="1028700" cy="297180"/>
                <wp:effectExtent l="0" t="0" r="0" b="0"/>
                <wp:wrapNone/>
                <wp:docPr id="3" name="文本框 10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hint="eastAsia"/>
                              </w:rPr>
                            </w:pPr>
                            <w:r>
                              <w:rPr>
                                <w:rFonts w:hint="eastAsia"/>
                              </w:rPr>
                              <w:t>废石9000</w:t>
                            </w:r>
                          </w:p>
                        </w:txbxContent>
                      </wps:txbx>
                      <wps:bodyPr wrap="square" upright="1"/>
                    </wps:wsp>
                  </a:graphicData>
                </a:graphic>
              </wp:anchor>
            </w:drawing>
          </mc:Choice>
          <mc:Fallback>
            <w:pict>
              <v:shape id="文本框 101" o:spid="_x0000_s1026" o:spt="202" type="#_x0000_t202" style="position:absolute;left:0pt;margin-left:96.75pt;margin-top:13.3pt;height:23.4pt;width:81pt;z-index:251660288;mso-width-relative:page;mso-height-relative:page;" filled="f" stroked="f" coordsize="21600,21600" o:gfxdata="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iL2Gp1wAAAAkBAAAPAAAAAAAAAAEAIAAA&#10;ACIAAABkcnMvZG93bnJldi54bWxQSwECFAAUAAAACACHTuJA3W64N5sBAAAQAwAADgAAAAAAAAAB&#10;ACAAAAAmAQAAZHJzL2Uyb0RvYy54bWxQSwUGAAAAAAYABgBZAQAAMwUAAAAA&#10;">
                <v:fill on="f" focussize="0,0"/>
                <v:stroke on="f"/>
                <v:imagedata o:title=""/>
                <o:lock v:ext="edit" aspectratio="f"/>
                <v:textbox>
                  <w:txbxContent>
                    <w:p>
                      <w:pPr>
                        <w:rPr>
                          <w:rFonts w:hint="eastAsia"/>
                        </w:rPr>
                      </w:pPr>
                      <w:r>
                        <w:rPr>
                          <w:rFonts w:hint="eastAsia"/>
                        </w:rPr>
                        <w:t>废石9000</w:t>
                      </w:r>
                    </w:p>
                  </w:txbxContent>
                </v:textbox>
              </v:shape>
            </w:pict>
          </mc:Fallback>
        </mc:AlternateContent>
      </w:r>
    </w:p>
    <w:p>
      <w:pPr>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s">
            <w:drawing>
              <wp:anchor distT="0" distB="0" distL="114300" distR="114300" simplePos="0" relativeHeight="251665408" behindDoc="0" locked="0" layoutInCell="1" allowOverlap="1">
                <wp:simplePos x="0" y="0"/>
                <wp:positionH relativeFrom="column">
                  <wp:posOffset>2028825</wp:posOffset>
                </wp:positionH>
                <wp:positionV relativeFrom="paragraph">
                  <wp:posOffset>135890</wp:posOffset>
                </wp:positionV>
                <wp:extent cx="800100" cy="297180"/>
                <wp:effectExtent l="0" t="0" r="0" b="0"/>
                <wp:wrapNone/>
                <wp:docPr id="8" name="文本框 10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hint="eastAsia"/>
                              </w:rPr>
                            </w:pPr>
                            <w:r>
                              <w:rPr>
                                <w:rFonts w:hint="eastAsia"/>
                              </w:rPr>
                              <w:t>废石场</w:t>
                            </w:r>
                          </w:p>
                        </w:txbxContent>
                      </wps:txbx>
                      <wps:bodyPr wrap="square" upright="1"/>
                    </wps:wsp>
                  </a:graphicData>
                </a:graphic>
              </wp:anchor>
            </w:drawing>
          </mc:Choice>
          <mc:Fallback>
            <w:pict>
              <v:shape id="文本框 106" o:spid="_x0000_s1026" o:spt="202" type="#_x0000_t202" style="position:absolute;left:0pt;margin-left:159.75pt;margin-top:10.7pt;height:23.4pt;width:63pt;z-index:251665408;mso-width-relative:page;mso-height-relative:page;" filled="f" stroked="f" coordsize="21600,21600" o:gfxdata="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FFLdZDXAAAACQEAAA8AAAAAAAAAAQAgAAAA&#10;IgAAAGRycy9kb3ducmV2LnhtbFBLAQIUABQAAAAIAIdO4kAzdNgfmgEAAA8DAAAOAAAAAAAAAAEA&#10;IAAAACYBAABkcnMvZTJvRG9jLnhtbFBLBQYAAAAABgAGAFkBAAAyBQAAAAA=&#10;">
                <v:fill on="f" focussize="0,0"/>
                <v:stroke on="f"/>
                <v:imagedata o:title=""/>
                <o:lock v:ext="edit" aspectratio="f"/>
                <v:textbox>
                  <w:txbxContent>
                    <w:p>
                      <w:pPr>
                        <w:rPr>
                          <w:rFonts w:hint="eastAsia"/>
                        </w:rPr>
                      </w:pPr>
                      <w:r>
                        <w:rPr>
                          <w:rFonts w:hint="eastAsia"/>
                        </w:rPr>
                        <w:t>废石场</w:t>
                      </w:r>
                    </w:p>
                  </w:txbxContent>
                </v:textbox>
              </v:shape>
            </w:pict>
          </mc:Fallback>
        </mc:AlternateContent>
      </w:r>
    </w:p>
    <w:p>
      <w:pPr>
        <w:rPr>
          <w:rFonts w:hint="default" w:ascii="Times New Roman" w:hAnsi="Times New Roman" w:cs="Times New Roman"/>
          <w:color w:val="auto"/>
          <w:sz w:val="24"/>
        </w:rPr>
      </w:pPr>
      <w:r>
        <w:rPr>
          <w:rFonts w:hint="default" w:ascii="Times New Roman" w:hAnsi="Times New Roman" w:cs="Times New Roman"/>
          <w:color w:val="auto"/>
          <w:sz w:val="24"/>
          <w:lang/>
        </w:rPr>
        <mc:AlternateContent>
          <mc:Choice Requires="wps">
            <w:drawing>
              <wp:anchor distT="0" distB="0" distL="114300" distR="114300" simplePos="0" relativeHeight="251666432" behindDoc="0" locked="0" layoutInCell="1" allowOverlap="1">
                <wp:simplePos x="0" y="0"/>
                <wp:positionH relativeFrom="column">
                  <wp:posOffset>2600325</wp:posOffset>
                </wp:positionH>
                <wp:positionV relativeFrom="paragraph">
                  <wp:posOffset>48895</wp:posOffset>
                </wp:positionV>
                <wp:extent cx="800100" cy="0"/>
                <wp:effectExtent l="0" t="38100" r="0" b="38100"/>
                <wp:wrapNone/>
                <wp:docPr id="9" name="直线 107"/>
                <wp:cNvGraphicFramePr/>
                <a:graphic xmlns:a="http://schemas.openxmlformats.org/drawingml/2006/main">
                  <a:graphicData uri="http://schemas.microsoft.com/office/word/2010/wordprocessingShape">
                    <wps:wsp>
                      <wps:cNvSp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 o:spid="_x0000_s1026" o:spt="20" style="position:absolute;left:0pt;margin-left:204.75pt;margin-top:3.85pt;height:0pt;width:63pt;z-index:251666432;mso-width-relative:page;mso-height-relative:page;" filled="f" stroked="t" coordsize="21600,21600" o:gfxdata="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R1MU1gAAAAcBAAAPAAAAAAAAAAEAIAAAACIA&#10;AABkcnMvZG93bnJldi54bWxQSwECFAAUAAAACACHTuJA80JIENIBAACSAwAADgAAAAAAAAABACAA&#10;AAAlAQAAZHJzL2Uyb0RvYy54bWxQSwUGAAAAAAYABgBZAQAAaQUAAAAA&#10;">
                <v:fill on="f" focussize="0,0"/>
                <v:stroke color="#000000" joinstyle="round" endarrow="block"/>
                <v:imagedata o:title=""/>
                <o:lock v:ext="edit" aspectratio="f"/>
              </v:line>
            </w:pict>
          </mc:Fallback>
        </mc:AlternateContent>
      </w:r>
      <w:r>
        <w:rPr>
          <w:rFonts w:hint="default" w:ascii="Times New Roman" w:hAnsi="Times New Roman" w:cs="Times New Roman"/>
          <w:color w:val="auto"/>
          <w:sz w:val="24"/>
          <w:lang/>
        </w:rPr>
        <mc:AlternateContent>
          <mc:Choice Requires="wps">
            <w:drawing>
              <wp:anchor distT="0" distB="0" distL="114300" distR="114300" simplePos="0" relativeHeight="251663360" behindDoc="0" locked="0" layoutInCell="1" allowOverlap="1">
                <wp:simplePos x="0" y="0"/>
                <wp:positionH relativeFrom="column">
                  <wp:posOffset>1228725</wp:posOffset>
                </wp:positionH>
                <wp:positionV relativeFrom="paragraph">
                  <wp:posOffset>48895</wp:posOffset>
                </wp:positionV>
                <wp:extent cx="800100" cy="0"/>
                <wp:effectExtent l="0" t="38100" r="0" b="38100"/>
                <wp:wrapNone/>
                <wp:docPr id="6" name="直线 104"/>
                <wp:cNvGraphicFramePr/>
                <a:graphic xmlns:a="http://schemas.openxmlformats.org/drawingml/2006/main">
                  <a:graphicData uri="http://schemas.microsoft.com/office/word/2010/wordprocessingShape">
                    <wps:wsp>
                      <wps:cNvSp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96.75pt;margin-top:3.85pt;height:0pt;width:63pt;z-index:251663360;mso-width-relative:page;mso-height-relative:page;" filled="f" stroked="t" coordsize="21600,21600" o:gfxdata="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vQe1QAAAAcBAAAPAAAAAAAAAAEAIAAAACIA&#10;AABkcnMvZG93bnJldi54bWxQSwECFAAUAAAACACHTuJAaLISpdMBAACSAwAADgAAAAAAAAABACAA&#10;AAAkAQAAZHJzL2Uyb0RvYy54bWxQSwUGAAAAAAYABgBZAQAAaQUAAAAA&#10;">
                <v:fill on="f" focussize="0,0"/>
                <v:stroke color="#000000" joinstyle="round" endarrow="block"/>
                <v:imagedata o:title=""/>
                <o:lock v:ext="edit" aspectratio="f"/>
              </v:line>
            </w:pict>
          </mc:Fallback>
        </mc:AlternateContent>
      </w:r>
    </w:p>
    <w:p>
      <w:pPr>
        <w:rPr>
          <w:rFonts w:hint="default" w:ascii="Times New Roman" w:hAnsi="Times New Roman" w:cs="Times New Roman"/>
          <w:color w:val="auto"/>
          <w:sz w:val="24"/>
        </w:rPr>
      </w:pP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p>
    <w:p>
      <w:pPr>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t xml:space="preserve"> 图3.5-1   物料平衡图            单位：t/a</w:t>
      </w:r>
    </w:p>
    <w:p>
      <w:pPr>
        <w:ind w:firstLine="1680" w:firstLineChars="700"/>
        <w:rPr>
          <w:rFonts w:hint="default" w:ascii="Times New Roman" w:hAnsi="Times New Roman" w:cs="Times New Roman"/>
          <w:color w:val="auto"/>
          <w:sz w:val="24"/>
        </w:rPr>
      </w:pPr>
    </w:p>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536" w:name="_Toc27333_WPSOffice_Level2"/>
      <w:bookmarkStart w:id="537" w:name="_Toc29220_WPSOffice_Level1"/>
      <w:bookmarkStart w:id="538" w:name="_Toc17709398"/>
      <w:bookmarkStart w:id="539" w:name="_Toc17709292"/>
      <w:bookmarkStart w:id="540" w:name="_Toc7999021"/>
      <w:bookmarkStart w:id="541" w:name="_Toc8836365"/>
      <w:r>
        <w:rPr>
          <w:rFonts w:hint="default" w:ascii="Times New Roman" w:hAnsi="Times New Roman" w:cs="Times New Roman"/>
          <w:bCs w:val="0"/>
          <w:color w:val="auto"/>
          <w:sz w:val="28"/>
          <w:szCs w:val="28"/>
        </w:rPr>
        <w:t>3.6选址合理性分析</w:t>
      </w:r>
      <w:bookmarkEnd w:id="536"/>
      <w:bookmarkEnd w:id="537"/>
      <w:bookmarkEnd w:id="538"/>
      <w:bookmarkEnd w:id="539"/>
      <w:bookmarkEnd w:id="540"/>
      <w:bookmarkEnd w:id="541"/>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由于矿产资源存在的特殊性及项目自身的特点，因此，本工程涉及的选址只要是废石场、工业广场选址。</w:t>
      </w: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542" w:name="_Toc7999022"/>
      <w:bookmarkStart w:id="543" w:name="_Toc25910_WPSOffice_Level2"/>
      <w:bookmarkStart w:id="544" w:name="_Toc31421"/>
      <w:bookmarkStart w:id="545" w:name="_Toc38"/>
      <w:bookmarkStart w:id="546" w:name="_Toc17709399"/>
      <w:bookmarkStart w:id="547" w:name="_Toc29951"/>
      <w:bookmarkStart w:id="548" w:name="_Toc22195"/>
      <w:bookmarkStart w:id="549" w:name="_Toc12679"/>
      <w:r>
        <w:rPr>
          <w:rFonts w:hint="default" w:ascii="Times New Roman" w:hAnsi="Times New Roman" w:cs="Times New Roman"/>
          <w:color w:val="auto"/>
          <w:sz w:val="24"/>
        </w:rPr>
        <w:t>3.6.1工业广场选址合理性分析</w:t>
      </w:r>
      <w:bookmarkEnd w:id="542"/>
      <w:bookmarkEnd w:id="543"/>
      <w:bookmarkEnd w:id="544"/>
      <w:bookmarkEnd w:id="545"/>
      <w:bookmarkEnd w:id="546"/>
      <w:bookmarkEnd w:id="547"/>
      <w:bookmarkEnd w:id="548"/>
      <w:bookmarkEnd w:id="549"/>
    </w:p>
    <w:p>
      <w:pPr>
        <w:pStyle w:val="378"/>
        <w:snapToGrid w:val="0"/>
        <w:rPr>
          <w:rFonts w:hint="default" w:ascii="Times New Roman" w:hAnsi="Times New Roman" w:cs="Times New Roman"/>
          <w:color w:val="auto"/>
        </w:rPr>
      </w:pPr>
      <w:bookmarkStart w:id="550" w:name="_Toc27048"/>
      <w:bookmarkStart w:id="551" w:name="_Toc999"/>
      <w:bookmarkStart w:id="552" w:name="_Toc23799"/>
      <w:bookmarkStart w:id="553" w:name="_Toc25698"/>
      <w:r>
        <w:rPr>
          <w:rFonts w:hint="default" w:ascii="Times New Roman" w:hAnsi="Times New Roman" w:cs="Times New Roman"/>
          <w:color w:val="auto"/>
        </w:rPr>
        <w:t>项目工业广场均设置在提升矿井井口，布置临时矿石堆场、空压机房、卷扬机房等，其选址合理性主要表现为：</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在矿体设置工业场地，因地制宜，利于管理。</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工业广场选址不压矿，不受地下开采可能引起地表错动的影响，其下无不良工程地质及水文地质条件的影响。井口工业广场距离生活区较远，对生活区的影响很小。工业场地选址不受洪水的影响，且不在地表水河床及泄洪通道上。以上分析可知工业广场场址从环境的角度是合理的。</w:t>
      </w:r>
    </w:p>
    <w:p>
      <w:pPr>
        <w:pStyle w:val="5"/>
        <w:tabs>
          <w:tab w:val="left" w:pos="567"/>
        </w:tabs>
        <w:adjustRightInd w:val="0"/>
        <w:snapToGrid w:val="0"/>
        <w:spacing w:before="0" w:after="0" w:line="360" w:lineRule="auto"/>
        <w:ind w:left="566" w:hanging="566" w:hangingChars="235"/>
        <w:rPr>
          <w:rFonts w:hint="default" w:ascii="Times New Roman" w:hAnsi="Times New Roman" w:cs="Times New Roman"/>
          <w:color w:val="auto"/>
          <w:sz w:val="24"/>
        </w:rPr>
      </w:pPr>
      <w:bookmarkStart w:id="554" w:name="_Toc11433"/>
      <w:bookmarkStart w:id="555" w:name="_Toc7999023"/>
      <w:bookmarkStart w:id="556" w:name="_Toc17709400"/>
      <w:bookmarkStart w:id="557" w:name="_Toc31486_WPSOffice_Level2"/>
      <w:r>
        <w:rPr>
          <w:rFonts w:hint="default" w:ascii="Times New Roman" w:hAnsi="Times New Roman" w:cs="Times New Roman"/>
          <w:color w:val="auto"/>
          <w:sz w:val="24"/>
        </w:rPr>
        <w:t>3.6.2废石场选址合理性分析</w:t>
      </w:r>
      <w:bookmarkEnd w:id="550"/>
      <w:bookmarkEnd w:id="551"/>
      <w:bookmarkEnd w:id="552"/>
      <w:bookmarkEnd w:id="553"/>
      <w:bookmarkEnd w:id="554"/>
      <w:bookmarkEnd w:id="555"/>
      <w:bookmarkEnd w:id="556"/>
      <w:bookmarkEnd w:id="557"/>
    </w:p>
    <w:p>
      <w:pPr>
        <w:pStyle w:val="378"/>
        <w:snapToGrid w:val="0"/>
        <w:rPr>
          <w:rFonts w:hint="default" w:ascii="Times New Roman" w:hAnsi="Times New Roman" w:eastAsia="黑体" w:cs="Times New Roman"/>
          <w:color w:val="auto"/>
          <w:szCs w:val="21"/>
          <w:lang w:val="en-US" w:eastAsia="zh-CN"/>
        </w:rPr>
      </w:pPr>
      <w:r>
        <w:rPr>
          <w:rFonts w:hint="default" w:ascii="Times New Roman" w:hAnsi="Times New Roman" w:cs="Times New Roman"/>
          <w:color w:val="auto"/>
        </w:rPr>
        <w:t>本次环评委托新疆天辰环境技术有限公司对项目废石进行淋溶实验，具体监测结果详见表3.6-1。</w:t>
      </w:r>
      <w:r>
        <w:rPr>
          <w:rFonts w:hint="default" w:ascii="Times New Roman" w:hAnsi="Times New Roman" w:eastAsia="黑体" w:cs="Times New Roman"/>
          <w:color w:val="auto"/>
          <w:szCs w:val="21"/>
          <w:lang w:val="en-US" w:eastAsia="zh-CN"/>
        </w:rPr>
        <w:t xml:space="preserve">           </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表3.6-1   浸出实验监测结果           单位：mg/L，pH除外</w:t>
      </w:r>
    </w:p>
    <w:tbl>
      <w:tblPr>
        <w:tblStyle w:val="7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76"/>
        <w:gridCol w:w="2424"/>
        <w:gridCol w:w="1980"/>
        <w:gridCol w:w="18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检测项目</w:t>
            </w:r>
          </w:p>
        </w:tc>
        <w:tc>
          <w:tcPr>
            <w:tcW w:w="2424"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检测结果</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标准值</w:t>
            </w:r>
          </w:p>
        </w:tc>
        <w:tc>
          <w:tcPr>
            <w:tcW w:w="182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是否满足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2424"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8.78</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6～9</w:t>
            </w:r>
          </w:p>
        </w:tc>
        <w:tc>
          <w:tcPr>
            <w:tcW w:w="1826" w:type="dxa"/>
            <w:vMerge w:val="restar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lang w:val="zh-CN"/>
              </w:rPr>
            </w:pPr>
            <w:r>
              <w:rPr>
                <w:rFonts w:hint="default" w:ascii="Times New Roman" w:hAnsi="Times New Roman" w:cs="Times New Roman"/>
                <w:bCs/>
                <w:color w:val="auto"/>
                <w:szCs w:val="21"/>
              </w:rPr>
              <w:t>汞</w:t>
            </w:r>
          </w:p>
        </w:tc>
        <w:tc>
          <w:tcPr>
            <w:tcW w:w="2424"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0.00005</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lang w:val="zh-CN"/>
              </w:rPr>
            </w:pPr>
            <w:r>
              <w:rPr>
                <w:rFonts w:hint="default" w:ascii="Times New Roman" w:hAnsi="Times New Roman" w:cs="Times New Roman"/>
                <w:bCs/>
                <w:color w:val="auto"/>
                <w:szCs w:val="21"/>
              </w:rPr>
              <w:t>铅</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&lt;0.001</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镉</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&lt;0.0002</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总铬</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&lt;0.02</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铬（六价）</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&lt;0.004</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铜</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&lt;0.02</w:t>
            </w:r>
          </w:p>
        </w:tc>
        <w:tc>
          <w:tcPr>
            <w:tcW w:w="1980"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100</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锌</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0.005</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铍</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&lt;0.0002</w:t>
            </w:r>
          </w:p>
        </w:tc>
        <w:tc>
          <w:tcPr>
            <w:tcW w:w="1980"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0.02</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钡</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&lt;0.004</w:t>
            </w:r>
          </w:p>
        </w:tc>
        <w:tc>
          <w:tcPr>
            <w:tcW w:w="1980"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100</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镍</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&lt;0.04</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砷</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w:t>
            </w:r>
            <w:r>
              <w:rPr>
                <w:rFonts w:hint="default" w:ascii="Times New Roman" w:hAnsi="Times New Roman" w:eastAsia="宋体" w:cs="Times New Roman"/>
                <w:bCs/>
                <w:color w:val="auto"/>
                <w:szCs w:val="21"/>
              </w:rPr>
              <w:t>0.0002</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207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氟化物</w:t>
            </w:r>
          </w:p>
        </w:tc>
        <w:tc>
          <w:tcPr>
            <w:tcW w:w="2424"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0.08</w:t>
            </w:r>
          </w:p>
        </w:tc>
        <w:tc>
          <w:tcPr>
            <w:tcW w:w="198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826" w:type="dxa"/>
            <w:vMerge w:val="continue"/>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p>
        </w:tc>
      </w:tr>
    </w:tbl>
    <w:p>
      <w:pPr>
        <w:pStyle w:val="378"/>
        <w:snapToGrid w:val="0"/>
        <w:rPr>
          <w:rFonts w:hint="default" w:ascii="Times New Roman" w:hAnsi="Times New Roman" w:cs="Times New Roman"/>
          <w:color w:val="auto"/>
        </w:rPr>
      </w:pPr>
      <w:r>
        <w:rPr>
          <w:rFonts w:hint="default" w:ascii="Times New Roman" w:hAnsi="Times New Roman" w:cs="Times New Roman"/>
          <w:color w:val="auto"/>
        </w:rPr>
        <w:t>根据项目废石淋溶实验监测结果可知，本项目采矿产生的废石属于一般固体废弃物。因此，本次环评将主要根据《一般工业固体废物贮存、处置场污染控制标准》（GB18599-2001）中对Ⅰ类场场址选择的环境保护要求（具体详见下表）及项目特点，对废石场选址进行分析。</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（1）相关标准的符合性</w:t>
      </w:r>
    </w:p>
    <w:p>
      <w:pPr>
        <w:pStyle w:val="378"/>
        <w:snapToGrid w:val="0"/>
        <w:ind w:firstLine="600" w:firstLineChars="250"/>
        <w:rPr>
          <w:rFonts w:hint="default" w:ascii="Times New Roman" w:hAnsi="Times New Roman" w:cs="Times New Roman"/>
          <w:color w:val="auto"/>
        </w:rPr>
      </w:pPr>
      <w:r>
        <w:rPr>
          <w:rFonts w:hint="default" w:ascii="Times New Roman" w:hAnsi="Times New Roman" w:cs="Times New Roman"/>
          <w:color w:val="auto"/>
        </w:rPr>
        <w:t>项目废石堆场与《一般工业固体废物贮存、处置场污染控制标准》（GB18599-2001）中Ⅰ类场场址的符合性，见表3.6-2。</w:t>
      </w:r>
    </w:p>
    <w:p>
      <w:pPr>
        <w:jc w:val="center"/>
        <w:rPr>
          <w:rFonts w:hint="default" w:ascii="Times New Roman" w:hAnsi="Times New Roman" w:cs="Times New Roman"/>
          <w:color w:val="auto"/>
          <w:sz w:val="24"/>
        </w:rPr>
      </w:pPr>
      <w:r>
        <w:rPr>
          <w:rFonts w:hint="default" w:ascii="Times New Roman" w:hAnsi="Times New Roman" w:eastAsia="黑体" w:cs="Times New Roman"/>
          <w:color w:val="auto"/>
          <w:szCs w:val="21"/>
        </w:rPr>
        <w:t xml:space="preserve">表3.6-2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废石堆场合理性分析</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659"/>
        <w:gridCol w:w="3564"/>
        <w:gridCol w:w="11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标准要求</w:t>
            </w:r>
          </w:p>
        </w:tc>
        <w:tc>
          <w:tcPr>
            <w:tcW w:w="356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在场址应满足承载力要求的基础上，以避免地基下沉的影响，避开天然滑坡或泥石流影响区</w:t>
            </w:r>
          </w:p>
        </w:tc>
        <w:tc>
          <w:tcPr>
            <w:tcW w:w="3564"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废石堆场主要分布于第四纪冲洪积砂砾石层、亚砂土、风积物等松散沉积物，地层稳定，基本可以满足承载力要求</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应避开断层、断层破碎带、溶洞区，以及天然滑坡及泥石流影响区</w:t>
            </w:r>
          </w:p>
        </w:tc>
        <w:tc>
          <w:tcPr>
            <w:tcW w:w="356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无断层，断层破碎带、溶洞区，不在天然滑坡及泥石流影响区</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禁止选在江河、湖波，水库最高水位线以下的滩地和洪泛区</w:t>
            </w:r>
          </w:p>
        </w:tc>
        <w:tc>
          <w:tcPr>
            <w:tcW w:w="3564"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场址内无江河、湖泊等地表水体</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禁止选在自然保护区、风景名胜区和其他需要特别保护的区域</w:t>
            </w:r>
          </w:p>
        </w:tc>
        <w:tc>
          <w:tcPr>
            <w:tcW w:w="3564"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场址未选在自然保护区、风景名胜区和其他需要特别保护的区域</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40" w:hRule="atLeast"/>
          <w:jc w:val="center"/>
        </w:trPr>
        <w:tc>
          <w:tcPr>
            <w:tcW w:w="3659"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应优先选用废弃的采矿坑、塌陷区</w:t>
            </w:r>
          </w:p>
        </w:tc>
        <w:tc>
          <w:tcPr>
            <w:tcW w:w="3564" w:type="dxa"/>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井工开采废石回填于矿井及巷道</w:t>
            </w:r>
          </w:p>
        </w:tc>
        <w:tc>
          <w:tcPr>
            <w:tcW w:w="1139"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pStyle w:val="32"/>
        <w:adjustRightInd w:val="0"/>
        <w:snapToGrid w:val="0"/>
        <w:spacing w:line="360" w:lineRule="auto"/>
        <w:ind w:firstLine="559" w:firstLineChars="233"/>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（2）安全距离</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废石堆场与生活办公区相距为</w:t>
      </w:r>
      <w:r>
        <w:rPr>
          <w:rFonts w:hint="default" w:ascii="Times New Roman" w:hAnsi="Times New Roman" w:cs="Times New Roman"/>
          <w:color w:val="auto"/>
          <w:lang w:val="en-US" w:eastAsia="zh-CN"/>
        </w:rPr>
        <w:t>200</w:t>
      </w:r>
      <w:r>
        <w:rPr>
          <w:rFonts w:hint="default" w:ascii="Times New Roman" w:hAnsi="Times New Roman" w:cs="Times New Roman"/>
          <w:color w:val="auto"/>
        </w:rPr>
        <w:t>m，与废石堆场相距有足够安全距离，不会对生活办公区产生安全隐患。</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（3）交通运输</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项目矿山主要由6个分布在不同方位的矿体组成，彼此之间相对独立。为了便于开采及运输矿石，均设计沿矿体分布及地质情况等敷设场内道路，最终与矿区道路汇集贯通。该项目场内道路与场外道路汇集后，通往各个矿体交通畅通，详见总平面布置图3.1-</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（4）地理位置及矿石资源分布</w:t>
      </w:r>
    </w:p>
    <w:p>
      <w:pPr>
        <w:pStyle w:val="378"/>
        <w:snapToGrid w:val="0"/>
        <w:rPr>
          <w:rFonts w:hint="default" w:ascii="Times New Roman" w:hAnsi="Times New Roman" w:cs="Times New Roman"/>
          <w:color w:val="auto"/>
        </w:rPr>
      </w:pPr>
      <w:r>
        <w:rPr>
          <w:rFonts w:hint="default" w:ascii="Times New Roman" w:hAnsi="Times New Roman" w:cs="Times New Roman"/>
          <w:color w:val="auto"/>
          <w:sz w:val="24"/>
          <w:szCs w:val="24"/>
        </w:rPr>
        <w:t>项目的6个矿体相互独立分布在项目区四周，由</w:t>
      </w:r>
      <w:r>
        <w:rPr>
          <w:rFonts w:hint="default" w:ascii="Times New Roman" w:hAnsi="Times New Roman" w:cs="Times New Roman"/>
          <w:color w:val="auto"/>
          <w:sz w:val="24"/>
          <w:szCs w:val="24"/>
          <w:lang w:eastAsia="zh-CN"/>
        </w:rPr>
        <w:t>西</w:t>
      </w:r>
      <w:r>
        <w:rPr>
          <w:rFonts w:hint="default" w:ascii="Times New Roman" w:hAnsi="Times New Roman" w:cs="Times New Roman"/>
          <w:color w:val="auto"/>
          <w:sz w:val="24"/>
          <w:szCs w:val="24"/>
        </w:rPr>
        <w:t>往</w:t>
      </w:r>
      <w:r>
        <w:rPr>
          <w:rFonts w:hint="default" w:ascii="Times New Roman" w:hAnsi="Times New Roman" w:cs="Times New Roman"/>
          <w:color w:val="auto"/>
          <w:sz w:val="24"/>
          <w:szCs w:val="24"/>
          <w:lang w:eastAsia="zh-CN"/>
        </w:rPr>
        <w:t>东</w:t>
      </w:r>
      <w:r>
        <w:rPr>
          <w:rFonts w:hint="default" w:ascii="Times New Roman" w:hAnsi="Times New Roman" w:cs="Times New Roman"/>
          <w:color w:val="auto"/>
          <w:sz w:val="24"/>
          <w:szCs w:val="24"/>
        </w:rPr>
        <w:t>依次为</w:t>
      </w:r>
      <w:r>
        <w:rPr>
          <w:rFonts w:hint="default" w:ascii="Times New Roman" w:hAnsi="Times New Roman" w:eastAsia="宋体" w:cs="Times New Roman"/>
          <w:color w:val="auto"/>
          <w:sz w:val="24"/>
          <w:szCs w:val="24"/>
        </w:rPr>
        <w:t>Ⅰ、Ⅱ、Ⅲ、Ⅳ、Ⅴ、Ⅵ</w:t>
      </w:r>
      <w:r>
        <w:rPr>
          <w:rFonts w:hint="default" w:ascii="Times New Roman" w:hAnsi="Times New Roman" w:cs="Times New Roman"/>
          <w:color w:val="auto"/>
          <w:sz w:val="24"/>
          <w:szCs w:val="24"/>
        </w:rPr>
        <w:t>铜矿体。</w:t>
      </w:r>
      <w:r>
        <w:rPr>
          <w:rFonts w:hint="default" w:ascii="Times New Roman" w:hAnsi="Times New Roman" w:eastAsia="宋体" w:cs="Times New Roman"/>
          <w:color w:val="auto"/>
          <w:sz w:val="24"/>
          <w:szCs w:val="24"/>
        </w:rPr>
        <w:t>Ⅰ、Ⅱ</w:t>
      </w:r>
      <w:r>
        <w:rPr>
          <w:rFonts w:hint="default" w:ascii="Times New Roman" w:hAnsi="Times New Roman" w:cs="Times New Roman"/>
          <w:color w:val="auto"/>
        </w:rPr>
        <w:t>铜矿体位于矿区西部，</w:t>
      </w:r>
      <w:r>
        <w:rPr>
          <w:rFonts w:hint="default" w:ascii="Times New Roman" w:hAnsi="Times New Roman" w:eastAsia="宋体" w:cs="Times New Roman"/>
          <w:color w:val="auto"/>
          <w:sz w:val="24"/>
          <w:szCs w:val="24"/>
        </w:rPr>
        <w:t>Ⅲ、Ⅳ</w:t>
      </w:r>
      <w:r>
        <w:rPr>
          <w:rFonts w:hint="default" w:ascii="Times New Roman" w:hAnsi="Times New Roman" w:cs="Times New Roman"/>
          <w:color w:val="auto"/>
        </w:rPr>
        <w:t>铜矿体位于矿区</w:t>
      </w:r>
      <w:r>
        <w:rPr>
          <w:rFonts w:hint="default" w:ascii="Times New Roman" w:hAnsi="Times New Roman" w:cs="Times New Roman"/>
          <w:color w:val="auto"/>
          <w:lang w:eastAsia="zh-CN"/>
        </w:rPr>
        <w:t>中</w:t>
      </w:r>
      <w:r>
        <w:rPr>
          <w:rFonts w:hint="default" w:ascii="Times New Roman" w:hAnsi="Times New Roman" w:cs="Times New Roman"/>
          <w:color w:val="auto"/>
        </w:rPr>
        <w:t>部，</w:t>
      </w:r>
      <w:r>
        <w:rPr>
          <w:rFonts w:hint="default" w:ascii="Times New Roman" w:hAnsi="Times New Roman" w:eastAsia="宋体" w:cs="Times New Roman"/>
          <w:color w:val="auto"/>
          <w:sz w:val="24"/>
          <w:szCs w:val="24"/>
        </w:rPr>
        <w:t>Ⅴ、Ⅵ</w:t>
      </w:r>
      <w:r>
        <w:rPr>
          <w:rFonts w:hint="default" w:ascii="Times New Roman" w:hAnsi="Times New Roman" w:cs="Times New Roman"/>
          <w:color w:val="auto"/>
        </w:rPr>
        <w:t>铜矿体位于矿区</w:t>
      </w:r>
      <w:r>
        <w:rPr>
          <w:rFonts w:hint="default" w:ascii="Times New Roman" w:hAnsi="Times New Roman" w:cs="Times New Roman"/>
          <w:color w:val="auto"/>
          <w:lang w:eastAsia="zh-CN"/>
        </w:rPr>
        <w:t>东</w:t>
      </w:r>
      <w:r>
        <w:rPr>
          <w:rFonts w:hint="default" w:ascii="Times New Roman" w:hAnsi="Times New Roman" w:cs="Times New Roman"/>
          <w:color w:val="auto"/>
        </w:rPr>
        <w:t>部</w:t>
      </w:r>
      <w:r>
        <w:rPr>
          <w:rFonts w:hint="default" w:ascii="Times New Roman" w:hAnsi="Times New Roman" w:cs="Times New Roman"/>
          <w:color w:val="auto"/>
          <w:lang w:eastAsia="zh-CN"/>
        </w:rPr>
        <w:t>，</w:t>
      </w:r>
      <w:r>
        <w:rPr>
          <w:rFonts w:hint="default" w:ascii="Times New Roman" w:hAnsi="Times New Roman" w:eastAsia="宋体" w:cs="Times New Roman"/>
          <w:color w:val="auto"/>
          <w:sz w:val="24"/>
          <w:szCs w:val="24"/>
        </w:rPr>
        <w:t>Ⅰ、Ⅱ、Ⅲ、Ⅳ</w:t>
      </w:r>
      <w:r>
        <w:rPr>
          <w:rFonts w:hint="default" w:ascii="Times New Roman" w:hAnsi="Times New Roman" w:cs="Times New Roman"/>
          <w:color w:val="auto"/>
        </w:rPr>
        <w:t>矿体工业广场</w:t>
      </w:r>
      <w:r>
        <w:rPr>
          <w:rFonts w:hint="default" w:ascii="Times New Roman" w:hAnsi="Times New Roman" w:cs="Times New Roman"/>
          <w:color w:val="auto"/>
          <w:lang w:eastAsia="zh-CN"/>
        </w:rPr>
        <w:t>共设置一个工业广场，</w:t>
      </w:r>
      <w:r>
        <w:rPr>
          <w:rFonts w:hint="default" w:ascii="Times New Roman" w:hAnsi="Times New Roman" w:eastAsia="宋体" w:cs="Times New Roman"/>
          <w:color w:val="auto"/>
          <w:sz w:val="24"/>
          <w:szCs w:val="24"/>
        </w:rPr>
        <w:t>Ⅴ、Ⅵ</w:t>
      </w:r>
      <w:r>
        <w:rPr>
          <w:rFonts w:hint="default" w:ascii="Times New Roman" w:hAnsi="Times New Roman" w:cs="Times New Roman"/>
          <w:color w:val="auto"/>
        </w:rPr>
        <w:t>矿体工业广场</w:t>
      </w:r>
      <w:r>
        <w:rPr>
          <w:rFonts w:hint="default" w:ascii="Times New Roman" w:hAnsi="Times New Roman" w:cs="Times New Roman"/>
          <w:color w:val="auto"/>
          <w:lang w:eastAsia="zh-CN"/>
        </w:rPr>
        <w:t>共设置一个工业广场</w:t>
      </w:r>
      <w:r>
        <w:rPr>
          <w:rFonts w:hint="default" w:ascii="Times New Roman" w:hAnsi="Times New Roman" w:cs="Times New Roman"/>
          <w:color w:val="auto"/>
        </w:rPr>
        <w:t>。</w:t>
      </w:r>
      <w:r>
        <w:rPr>
          <w:rFonts w:hint="default" w:ascii="Times New Roman" w:hAnsi="Times New Roman" w:cs="Times New Roman"/>
          <w:color w:val="auto"/>
          <w:lang w:eastAsia="zh-CN"/>
        </w:rPr>
        <w:t>这六个矿体共设置一个废石场。</w:t>
      </w:r>
      <w:r>
        <w:rPr>
          <w:rFonts w:hint="default" w:ascii="Times New Roman" w:hAnsi="Times New Roman" w:cs="Times New Roman"/>
          <w:color w:val="auto"/>
        </w:rPr>
        <w:t>场内道路与外部道路相连，综上所述该项目各矿体及废石场是符合矿区生产布局，便于废石运输和管理，节约油料消耗为目的要求。</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（5）废石堆场防护设施</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，可满足废石堆放需要。</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为了减少外界对废石堆场影响，建设单位应在废石堆场周边设计建设相应的防护措施：</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①在废石场周围设置完整的排水系统，上游及两侧建设完善截排洪工程；</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②在废石场四周修筑拦石坝，拦石坝采用浆砌块石砌筑；</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③废石堆放采用自上而下逐层放缓台阶形边坡。各平台还应有2%～3%的逆坡，使场内雨水流向坡脚处（平台眉线与山坡交汇线）的排水沟，然后汇入场外沟渠一并外排。在场地地势较陡的地段要局部挖出台阶，以利于废石的稳定安息。</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（6）废石场容量</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，可满足废石堆放需要。</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综上，本项目废石场场址选择既符合环保及相关标准要求同时，又能满足矿区生产、安全及运输需求，因此本项目废石堆场选址是合理可行的。</w:t>
      </w:r>
    </w:p>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558" w:name="_Toc30496_WPSOffice_Level2"/>
      <w:bookmarkStart w:id="559" w:name="_Toc7999024"/>
      <w:bookmarkStart w:id="560" w:name="_Toc17709401"/>
      <w:bookmarkStart w:id="561" w:name="_Toc17709293"/>
      <w:bookmarkStart w:id="562" w:name="_Toc8836366"/>
      <w:bookmarkStart w:id="563" w:name="_Toc23772_WPSOffice_Level1"/>
      <w:r>
        <w:rPr>
          <w:rFonts w:hint="default" w:ascii="Times New Roman" w:hAnsi="Times New Roman" w:cs="Times New Roman"/>
          <w:bCs w:val="0"/>
          <w:color w:val="auto"/>
          <w:sz w:val="28"/>
          <w:szCs w:val="28"/>
        </w:rPr>
        <w:t>3.7产业政策、规划符合性分析</w:t>
      </w:r>
      <w:bookmarkEnd w:id="558"/>
      <w:bookmarkEnd w:id="559"/>
      <w:bookmarkEnd w:id="560"/>
      <w:bookmarkEnd w:id="561"/>
      <w:bookmarkEnd w:id="562"/>
      <w:bookmarkEnd w:id="563"/>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64" w:name="_Toc15635_WPSOffice_Level2"/>
      <w:bookmarkStart w:id="565" w:name="_Toc7999025"/>
      <w:bookmarkStart w:id="566" w:name="_Toc17709402"/>
      <w:r>
        <w:rPr>
          <w:rFonts w:hint="default" w:ascii="Times New Roman" w:hAnsi="Times New Roman" w:cs="Times New Roman"/>
          <w:bCs w:val="0"/>
          <w:color w:val="auto"/>
          <w:sz w:val="24"/>
          <w:szCs w:val="24"/>
        </w:rPr>
        <w:t>3.7.1产业政策符合性分析</w:t>
      </w:r>
      <w:bookmarkEnd w:id="564"/>
      <w:bookmarkEnd w:id="565"/>
      <w:bookmarkEnd w:id="566"/>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（1）与国家产业政策相符性</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根据《产业结构调整指导目录》(201</w:t>
      </w:r>
      <w:r>
        <w:rPr>
          <w:rFonts w:hint="default" w:ascii="Times New Roman" w:hAnsi="Times New Roman" w:cs="Times New Roman"/>
          <w:color w:val="auto"/>
          <w:lang w:val="en-US" w:eastAsia="zh-CN"/>
        </w:rPr>
        <w:t>9</w:t>
      </w:r>
      <w:r>
        <w:rPr>
          <w:rFonts w:hint="default" w:ascii="Times New Roman" w:hAnsi="Times New Roman" w:cs="Times New Roman"/>
          <w:color w:val="auto"/>
        </w:rPr>
        <w:t>年本)，本项目不属于限制类和淘汰类项目，且生产工艺、生产设备中没有采用落后淘汰生产工艺和设备，属于允许类项目。</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由《关于进一步加强矿产资源储量管理工作有关问题的通知》(新自然发[2019]25 号)，矿山生产建设规模分类见表3.7-1。</w:t>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Cs w:val="21"/>
        </w:rPr>
        <w:t>表3.7-1  矿山建设规模分类</w:t>
      </w:r>
    </w:p>
    <w:tbl>
      <w:tblPr>
        <w:tblStyle w:val="79"/>
        <w:tblW w:w="83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04"/>
        <w:gridCol w:w="2984"/>
        <w:gridCol w:w="2680"/>
        <w:gridCol w:w="21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5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矿种</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拟定最低生产规模（矿石万t/a）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37"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984" w:type="dxa"/>
            <w:vMerge w:val="restart"/>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铁</w:t>
            </w:r>
          </w:p>
        </w:tc>
        <w:tc>
          <w:tcPr>
            <w:tcW w:w="2680"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露天</w:t>
            </w:r>
          </w:p>
        </w:tc>
        <w:tc>
          <w:tcPr>
            <w:tcW w:w="2100"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37"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984" w:type="dxa"/>
            <w:vMerge w:val="continue"/>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p>
        </w:tc>
        <w:tc>
          <w:tcPr>
            <w:tcW w:w="2680"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w:t>
            </w:r>
          </w:p>
        </w:tc>
        <w:tc>
          <w:tcPr>
            <w:tcW w:w="2100"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5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锰矿</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07"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2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2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锌</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2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镍</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252" w:hRule="exact"/>
          <w:jc w:val="center"/>
        </w:trPr>
        <w:tc>
          <w:tcPr>
            <w:tcW w:w="60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2984"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金矿</w:t>
            </w:r>
          </w:p>
        </w:tc>
        <w:tc>
          <w:tcPr>
            <w:tcW w:w="4780"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rPr>
        <w:t>铜矿（地下开采）生产建设规模最低要求6 万吨/年，最低服务年限9 年。本项目年生产规模为6 万吨/年，服务年限为4.38年。</w:t>
      </w:r>
      <w:r>
        <w:rPr>
          <w:rFonts w:hint="default" w:ascii="Times New Roman" w:hAnsi="Times New Roman" w:cs="Times New Roman"/>
          <w:color w:val="auto"/>
          <w:kern w:val="0"/>
          <w:sz w:val="24"/>
          <w:lang w:eastAsia="zh-CN"/>
        </w:rPr>
        <w:t>该通知中最小生产规模和最低服务年限时新建矿山准入的必要条件，本项目为老旧矿山办理环评手续，矿山最小生产规模和最低服务年限不作为本项目的准入条件。本项目最小生产规模符合通知中规定的要求，建设单位后期将加大矿山的勘探力度，逐步满足开采年限。</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（2）与《国务院关于印发大气污染防治行动计划的通知》的相符性</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根据《国务院关于印发大气污染防治行动计划的通知》（国发〔2013〕37号）及《关于印发新疆维吾尔自治区大气污染防治行动计划实施方案的通知》（新政发〔2014〕35号），项目基建期间严格按照“深化面源污染治理”和“加大综合治理力度，减少多污染物排放”等相关规定，加大扬尘综合整治力度。加强施工扬尘监管，积极推进绿色施工。各类建筑施工、道路施工周边应全封闭设置围挡墙、湿法作业，严禁敞开式作业。禁止现场搅拌混凝土、砂浆。渣土运输车辆采取密闭措施，料堆、渣堆实现封闭存储。</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67" w:name="_Toc17709403"/>
      <w:bookmarkStart w:id="568" w:name="_Toc7999026"/>
      <w:bookmarkStart w:id="569" w:name="_Toc31917_WPSOffice_Level2"/>
      <w:r>
        <w:rPr>
          <w:rFonts w:hint="default" w:ascii="Times New Roman" w:hAnsi="Times New Roman" w:cs="Times New Roman"/>
          <w:bCs w:val="0"/>
          <w:color w:val="auto"/>
          <w:sz w:val="24"/>
          <w:szCs w:val="24"/>
        </w:rPr>
        <w:t>3.7.2区域发展规划及环境保护规划</w:t>
      </w:r>
      <w:bookmarkEnd w:id="567"/>
      <w:bookmarkEnd w:id="568"/>
      <w:bookmarkEnd w:id="569"/>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（1）与《新疆维吾尔自治区环境保护条例》符合性分析</w:t>
      </w:r>
    </w:p>
    <w:p>
      <w:pPr>
        <w:pStyle w:val="378"/>
        <w:snapToGrid w:val="0"/>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新疆维吾尔自治区环境保护条例》第三十条规定“任何单位和个人不得在水源涵养区、饮用水水源保护区内和河流、湖泊、水库周围建设重化工、涉重金属等工业污染项目；对已建成的工业污染项目，当地人民政府应当组织限期搬迁”。</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第四十七条规定“矿产资源勘探、开发单位，应当对矿产资源勘探、开发产生的尾矿、煤矸石、粉煤灰、冶炼渣以及脱硫、脱硝、除尘等产生的固体废物的堆存场所进行整治，完善防扬散、防流失、防渗漏等设施；造成环境污染的，应当采取有效措施进行生态修复。    </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对采矿使用的有毒有害物质，形成的有毒有害废弃物，应当进行无害化处理或者处置；有长期危害的，应当作永久性防护处理”。</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本项目属于矿产开发项目，矿区不在水源涵养区、地下水源、饮用水源、各类自然保护区、自然生态良好区、风景名胜区及人口密集区等敏感区域。项目所占地为低覆盖度荒漠草场，生产过程中不产生有毒有害废弃物，并编制了矿区生态修复方案，符合《新疆维吾尔自治区环境保护条例》的相关要求。</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（2）与《新疆维吾尔自治区环境保护“十三五”规划》符合性分析</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根据《新疆维吾尔自治区环境保护“十三五”规划》规定：“严禁在水源涵养区、饮用水源保护区、风景名胜区等生态敏感区域进行矿产资源勘探和开发”。</w:t>
      </w:r>
    </w:p>
    <w:p>
      <w:pPr>
        <w:pStyle w:val="378"/>
        <w:snapToGrid w:val="0"/>
        <w:rPr>
          <w:rFonts w:hint="default" w:ascii="Times New Roman" w:hAnsi="Times New Roman" w:cs="Times New Roman"/>
          <w:color w:val="auto"/>
        </w:rPr>
      </w:pPr>
      <w:r>
        <w:rPr>
          <w:rFonts w:hint="default" w:ascii="Times New Roman" w:hAnsi="Times New Roman" w:cs="Times New Roman"/>
          <w:color w:val="auto"/>
        </w:rPr>
        <w:t>本项目位于乌鲁木齐市115°方位、直距44km处，距达坂城区柴窝堡乡约31km，，不在水源涵养区、饮用水源保护区、风景名胜区等生态敏感区域，因此本项目符合《新疆维吾尔自治区环境保护“十三五”规划》。</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（3）与《新疆维吾尔自治区矿产资源总体规划（2016-2020）》符合性分析</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根据《新疆维吾尔自治区矿产资源总体规划（2016-2020 年）》及《新疆第</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三轮矿产资源总体规划（2016-2020 年）环境影响报告书》中规定，在坚持协调</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发展优化矿产开发保护格局中提出“二、明确勘查开采方向勘查方向。重点勘查</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的矿种为石油、天然气、煤（南疆缺煤地区）、煤层气、页岩气、油砂、油页岩、</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富铁、锰、钒、钛、铜、铅、锌、镍、稀有金属、金、银、铂、钯、铀、钾盐、</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钠硝石、特色石材、膨润土、红柱石、蛭石、磷、菱镁矿、石墨等。”、“大力</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发展战略性新兴产业矿产。按照自治区政府关于培育发展战略性新兴产业的决策</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部署，立足南北疆产业基础和资源优势，积极推进稀有金属、新功能非金属（石</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墨、萤石）等战略性新兴矿产勘查开发利用，适时调整对钨、锡、锑、稀土、石</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墨、锂、萤石等重要矿产管理思路和调控政策。”、“四、严格矿产资源规划分</w:t>
      </w:r>
    </w:p>
    <w:p>
      <w:pPr>
        <w:pStyle w:val="32"/>
        <w:adjustRightInd w:val="0"/>
        <w:snapToGrid w:val="0"/>
        <w:spacing w:line="360" w:lineRule="auto"/>
        <w:ind w:firstLine="0"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区管理</w:t>
      </w:r>
      <w:r>
        <w:rPr>
          <w:rFonts w:hint="default" w:ascii="Times New Roman" w:hAnsi="Times New Roman" w:eastAsia="宋体" w:cs="Times New Roman"/>
          <w:color w:val="auto"/>
          <w:sz w:val="24"/>
        </w:rPr>
        <w:tab/>
      </w:r>
      <w:r>
        <w:rPr>
          <w:rFonts w:hint="default" w:ascii="Times New Roman" w:hAnsi="Times New Roman" w:eastAsia="宋体" w:cs="Times New Roman"/>
          <w:color w:val="auto"/>
          <w:sz w:val="24"/>
        </w:rPr>
        <w:t>重点勘查区：部署 45 个国家级和 38 个自治区级重点勘查区。在国家和自治区紧缺矿种的具有找矿潜力的区域，南疆四地州经济欠发达地区所在的西南天山、昆仑山以及阿尔金山地区等重点勘查区内，通过优先设置出让探矿权，引导商业性矿产资源勘查，促进社会资本投入。”。</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本项目铜矿属金属开采项目，项目的建设符合《新疆维吾尔自治区矿产资源总体规划（2016-2020 年）》及《新疆第三轮矿产资源总体规划（2016-2020 年）环境影响报告书》中相关要求。</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（4）与《新疆维吾尔自治区重点行业环境准入条件》相符性</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根据《新疆维吾尔自治区重点行业环境准入条件(修订)》，本项目与此的符合性见表3.7-2。</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表3.7-2   矿山建设规模分类</w:t>
      </w:r>
    </w:p>
    <w:tbl>
      <w:tblPr>
        <w:tblStyle w:val="79"/>
        <w:tblW w:w="8368" w:type="dxa"/>
        <w:jc w:val="right"/>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06"/>
        <w:gridCol w:w="4166"/>
        <w:gridCol w:w="35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416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准入条件</w:t>
            </w:r>
          </w:p>
        </w:tc>
        <w:tc>
          <w:tcPr>
            <w:tcW w:w="359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7762" w:type="dxa"/>
            <w:gridSpan w:val="2"/>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选址与空间布局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4166" w:type="dxa"/>
            <w:noWrap w:val="0"/>
            <w:vAlign w:val="top"/>
          </w:tcPr>
          <w:p>
            <w:pPr>
              <w:spacing w:before="160"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 w:val="18"/>
                <w:szCs w:val="18"/>
              </w:rPr>
              <w:t>禁止在自然保护区、世界自然遗产地、风景名胜区、森林公园、地质公园、重要湿地、饮用水水源保护区等重点保护区域内及其它法律法规禁止的区域进行污染环境的任何开发活动。铁路、高速公路、国道、省道等重要交通干线两侧200m范围以内（禁止在铁路、国道、省道两侧的直观可视范围内进行露天开采），重要工业区、大型水利工程设施、城镇市政工程设施所在区域，军事管理区、机场、国防工程设施圈定的区域,居民聚集区1000m以内、伊犁河、额尔齐斯河等重要河流源头区、水环境功能区划为Ⅰ、Ⅱ类和具有饮用功能的Ⅲ类水体岸边1000m以内，其它Ⅲ类水体岸边200m以内，禁止新建或改扩建金属矿采选工程，存在山体等阻隔地形或建设人工地下水阻隔设施的，可根据实际情况，在确保不会对水体产生污染影响的前提下适当放宽距离要求。</w:t>
            </w:r>
          </w:p>
        </w:tc>
        <w:tc>
          <w:tcPr>
            <w:tcW w:w="3596" w:type="dxa"/>
            <w:noWrap w:val="0"/>
            <w:vAlign w:val="top"/>
          </w:tcPr>
          <w:p>
            <w:pPr>
              <w:spacing w:before="160"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本项目占地为一般区域，不在禁止开发区及限制开发区内。且在周边</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km范围内无集中或分散居住区住居民点。</w:t>
            </w:r>
          </w:p>
          <w:p>
            <w:pPr>
              <w:adjustRightInd w:val="0"/>
              <w:snapToGrid w:val="0"/>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4166" w:type="dxa"/>
            <w:noWrap w:val="0"/>
            <w:vAlign w:val="center"/>
          </w:tcPr>
          <w:p>
            <w:pPr>
              <w:spacing w:before="160"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废石堆场场址应选在工业区和居民集中区主导风向下风侧.</w:t>
            </w:r>
          </w:p>
        </w:tc>
        <w:tc>
          <w:tcPr>
            <w:tcW w:w="3596" w:type="dxa"/>
            <w:noWrap w:val="0"/>
            <w:vAlign w:val="top"/>
          </w:tcPr>
          <w:p>
            <w:pPr>
              <w:spacing w:before="160"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矿区设</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座废石场，处于主导风向下风侧，周围</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km范围无居住区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top"/>
          </w:tcPr>
          <w:p>
            <w:pPr>
              <w:spacing w:before="160"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7762" w:type="dxa"/>
            <w:gridSpan w:val="2"/>
            <w:noWrap w:val="0"/>
            <w:vAlign w:val="top"/>
          </w:tcPr>
          <w:p>
            <w:pPr>
              <w:spacing w:before="160"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污染防治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jc w:val="right"/>
        </w:trPr>
        <w:tc>
          <w:tcPr>
            <w:tcW w:w="606" w:type="dxa"/>
            <w:noWrap w:val="0"/>
            <w:vAlign w:val="center"/>
          </w:tcPr>
          <w:p>
            <w:pPr>
              <w:adjustRightInd w:val="0"/>
              <w:snapToGrid w:val="0"/>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w:t>
            </w:r>
          </w:p>
        </w:tc>
        <w:tc>
          <w:tcPr>
            <w:tcW w:w="4166" w:type="dxa"/>
            <w:noWrap w:val="0"/>
            <w:vAlign w:val="top"/>
          </w:tcPr>
          <w:p>
            <w:pPr>
              <w:spacing w:before="160" w:line="24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矿井涌水、矿坑涌水、选矿废水用于生产工艺、降尘、绿化等，综合利用率应达到85%以上，若行业标准高于85%，按行业标准执行。</w:t>
            </w:r>
          </w:p>
        </w:tc>
        <w:tc>
          <w:tcPr>
            <w:tcW w:w="3596" w:type="dxa"/>
            <w:noWrap w:val="0"/>
            <w:vAlign w:val="top"/>
          </w:tcPr>
          <w:p>
            <w:pPr>
              <w:spacing w:before="160"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 w:val="18"/>
                <w:szCs w:val="18"/>
              </w:rPr>
              <w:t>本项目采用湿式凿岩作业方式，在矿石转运、矿石和废石堆场采用洒水抑尘，其大气污染物排放标准满足《大气污染物综合排放标准》（GB16297-1996）无组织粉尘排放要求；废石堆放在废石堆场，闭矿后大部分废石用于回填地下采空区，少部分拉运出矿综合利用（如铺路）；矿井涌水用于生产工艺、降尘、绿化等，综合利用率应达到85%以上。</w:t>
            </w:r>
          </w:p>
        </w:tc>
      </w:tr>
    </w:tbl>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经比对，本项目符合《新疆维吾尔自治区重点行业环境准入条件(试行)》的相关要求。</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（5）与《新疆维吾尔自治区主体功能区规划》相符性</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该规划要求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 </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本项目为矿山开发，为点状开发建设，矿区不属于限制开发区域、禁止开发</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（6）“三线一单”符合性</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不属于“生态红线”区域；本项目清洁生产水平能达到国内先进水平，资源利用情况符合清洁生产有关要求，在资源利用上线范围内；根据项目区环境质量现状监测结果，项目区环境质量情况良好，环评预测本项目的建设不会对区域环境产生较大影响，不涉及环境质量底线，本项目为铜矿开采类，不属于“环境准入负面清单”内的项目，因此本项目的建设是符合“三线一单”的有关要求。</w:t>
      </w:r>
    </w:p>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570" w:name="_Toc2068_WPSOffice_Level1"/>
      <w:bookmarkStart w:id="571" w:name="_Toc8836367"/>
      <w:bookmarkStart w:id="572" w:name="_Toc17709294"/>
      <w:bookmarkStart w:id="573" w:name="_Toc17709404"/>
      <w:r>
        <w:rPr>
          <w:rFonts w:hint="default" w:ascii="Times New Roman" w:hAnsi="Times New Roman" w:cs="Times New Roman"/>
          <w:bCs w:val="0"/>
          <w:color w:val="auto"/>
          <w:sz w:val="28"/>
          <w:szCs w:val="28"/>
        </w:rPr>
        <w:t>3.8清洁生产</w:t>
      </w:r>
      <w:bookmarkEnd w:id="570"/>
      <w:bookmarkEnd w:id="571"/>
      <w:bookmarkEnd w:id="572"/>
      <w:bookmarkEnd w:id="573"/>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清洁生产是指不断通过改进工艺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清洁生产要求在减少对资源和能源消耗的同时，减少污染物的产生量，这就意味着在选择生产工艺、设备及原材料、确定产品和在产品的整个生产过程中的每一个环节，采取一系列综合措施，以尽可能减少原材料、能源的消耗，减少污染物的产生量和排放量以及对人类和环境的危害。</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项目清洁生产分析的目的：减轻建设项目末端处理负担；提高项目环境可靠性；节能降耗，减少污染排放总量，提高经济和环境效益。</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根据上述宗旨对本项目从采用生产工艺、资源利用效率、清洁生产潜力等几方面进行清洁生产审核，并对本项目清洁生产水平进行计分。</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74" w:name="_Toc1643_WPSOffice_Level2"/>
      <w:bookmarkStart w:id="575" w:name="_Toc19566"/>
      <w:bookmarkStart w:id="576" w:name="_Toc2744"/>
      <w:bookmarkStart w:id="577" w:name="_Toc27110"/>
      <w:bookmarkStart w:id="578" w:name="_Toc12582"/>
      <w:bookmarkStart w:id="579" w:name="_Toc17709405"/>
      <w:r>
        <w:rPr>
          <w:rFonts w:hint="default" w:ascii="Times New Roman" w:hAnsi="Times New Roman" w:cs="Times New Roman"/>
          <w:bCs w:val="0"/>
          <w:color w:val="auto"/>
          <w:sz w:val="24"/>
          <w:szCs w:val="24"/>
        </w:rPr>
        <w:t>3.8.1清洁生产指标分析</w:t>
      </w:r>
      <w:bookmarkEnd w:id="574"/>
      <w:bookmarkEnd w:id="575"/>
      <w:bookmarkEnd w:id="576"/>
      <w:bookmarkEnd w:id="577"/>
      <w:bookmarkEnd w:id="578"/>
      <w:bookmarkEnd w:id="57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清洁生产定性分析从在建工程原辅材料的清洁无害性、工艺设备的节能与先进性、污染防治措施的先进及有效性等方面着手进行评述。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根据项目的特点，由于目前相关部门尚未发布多金属采选行业相关的清洁生产标准，因此本项目清洁生产指标通过类比《清洁生产技术要求-铁矿采选行业》（HJ/T294-2006）进行对照</w:t>
      </w:r>
      <w:r>
        <w:rPr>
          <w:rFonts w:hint="default" w:ascii="Times New Roman" w:hAnsi="Times New Roman" w:cs="Times New Roman"/>
          <w:color w:val="auto"/>
          <w:sz w:val="24"/>
        </w:rPr>
        <w:t>，见表3.8-1。</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表3.8-1    </w:t>
      </w:r>
      <w:r>
        <w:rPr>
          <w:rFonts w:hint="default" w:ascii="Times New Roman" w:hAnsi="Times New Roman" w:cs="Times New Roman"/>
          <w:color w:val="auto"/>
          <w:szCs w:val="21"/>
        </w:rPr>
        <w:t>铁矿采选行业清洁生产标准（地下开采类）</w:t>
      </w:r>
    </w:p>
    <w:tbl>
      <w:tblPr>
        <w:tblStyle w:val="79"/>
        <w:tblW w:w="8528"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82"/>
        <w:gridCol w:w="1011"/>
        <w:gridCol w:w="142"/>
        <w:gridCol w:w="1736"/>
        <w:gridCol w:w="106"/>
        <w:gridCol w:w="1516"/>
        <w:gridCol w:w="1668"/>
        <w:gridCol w:w="126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指标</w:t>
            </w:r>
          </w:p>
        </w:tc>
        <w:tc>
          <w:tcPr>
            <w:tcW w:w="1878"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一级</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三级</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8528" w:type="dxa"/>
            <w:gridSpan w:val="8"/>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一、工艺装备要求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157"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凿岩</w:t>
            </w:r>
          </w:p>
        </w:tc>
        <w:tc>
          <w:tcPr>
            <w:tcW w:w="1878"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采用国际先进的信息化工程度高、凿岩效率高、配有除尘净化装置的凿岩台车</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采用国内先进的凿岩效率较高、配有除尘净化装置的凿岩台车</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采用国产较先进的配有除尘净化装置的凿岩设备</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06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爆破</w:t>
            </w:r>
          </w:p>
        </w:tc>
        <w:tc>
          <w:tcPr>
            <w:tcW w:w="1878"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采用国际先进的机械化程度高的装药车，采用控制爆破技术</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采用国内先进的机械化程度较高的装药车，采用控制爆破技术</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厚矿体采用机械化装药，薄矿体采用人工装药</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委托专业爆破公司进行爆破，等级为二级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261"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铲装</w:t>
            </w:r>
          </w:p>
        </w:tc>
        <w:tc>
          <w:tcPr>
            <w:tcW w:w="1878"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采用国际先进的高效、能耗低的铲运机、装岩机等庄严设备，配有除尘净化设施</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采用国内先进的高效、能耗低的铲运机、装岩机等设备，配有除尘净化设施</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采用国内较先进的机械化装岩设备，配有除尘净化设施</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968"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运输</w:t>
            </w:r>
          </w:p>
        </w:tc>
        <w:tc>
          <w:tcPr>
            <w:tcW w:w="3500" w:type="dxa"/>
            <w:gridSpan w:val="4"/>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采用高效、规模化、配套的机械运输体系，如电机车运输，胶带运输，配有除尘净化设施</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采用国内较先进的机械化运输体系，配有除尘净化设施</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982"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提升</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采用国际先进的自动化程度高的提升系统</w:t>
            </w:r>
          </w:p>
        </w:tc>
        <w:tc>
          <w:tcPr>
            <w:tcW w:w="1516" w:type="dxa"/>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采用国内先进的自动化程度较高的提升系统</w:t>
            </w:r>
          </w:p>
        </w:tc>
        <w:tc>
          <w:tcPr>
            <w:tcW w:w="1668" w:type="dxa"/>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采用国内较先进的提升机系统</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p>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p>
            <w:pPr>
              <w:spacing w:line="240" w:lineRule="exact"/>
              <w:jc w:val="center"/>
              <w:rPr>
                <w:rFonts w:hint="default" w:ascii="Times New Roman" w:hAnsi="Times New Roman" w:eastAsia="宋体" w:cs="Times New Roman"/>
                <w:color w:val="auto"/>
                <w:kern w:val="0"/>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251"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通风</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采用配有自动 控制、监测系统的通风系统，采用低压、大风量、高效、节能的矿用通风机</w:t>
            </w:r>
          </w:p>
        </w:tc>
        <w:tc>
          <w:tcPr>
            <w:tcW w:w="3184"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采用大风量、低压、高效、节能的矿用通风机</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688"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排水</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满足30年一遇的矿井涌水量排水要求</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满足20年一遇的矿井涌水量排水要求</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满足矿井最大涌水量排水要求</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19" w:hRule="atLeast"/>
        </w:trPr>
        <w:tc>
          <w:tcPr>
            <w:tcW w:w="8528" w:type="dxa"/>
            <w:gridSpan w:val="8"/>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二、资源能源利用指标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回采率/（%）</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≥80</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贫化率/（%）</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采矿强度/（t/m·a）</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耗/（kW/·h/t）</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41" w:hRule="atLeast"/>
        </w:trPr>
        <w:tc>
          <w:tcPr>
            <w:tcW w:w="8528" w:type="dxa"/>
            <w:gridSpan w:val="8"/>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三、废物回收利用指标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540" w:hRule="atLeast"/>
        </w:trPr>
        <w:tc>
          <w:tcPr>
            <w:tcW w:w="209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废石综合利用率/（%）</w:t>
            </w:r>
          </w:p>
        </w:tc>
        <w:tc>
          <w:tcPr>
            <w:tcW w:w="1984"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w:t>
            </w:r>
          </w:p>
        </w:tc>
        <w:tc>
          <w:tcPr>
            <w:tcW w:w="151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trPr>
        <w:tc>
          <w:tcPr>
            <w:tcW w:w="8528" w:type="dxa"/>
            <w:gridSpan w:val="8"/>
            <w:noWrap w:val="0"/>
            <w:vAlign w:val="center"/>
          </w:tcPr>
          <w:p>
            <w:pPr>
              <w:widowControl/>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四、环境管理要求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98" w:hRule="atLeast"/>
        </w:trPr>
        <w:tc>
          <w:tcPr>
            <w:tcW w:w="2235" w:type="dxa"/>
            <w:gridSpan w:val="3"/>
            <w:noWrap w:val="0"/>
            <w:vAlign w:val="center"/>
          </w:tcPr>
          <w:p>
            <w:pPr>
              <w:widowControl/>
              <w:spacing w:line="240" w:lineRule="exact"/>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环境法律法规标准</w:t>
            </w:r>
          </w:p>
        </w:tc>
        <w:tc>
          <w:tcPr>
            <w:tcW w:w="5026" w:type="dxa"/>
            <w:gridSpan w:val="4"/>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符合国家和地方有关法律、法规，污染物排放达到国家和地方排放标准、总量控制和排污许可证管理要求</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548" w:hRule="atLeast"/>
        </w:trPr>
        <w:tc>
          <w:tcPr>
            <w:tcW w:w="2235"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环境审核</w:t>
            </w:r>
          </w:p>
        </w:tc>
        <w:tc>
          <w:tcPr>
            <w:tcW w:w="173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按照企业清洁生产审核指南的要求进行了审核；按照ISO14001建立并运环境管理体系，环境管理手册、程序文件及作业文件齐备</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按照企业清洁生产审核指南的要求进行了审核；环境管理制度健全，原始记录及统计数据齐全有效</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按照企业清洁生产审核指南的要求进行了审核；环境管理制度、原始记录及统计数据基本齐全</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1" w:hRule="atLeast"/>
        </w:trPr>
        <w:tc>
          <w:tcPr>
            <w:tcW w:w="1082"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w:t>
            </w: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岗位培训</w:t>
            </w:r>
          </w:p>
        </w:tc>
        <w:tc>
          <w:tcPr>
            <w:tcW w:w="3358"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所有岗位进行过严格培训</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主要岗位进行过严格培训</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167" w:hRule="atLeast"/>
        </w:trPr>
        <w:tc>
          <w:tcPr>
            <w:tcW w:w="1082" w:type="dxa"/>
            <w:vMerge w:val="restart"/>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过程环境管理</w:t>
            </w: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凿岩、爆破、铲装、运输等主要工序的操作管理</w:t>
            </w:r>
          </w:p>
        </w:tc>
        <w:tc>
          <w:tcPr>
            <w:tcW w:w="173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有完善的岗位操作规程；运行无故障、设备完好率达100%</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有完善的岗位操作规程；运行无故障、设备完好率达98%</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有较完善的岗位操作规程；运行无故障、设备完好率达95%</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008" w:hRule="atLeast"/>
        </w:trPr>
        <w:tc>
          <w:tcPr>
            <w:tcW w:w="1082" w:type="dxa"/>
            <w:vMerge w:val="continue"/>
            <w:noWrap w:val="0"/>
            <w:vAlign w:val="center"/>
          </w:tcPr>
          <w:p>
            <w:pPr>
              <w:widowControl/>
              <w:spacing w:line="240" w:lineRule="exact"/>
              <w:jc w:val="center"/>
              <w:rPr>
                <w:rFonts w:hint="default" w:ascii="Times New Roman" w:hAnsi="Times New Roman" w:eastAsia="宋体" w:cs="Times New Roman"/>
                <w:color w:val="auto"/>
                <w:kern w:val="0"/>
                <w:szCs w:val="21"/>
              </w:rPr>
            </w:pP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生产设备的使用、检修管理制度</w:t>
            </w:r>
          </w:p>
        </w:tc>
        <w:tc>
          <w:tcPr>
            <w:tcW w:w="173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由完善的管理制度，并严格执行</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主要设备有具体的管理制度，并严格执行</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主要设备有基本的管理制度，并严格执行</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700" w:hRule="atLeast"/>
        </w:trPr>
        <w:tc>
          <w:tcPr>
            <w:tcW w:w="1082" w:type="dxa"/>
            <w:vMerge w:val="continue"/>
            <w:noWrap w:val="0"/>
            <w:vAlign w:val="center"/>
          </w:tcPr>
          <w:p>
            <w:pPr>
              <w:widowControl/>
              <w:spacing w:line="240" w:lineRule="exact"/>
              <w:jc w:val="center"/>
              <w:rPr>
                <w:rFonts w:hint="default" w:ascii="Times New Roman" w:hAnsi="Times New Roman" w:eastAsia="宋体" w:cs="Times New Roman"/>
                <w:color w:val="auto"/>
                <w:kern w:val="0"/>
                <w:szCs w:val="21"/>
              </w:rPr>
            </w:pP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生产工艺用水、用电管理</w:t>
            </w:r>
          </w:p>
        </w:tc>
        <w:tc>
          <w:tcPr>
            <w:tcW w:w="173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各种计量装置齐全，并制定严格计量考核制度</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主要环节进行计量，并制定定量考核制度</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主要环节进行计量</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17" w:hRule="atLeast"/>
        </w:trPr>
        <w:tc>
          <w:tcPr>
            <w:tcW w:w="1082" w:type="dxa"/>
            <w:vMerge w:val="continue"/>
            <w:noWrap w:val="0"/>
            <w:vAlign w:val="center"/>
          </w:tcPr>
          <w:p>
            <w:pPr>
              <w:widowControl/>
              <w:spacing w:line="240" w:lineRule="exact"/>
              <w:jc w:val="center"/>
              <w:rPr>
                <w:rFonts w:hint="default" w:ascii="Times New Roman" w:hAnsi="Times New Roman" w:eastAsia="宋体" w:cs="Times New Roman"/>
                <w:color w:val="auto"/>
                <w:kern w:val="0"/>
                <w:szCs w:val="21"/>
              </w:rPr>
            </w:pP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各种标识</w:t>
            </w:r>
          </w:p>
        </w:tc>
        <w:tc>
          <w:tcPr>
            <w:tcW w:w="5026" w:type="dxa"/>
            <w:gridSpan w:val="4"/>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生产区内各种标识明显，严格进行定期检查</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51" w:hRule="atLeast"/>
        </w:trPr>
        <w:tc>
          <w:tcPr>
            <w:tcW w:w="1082" w:type="dxa"/>
            <w:vMerge w:val="restart"/>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环境管理</w:t>
            </w: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环境管理机构</w:t>
            </w:r>
          </w:p>
        </w:tc>
        <w:tc>
          <w:tcPr>
            <w:tcW w:w="5026" w:type="dxa"/>
            <w:gridSpan w:val="4"/>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建立并有专人负责</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587" w:hRule="atLeast"/>
        </w:trPr>
        <w:tc>
          <w:tcPr>
            <w:tcW w:w="1082" w:type="dxa"/>
            <w:vMerge w:val="continue"/>
            <w:noWrap w:val="0"/>
            <w:vAlign w:val="center"/>
          </w:tcPr>
          <w:p>
            <w:pPr>
              <w:widowControl/>
              <w:spacing w:line="240" w:lineRule="exact"/>
              <w:jc w:val="center"/>
              <w:rPr>
                <w:rFonts w:hint="default" w:ascii="Times New Roman" w:hAnsi="Times New Roman" w:eastAsia="宋体" w:cs="Times New Roman"/>
                <w:color w:val="auto"/>
                <w:kern w:val="0"/>
                <w:szCs w:val="21"/>
              </w:rPr>
            </w:pP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环境管理制度</w:t>
            </w:r>
          </w:p>
        </w:tc>
        <w:tc>
          <w:tcPr>
            <w:tcW w:w="3358" w:type="dxa"/>
            <w:gridSpan w:val="3"/>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健全、完善的环境管理制度，并纳入日常管理</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较完善的环境管理制度</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603" w:hRule="atLeast"/>
        </w:trPr>
        <w:tc>
          <w:tcPr>
            <w:tcW w:w="1082" w:type="dxa"/>
            <w:vMerge w:val="continue"/>
            <w:noWrap w:val="0"/>
            <w:vAlign w:val="center"/>
          </w:tcPr>
          <w:p>
            <w:pPr>
              <w:widowControl/>
              <w:spacing w:line="240" w:lineRule="exact"/>
              <w:jc w:val="center"/>
              <w:rPr>
                <w:rFonts w:hint="default" w:ascii="Times New Roman" w:hAnsi="Times New Roman" w:eastAsia="宋体" w:cs="Times New Roman"/>
                <w:color w:val="auto"/>
                <w:kern w:val="0"/>
                <w:szCs w:val="21"/>
              </w:rPr>
            </w:pPr>
          </w:p>
        </w:tc>
        <w:tc>
          <w:tcPr>
            <w:tcW w:w="1153"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环境管理计划</w:t>
            </w:r>
          </w:p>
        </w:tc>
        <w:tc>
          <w:tcPr>
            <w:tcW w:w="1736"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制定近、远期计划并监督实施</w:t>
            </w:r>
          </w:p>
        </w:tc>
        <w:tc>
          <w:tcPr>
            <w:tcW w:w="1622" w:type="dxa"/>
            <w:gridSpan w:val="2"/>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制定近期计划并监督实施</w:t>
            </w:r>
          </w:p>
        </w:tc>
        <w:tc>
          <w:tcPr>
            <w:tcW w:w="1668"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指定日常计划并监督实施施</w:t>
            </w:r>
          </w:p>
        </w:tc>
        <w:tc>
          <w:tcPr>
            <w:tcW w:w="1267" w:type="dxa"/>
            <w:noWrap w:val="0"/>
            <w:vAlign w:val="center"/>
          </w:tcPr>
          <w:p>
            <w:pPr>
              <w:widowControl/>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二级</w:t>
            </w:r>
          </w:p>
        </w:tc>
      </w:tr>
    </w:tbl>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80" w:name="_Toc17909"/>
      <w:bookmarkStart w:id="581" w:name="_Toc9497"/>
      <w:bookmarkStart w:id="582" w:name="_Toc15341"/>
      <w:bookmarkStart w:id="583" w:name="_Toc27693_WPSOffice_Level2"/>
      <w:bookmarkStart w:id="584" w:name="_Toc17709406"/>
      <w:bookmarkStart w:id="585" w:name="_Toc23166"/>
      <w:r>
        <w:rPr>
          <w:rFonts w:hint="default" w:ascii="Times New Roman" w:hAnsi="Times New Roman" w:cs="Times New Roman"/>
          <w:bCs w:val="0"/>
          <w:color w:val="auto"/>
          <w:sz w:val="24"/>
          <w:szCs w:val="24"/>
        </w:rPr>
        <w:t>3.8.2清洁生产指标分析</w:t>
      </w:r>
      <w:bookmarkEnd w:id="580"/>
      <w:bookmarkEnd w:id="581"/>
      <w:bookmarkEnd w:id="582"/>
      <w:bookmarkEnd w:id="583"/>
      <w:bookmarkEnd w:id="584"/>
      <w:bookmarkEnd w:id="585"/>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（1）工艺装备的要求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本项目选用国内中、小型地下开采矿企业常用的机械设备，能耗较低，效率较高。从装备要求指标考虑，清洁生产指标等级为二级。</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（2）资源能源利用指标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①金属回收率</w:t>
      </w:r>
    </w:p>
    <w:p>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本项目采用浅孔留矿法开采，采矿回采率88.00%，贫化率10.00%。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对照铁矿采选行业清洁生产标准（地下开采）中的指标，金属回采率及贫化率均满足二级清洁生产指标。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②电耗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项目每吨矿耗电量为21.8kW·h/t，耗电满足二级清洁生产指标的要求。</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（3）废物回收利用指标（1）矿井废石</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本项目废石产生量为3333.3m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/a，服务年限内废石总量为14599.9m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，开采前期</w:t>
      </w:r>
      <w:r>
        <w:rPr>
          <w:rFonts w:hint="default" w:ascii="Times New Roman" w:hAnsi="Times New Roman" w:cs="Times New Roman"/>
          <w:color w:val="auto"/>
          <w:kern w:val="0"/>
          <w:sz w:val="24"/>
        </w:rPr>
        <w:t>部分</w:t>
      </w:r>
      <w:r>
        <w:rPr>
          <w:rFonts w:hint="default" w:ascii="Times New Roman" w:hAnsi="Times New Roman" w:cs="Times New Roman"/>
          <w:bCs/>
          <w:color w:val="auto"/>
          <w:sz w:val="24"/>
        </w:rPr>
        <w:t>废石用于</w:t>
      </w:r>
      <w:r>
        <w:rPr>
          <w:rFonts w:hint="default" w:ascii="Times New Roman" w:hAnsi="Times New Roman" w:cs="Times New Roman"/>
          <w:color w:val="auto"/>
          <w:kern w:val="0"/>
          <w:sz w:val="24"/>
        </w:rPr>
        <w:t>拓建工业场地及修筑场内路基，剩余的部分堆存在废石堆场；中后期部分用于拓建工业场地和修筑场内路基及回填采空区，剩余部分对存在废石堆场。</w:t>
      </w:r>
      <w:r>
        <w:rPr>
          <w:rFonts w:hint="default" w:ascii="Times New Roman" w:hAnsi="Times New Roman" w:cs="Times New Roman"/>
          <w:color w:val="auto"/>
          <w:sz w:val="24"/>
        </w:rPr>
        <w:t>项目运营期为4.38年，综合利用废石量为20%，在整个运营期内运至废石场的量约为14599.9万m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，废石场完全可满足项目运营期废石的排放量。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本项目废石综合利用率为20%，指标可达到清洁生产指标二级。</w:t>
      </w:r>
    </w:p>
    <w:p>
      <w:pPr>
        <w:pStyle w:val="378"/>
        <w:snapToGrid w:val="0"/>
        <w:ind w:firstLine="600" w:firstLineChars="25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（4）环境管理要求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由于本项目规模和工艺的限制，在环境管理要求的各项指标中，很难达到较高水平。因此，本评价要求企业在运营期严格表3.8-1中的二级清洁生产指标的要求进行环境管理。</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86" w:name="_Toc17709407"/>
      <w:bookmarkStart w:id="587" w:name="_Toc3504"/>
      <w:bookmarkStart w:id="588" w:name="_Toc4420_WPSOffice_Level2"/>
      <w:bookmarkStart w:id="589" w:name="_Toc9064"/>
      <w:bookmarkStart w:id="590" w:name="_Toc10035"/>
      <w:bookmarkStart w:id="591" w:name="_Toc2536"/>
      <w:r>
        <w:rPr>
          <w:rFonts w:hint="default" w:ascii="Times New Roman" w:hAnsi="Times New Roman" w:cs="Times New Roman"/>
          <w:bCs w:val="0"/>
          <w:color w:val="auto"/>
          <w:sz w:val="24"/>
          <w:szCs w:val="24"/>
        </w:rPr>
        <w:t>3.8.3清洁生产建议及措施</w:t>
      </w:r>
      <w:bookmarkEnd w:id="586"/>
      <w:bookmarkEnd w:id="587"/>
      <w:bookmarkEnd w:id="588"/>
      <w:bookmarkEnd w:id="589"/>
      <w:bookmarkEnd w:id="590"/>
      <w:bookmarkEnd w:id="59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（1）清洁生产建议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使企业的运行始终遵循清洁生产思想，对污染物实行减量化、资源化和无害化，鼓励其选用清洁的原料，使用先进生产工艺，提高资源、能源回收利用率，建成生产附加值高、污染物产生量小的新型企业，建议在生产过程中进一步采取以下清洁生产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①进一步提高资源能源利用水平。根据对本项目资源能源利用指标的分析，与国家节能减排的环境经济政策尚有一定的差距，需要进一步采取节能措施；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②严格生产过程管理，改变传统观念，提高清洁生产观念，降低原材料消耗，选用无污染、少污染的原料，提高产品质量；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③提高设备生产率，对主要工作岗位进行节能培训，提高操作水平，建立完善节能奖惩制度；</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④完善管理措施，加强企业管理，特别是主要能耗环节，如：采、运、排，采取先进手段和措施，减少不必要的能损；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⑤尽量选用国家推荐的节能型生产设备，合理组织使用，减少设备空转率和无谓能耗；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⑥建立清洁生产管理机构。清洁生产管理机构负责本企业的清洁生产管理工作，制定清洁生产管理规程和奖惩考核目标；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健全计量体系，在各个生产单元和生产环节设置有关水、电、油的计量装置，避免资源的随意浪费，把节能、降耗工作落到实处。制定并实施减少能源、水和原材料的使用，减少产品和生产过程中有毒物质的使用，减少各种废弃物排放的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⑧按照企业清洁生产审核指南的要求对采矿进行清洁生产审核。</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（2）实施清洁生产的措施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从上述分析结果来看，本项目生产必须采取措施提高资源利用率，采取各项环保治理措施，将项目对环境的影响减到最低，粉尘及废水全部达标排放，实现清洁文明生产，主要应采取的措施是：</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加强管理，上岗人员要实现事先培训，择优录用，严格考核，优胜劣汰。把清洁文明生产全过程指标化，制定严而可行的控制指标作为考核的依据，考核结果与管理者的业绩挂钩，与生产者的工资、奖金挂钩。一切设备、设施除进行一年一度的维修，还要加强日常维护检查，发现问题及时解决，避免一切带病运行、疲劳运行、超负荷运行等情况发生，使其保持最佳运行状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②认真落实本报告书中所提各项环保措施，保证长期稳定达标排放。使企业的运行始终遵循清洁生产思想，对污染物实行减量化、资源化和无害化，鼓励其选用清洁的原料 ，使用先进生产工艺，提高资源、能源回收利用率，建成生产附加值高、污染物产生量小的新型企业，建议在生产过程中进一步采取以下清洁生产措施。</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592" w:name="_Toc839"/>
      <w:bookmarkStart w:id="593" w:name="_Toc11733"/>
      <w:bookmarkStart w:id="594" w:name="_Toc29914_WPSOffice_Level2"/>
      <w:bookmarkStart w:id="595" w:name="_Toc17709408"/>
      <w:bookmarkStart w:id="596" w:name="_Toc20209"/>
      <w:bookmarkStart w:id="597" w:name="_Toc12875"/>
      <w:r>
        <w:rPr>
          <w:rFonts w:hint="default" w:ascii="Times New Roman" w:hAnsi="Times New Roman" w:cs="Times New Roman"/>
          <w:bCs w:val="0"/>
          <w:color w:val="auto"/>
          <w:sz w:val="24"/>
          <w:szCs w:val="24"/>
        </w:rPr>
        <w:t>3.8.4清洁生产结论</w:t>
      </w:r>
      <w:bookmarkEnd w:id="592"/>
      <w:bookmarkEnd w:id="593"/>
      <w:bookmarkEnd w:id="594"/>
      <w:bookmarkEnd w:id="595"/>
      <w:bookmarkEnd w:id="596"/>
      <w:bookmarkEnd w:id="597"/>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由于本项目规模和工艺的限制，在环境管理要求的各项指标中，很难达到较高水平。因此，本评价要求企业在运营期参照《铁矿采选行业清洁生产标准》(HJ/T294-2006)中的二级清洁生产指标的要求进行环境管理。</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综合以上情况分析，该项目的清洁生产指标等级为二级。</w:t>
      </w:r>
    </w:p>
    <w:p>
      <w:pPr>
        <w:pStyle w:val="4"/>
        <w:adjustRightInd w:val="0"/>
        <w:snapToGrid w:val="0"/>
        <w:spacing w:line="360" w:lineRule="auto"/>
        <w:ind w:left="0" w:firstLine="0"/>
        <w:jc w:val="both"/>
        <w:rPr>
          <w:rFonts w:hint="default" w:ascii="Times New Roman" w:hAnsi="Times New Roman" w:cs="Times New Roman"/>
          <w:bCs w:val="0"/>
          <w:color w:val="auto"/>
          <w:sz w:val="28"/>
          <w:szCs w:val="28"/>
        </w:rPr>
      </w:pPr>
      <w:bookmarkStart w:id="598" w:name="_Toc17709409"/>
      <w:bookmarkStart w:id="599" w:name="_Toc4025_WPSOffice_Level1"/>
      <w:bookmarkStart w:id="600" w:name="_Toc8836368"/>
      <w:bookmarkStart w:id="601" w:name="_Toc22555_WPSOffice_Level2"/>
      <w:bookmarkStart w:id="602" w:name="_Toc7999027"/>
      <w:bookmarkStart w:id="603" w:name="_Toc17709295"/>
      <w:r>
        <w:rPr>
          <w:rFonts w:hint="default" w:ascii="Times New Roman" w:hAnsi="Times New Roman" w:cs="Times New Roman"/>
          <w:bCs w:val="0"/>
          <w:color w:val="auto"/>
          <w:sz w:val="28"/>
          <w:szCs w:val="28"/>
        </w:rPr>
        <w:t>3.9总量控制</w:t>
      </w:r>
      <w:bookmarkEnd w:id="598"/>
      <w:bookmarkEnd w:id="599"/>
      <w:bookmarkEnd w:id="600"/>
      <w:bookmarkEnd w:id="601"/>
      <w:bookmarkEnd w:id="602"/>
      <w:bookmarkEnd w:id="603"/>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项目布设生活办公区，生产周期为250d，冬季停产不需要供暖。</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根据国家总量控制污染因子的要求，拟建项目的大气污染源主要是采矿扬尘及运输汽车的扬尘，爆破产生NOx等均为无组织排放，项目无总量控制指标。</w:t>
      </w:r>
    </w:p>
    <w:p>
      <w:pPr>
        <w:pStyle w:val="32"/>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eastAsia="宋体" w:cs="Times New Roman"/>
          <w:color w:val="auto"/>
          <w:sz w:val="24"/>
        </w:rPr>
        <w:t>项目矿井涌水回用于生产中、洒水降尘综合用水及矿区周边绿化用水；生活污水经过地埋式污水处理设施处理后用于矿区绿化及道路洒水降尘。本项目的废水均做到合理处置，建议不设废水污染物总量控制指标。</w:t>
      </w:r>
    </w:p>
    <w:bookmarkEnd w:id="292"/>
    <w:p>
      <w:pPr>
        <w:pageBreakBefore/>
        <w:spacing w:line="360" w:lineRule="auto"/>
        <w:jc w:val="center"/>
        <w:outlineLvl w:val="0"/>
        <w:rPr>
          <w:rFonts w:hint="default" w:ascii="Times New Roman" w:hAnsi="Times New Roman" w:cs="Times New Roman"/>
          <w:b/>
          <w:color w:val="auto"/>
          <w:sz w:val="30"/>
          <w:szCs w:val="30"/>
        </w:rPr>
      </w:pPr>
      <w:bookmarkStart w:id="604" w:name="_Toc245882745"/>
      <w:bookmarkStart w:id="605" w:name="_Toc1616"/>
      <w:bookmarkStart w:id="606" w:name="_Toc14651"/>
      <w:bookmarkStart w:id="607" w:name="_Toc7999028"/>
      <w:bookmarkStart w:id="608" w:name="_Toc7999155"/>
      <w:bookmarkStart w:id="609" w:name="_Toc29604_WPSOffice_Level2"/>
      <w:bookmarkStart w:id="610" w:name="_Toc8836369"/>
      <w:bookmarkStart w:id="611" w:name="_Toc17709296"/>
      <w:bookmarkStart w:id="612" w:name="_Toc17709410"/>
      <w:bookmarkStart w:id="613" w:name="_Toc22627"/>
      <w:bookmarkStart w:id="614" w:name="_Toc2796"/>
      <w:bookmarkStart w:id="615" w:name="_Toc31267"/>
      <w:bookmarkStart w:id="616" w:name="_Toc19445"/>
      <w:r>
        <w:rPr>
          <w:rFonts w:hint="default" w:ascii="Times New Roman" w:hAnsi="Times New Roman" w:cs="Times New Roman"/>
          <w:b/>
          <w:color w:val="auto"/>
          <w:sz w:val="30"/>
          <w:szCs w:val="30"/>
        </w:rPr>
        <w:t>4  环境</w:t>
      </w:r>
      <w:bookmarkEnd w:id="293"/>
      <w:bookmarkEnd w:id="294"/>
      <w:bookmarkEnd w:id="295"/>
      <w:bookmarkEnd w:id="296"/>
      <w:bookmarkEnd w:id="297"/>
      <w:bookmarkEnd w:id="298"/>
      <w:bookmarkEnd w:id="299"/>
      <w:bookmarkEnd w:id="300"/>
      <w:bookmarkEnd w:id="301"/>
      <w:bookmarkEnd w:id="302"/>
      <w:bookmarkEnd w:id="303"/>
      <w:bookmarkEnd w:id="304"/>
      <w:bookmarkEnd w:id="604"/>
      <w:r>
        <w:rPr>
          <w:rFonts w:hint="default" w:ascii="Times New Roman" w:hAnsi="Times New Roman" w:cs="Times New Roman"/>
          <w:b/>
          <w:color w:val="auto"/>
          <w:sz w:val="30"/>
          <w:szCs w:val="30"/>
        </w:rPr>
        <w:t>概况</w:t>
      </w:r>
      <w:bookmarkEnd w:id="605"/>
      <w:bookmarkEnd w:id="606"/>
      <w:bookmarkEnd w:id="607"/>
      <w:bookmarkEnd w:id="608"/>
      <w:bookmarkEnd w:id="609"/>
      <w:bookmarkEnd w:id="610"/>
      <w:bookmarkEnd w:id="611"/>
      <w:bookmarkEnd w:id="612"/>
    </w:p>
    <w:bookmarkEnd w:id="613"/>
    <w:bookmarkEnd w:id="614"/>
    <w:bookmarkEnd w:id="615"/>
    <w:bookmarkEnd w:id="616"/>
    <w:p>
      <w:pPr>
        <w:pStyle w:val="4"/>
        <w:adjustRightInd w:val="0"/>
        <w:snapToGrid w:val="0"/>
        <w:spacing w:line="360" w:lineRule="auto"/>
        <w:ind w:left="0" w:firstLine="0"/>
        <w:jc w:val="both"/>
        <w:rPr>
          <w:rFonts w:hint="default" w:ascii="Times New Roman" w:hAnsi="Times New Roman" w:cs="Times New Roman"/>
          <w:b/>
          <w:bCs/>
          <w:color w:val="auto"/>
          <w:sz w:val="28"/>
          <w:szCs w:val="28"/>
        </w:rPr>
      </w:pPr>
      <w:bookmarkStart w:id="617" w:name="_Toc27290"/>
      <w:bookmarkStart w:id="618" w:name="_Toc19353"/>
      <w:bookmarkStart w:id="619" w:name="_Toc9948"/>
      <w:bookmarkStart w:id="620" w:name="_Toc9872"/>
      <w:bookmarkStart w:id="621" w:name="_Toc13314"/>
      <w:bookmarkStart w:id="622" w:name="_Toc7999029"/>
      <w:bookmarkStart w:id="623" w:name="_Toc8836370"/>
      <w:bookmarkStart w:id="624" w:name="_Toc17709297"/>
      <w:bookmarkStart w:id="625" w:name="_Toc17709411"/>
      <w:r>
        <w:rPr>
          <w:rFonts w:hint="default" w:ascii="Times New Roman" w:hAnsi="Times New Roman" w:cs="Times New Roman"/>
          <w:b/>
          <w:bCs/>
          <w:color w:val="auto"/>
          <w:sz w:val="28"/>
          <w:szCs w:val="28"/>
        </w:rPr>
        <w:t>4.1自然环境概况</w:t>
      </w:r>
      <w:bookmarkEnd w:id="617"/>
      <w:bookmarkEnd w:id="618"/>
      <w:bookmarkEnd w:id="619"/>
      <w:bookmarkEnd w:id="620"/>
      <w:bookmarkEnd w:id="621"/>
      <w:bookmarkEnd w:id="622"/>
      <w:bookmarkEnd w:id="623"/>
      <w:bookmarkEnd w:id="624"/>
      <w:bookmarkEnd w:id="625"/>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626" w:name="_Toc12817"/>
      <w:bookmarkStart w:id="627" w:name="_Toc2246"/>
      <w:bookmarkStart w:id="628" w:name="_Toc2925"/>
      <w:bookmarkStart w:id="629" w:name="_Toc29238"/>
      <w:bookmarkStart w:id="630" w:name="_Toc7999030"/>
      <w:bookmarkStart w:id="631" w:name="_Toc17709412"/>
      <w:r>
        <w:rPr>
          <w:rFonts w:hint="default" w:ascii="Times New Roman" w:hAnsi="Times New Roman" w:cs="Times New Roman"/>
          <w:bCs w:val="0"/>
          <w:color w:val="auto"/>
          <w:sz w:val="24"/>
          <w:szCs w:val="24"/>
        </w:rPr>
        <w:t>4.1.1地理位置</w:t>
      </w:r>
      <w:bookmarkEnd w:id="626"/>
      <w:bookmarkEnd w:id="627"/>
      <w:bookmarkEnd w:id="628"/>
      <w:bookmarkEnd w:id="629"/>
      <w:bookmarkEnd w:id="630"/>
      <w:bookmarkEnd w:id="631"/>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鲁木齐市地处我国西北部，欧亚大陆中心腹地，属天山北麓准噶尔盆地南缘中段。东南两面隔山与吐鲁番地区和巴音郭楞蒙古自治州接壤，西北两面与昌吉回族自治州毗邻。地理坐标为东经86°37.33"-88°58.24",北纬42°45.32"-44°08.00"，地势东南高西北低，自然坡度12-15%，东、西、南三面为天山支脉环抱，东临天山主峰博格达峰、西面紧靠雅玛里克山，南依天山支脉喀拉乌成山，北面为平缓的冲积平原。全市总面积为11739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，城市规划控制面积1600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；中心城区面积82.5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。海拔680-920m。</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乌鲁木齐北天山欣欣矿业有限公司新疆达坂城柴窝堡杏树沟铜矿位于乌鲁木齐市115°方位、直距44km处，距达坂城区柴窝堡乡约31km，行政区划属乌鲁木齐市达坂城区管辖。</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矿区中心地理坐标：东经88°07′46″，北纬43°39′07″。</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矿区南西方向约31km为乌鲁木齐市达坂城区柴窝堡乡，有吐-乌-大高等级公路连接乌鲁木齐市和吐鲁番市；矿区至柴窝堡乡为土路，但相对平整，交通较为方便。具体位置详见项目地理位置图4.1-1。</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Cs w:val="0"/>
          <w:color w:val="auto"/>
          <w:sz w:val="24"/>
          <w:szCs w:val="24"/>
        </w:rPr>
      </w:pPr>
      <w:bookmarkStart w:id="632" w:name="_Toc32404"/>
      <w:bookmarkStart w:id="633" w:name="_Toc31875"/>
      <w:bookmarkStart w:id="634" w:name="_Toc1005"/>
      <w:bookmarkStart w:id="635" w:name="_Toc7412"/>
      <w:bookmarkStart w:id="636" w:name="_Toc7999031"/>
      <w:bookmarkStart w:id="637" w:name="_Toc17709413"/>
      <w:r>
        <w:rPr>
          <w:rFonts w:hint="default" w:ascii="Times New Roman" w:hAnsi="Times New Roman" w:cs="Times New Roman"/>
          <w:bCs w:val="0"/>
          <w:color w:val="auto"/>
          <w:sz w:val="24"/>
          <w:szCs w:val="24"/>
        </w:rPr>
        <w:t>4.1.2地形地貌</w:t>
      </w:r>
      <w:bookmarkEnd w:id="632"/>
      <w:bookmarkEnd w:id="633"/>
      <w:bookmarkEnd w:id="634"/>
      <w:bookmarkEnd w:id="635"/>
      <w:bookmarkEnd w:id="636"/>
      <w:bookmarkEnd w:id="637"/>
    </w:p>
    <w:p>
      <w:pPr>
        <w:autoSpaceDE w:val="0"/>
        <w:autoSpaceDN w:val="0"/>
        <w:adjustRightInd w:val="0"/>
        <w:spacing w:line="360" w:lineRule="auto"/>
        <w:ind w:firstLine="480" w:firstLineChars="200"/>
        <w:rPr>
          <w:rFonts w:hint="default" w:ascii="Times New Roman" w:hAnsi="Times New Roman" w:cs="Times New Roman"/>
          <w:color w:val="auto"/>
          <w:sz w:val="24"/>
        </w:rPr>
      </w:pPr>
      <w:bookmarkStart w:id="638" w:name="_Toc12212"/>
      <w:bookmarkStart w:id="639" w:name="_Toc31315"/>
      <w:bookmarkStart w:id="640" w:name="_Toc8153"/>
      <w:bookmarkStart w:id="641" w:name="_Toc25645"/>
      <w:bookmarkStart w:id="642" w:name="_Toc7999033"/>
      <w:bookmarkStart w:id="643" w:name="_Toc17709414"/>
      <w:r>
        <w:rPr>
          <w:rFonts w:hint="default" w:ascii="Times New Roman" w:hAnsi="Times New Roman" w:cs="Times New Roman"/>
          <w:color w:val="auto"/>
          <w:sz w:val="24"/>
        </w:rPr>
        <w:t>矿区处于乌鲁木齐市以东的天山带南坡，博格达峰西南部分，海拔1880m—2170m，相对高差200-300m，属中、高山地带，山势陡峻，地形切割大，山坡坡度27-37°左右，岩石裸露，沟谷狭窄，总体地势北高南低，切割剥蚀剧烈，地面坡向与岩层倾向多为斜交，植被较发育。</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矿区范围内西部发育有1条西东－东南走向的冲沟（N1)，为“V”型谷，长约8500m（矿区范围内长约850m），沟底宽10-60m，流域面积约300000m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沟谷纵坡坡度5-15°，流域相对高差约90m，沟谷内覆盖有第四系洪积物，厚度3-5m，植被覆盖率约50%，沟谷两侧山坡地形坡度27-37°左右，沟谷内无常年性流水，雨季可能形成短暂水流伴有间歇性洪水发生，水流畅通，陡坎、卡口不多，地表植被较发育。</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矿区范围内东部发育有1条北东－东南走向的冲沟（N2)，为“V”型谷，长约1000m，沟底宽10-40m，流域面积约26000m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沟谷纵坡坡度5-12°，流域相对高差约70m，沟谷内覆盖有第四系洪积物，厚度3-5m，植被覆盖率约50%，沟谷两侧山坡地形坡度20-35°左右，沟谷内无常年性流水，雨季可能形成短暂水流伴有间歇性洪水发生，水流畅通，陡坎、卡口不多，地表植被较发育。</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冲沟（N1)和冲沟（N2)在矿区南部交汇，形成一条冲沟，向南延伸出矿区。</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总体上，矿区及周边地区地形较复杂，地貌类型较单一。</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4.1.3气候特征</w:t>
      </w:r>
      <w:bookmarkEnd w:id="638"/>
      <w:bookmarkEnd w:id="639"/>
      <w:bookmarkEnd w:id="640"/>
      <w:bookmarkEnd w:id="641"/>
      <w:bookmarkEnd w:id="642"/>
      <w:bookmarkEnd w:id="643"/>
    </w:p>
    <w:p>
      <w:pPr>
        <w:autoSpaceDE w:val="0"/>
        <w:autoSpaceDN w:val="0"/>
        <w:adjustRightInd w:val="0"/>
        <w:spacing w:line="360" w:lineRule="auto"/>
        <w:ind w:firstLine="480" w:firstLineChars="200"/>
        <w:rPr>
          <w:rFonts w:hint="default" w:ascii="Times New Roman" w:hAnsi="Times New Roman" w:cs="Times New Roman"/>
          <w:color w:val="auto"/>
          <w:sz w:val="24"/>
        </w:rPr>
      </w:pPr>
      <w:bookmarkStart w:id="644" w:name="_Toc24526"/>
      <w:bookmarkStart w:id="645" w:name="_Toc8075"/>
      <w:bookmarkStart w:id="646" w:name="_Toc9674"/>
      <w:bookmarkStart w:id="647" w:name="_Toc22742"/>
      <w:bookmarkStart w:id="648" w:name="_Toc7999034"/>
      <w:bookmarkStart w:id="649" w:name="_Toc17709415"/>
      <w:r>
        <w:rPr>
          <w:rFonts w:hint="default" w:ascii="Times New Roman" w:hAnsi="Times New Roman" w:cs="Times New Roman"/>
          <w:color w:val="auto"/>
          <w:sz w:val="24"/>
        </w:rPr>
        <w:t>根据乌鲁木齐市气象局资料，矿区属寒冷、干旱型气候，年平均气温为2.5℃，全年最高气温40.3℃，最低气温达－28.7℃，矿区最低气温在每年的12、1和2月份。年平均降水量为38.4mm；年蒸发量3164.2mm，降雨多集中于春末到夏季7-8月份，每年10月中旬或月底开始降雪，来年3月融雪，冬季积雪厚15-50cm。矿区内5至7月为风季，多刮东北风，平均风速多在4.7m/s，最大风速10—14m/s。</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4.1.4区域水</w:t>
      </w:r>
      <w:bookmarkEnd w:id="644"/>
      <w:bookmarkEnd w:id="645"/>
      <w:bookmarkEnd w:id="646"/>
      <w:bookmarkEnd w:id="647"/>
      <w:bookmarkEnd w:id="648"/>
      <w:r>
        <w:rPr>
          <w:rFonts w:hint="default" w:ascii="Times New Roman" w:hAnsi="Times New Roman" w:cs="Times New Roman"/>
          <w:b/>
          <w:bCs/>
          <w:color w:val="auto"/>
          <w:sz w:val="24"/>
          <w:szCs w:val="24"/>
        </w:rPr>
        <w:t>文地质条件</w:t>
      </w:r>
      <w:bookmarkEnd w:id="649"/>
    </w:p>
    <w:p>
      <w:pPr>
        <w:spacing w:line="480" w:lineRule="exact"/>
        <w:ind w:firstLine="480" w:firstLineChars="200"/>
        <w:rPr>
          <w:rFonts w:hint="default" w:ascii="Times New Roman" w:hAnsi="Times New Roman" w:cs="Times New Roman"/>
          <w:color w:val="auto"/>
          <w:sz w:val="24"/>
        </w:rPr>
      </w:pPr>
      <w:bookmarkStart w:id="650" w:name="_Toc170869069"/>
      <w:bookmarkStart w:id="651" w:name="_Toc170970665"/>
      <w:bookmarkStart w:id="652" w:name="_Toc172698667"/>
      <w:bookmarkStart w:id="653" w:name="_Toc179522821"/>
      <w:bookmarkStart w:id="654" w:name="_Toc179653280"/>
      <w:bookmarkStart w:id="655" w:name="_Toc180891779"/>
      <w:bookmarkStart w:id="656" w:name="_Toc187800042"/>
      <w:bookmarkStart w:id="657" w:name="_Toc245882746"/>
      <w:bookmarkStart w:id="658" w:name="_Toc16582"/>
      <w:bookmarkStart w:id="659" w:name="_Toc6310"/>
      <w:bookmarkStart w:id="660" w:name="_Toc32571"/>
      <w:bookmarkStart w:id="661" w:name="_Toc877"/>
      <w:bookmarkStart w:id="662" w:name="_Toc3763"/>
      <w:bookmarkStart w:id="663" w:name="_Toc15975"/>
      <w:bookmarkStart w:id="664" w:name="_Toc31726"/>
      <w:bookmarkStart w:id="665" w:name="_Toc7999035"/>
      <w:bookmarkStart w:id="666" w:name="_Toc8836371"/>
      <w:bookmarkStart w:id="667" w:name="_Toc17709298"/>
      <w:bookmarkStart w:id="668" w:name="_Toc17709416"/>
      <w:r>
        <w:rPr>
          <w:rFonts w:hint="default" w:ascii="Times New Roman" w:hAnsi="Times New Roman" w:cs="Times New Roman"/>
          <w:color w:val="auto"/>
          <w:sz w:val="24"/>
        </w:rPr>
        <w:t>矿区内水系不发育，无地表水露头，偶遇强降雨时，雨水可汇集于矿区的冲沟内，形成间歇性流水。</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根据区内地质构造，地貌单元，地层岩性，地下水分布及埋藏特征区内地下水的含水层为基岩裂隙水。</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基岩裂隙水主要分布在矿床含水层风化裂隙带中，裂隙较细小，而且多位于风化带内，风化裂隙下限深者可达十余米，风化裂隙带下限以上为地下水的主要赋存带，风化基岩裂隙含水层因矿区，年降水量较小，蒸发量大，其补给条件差，其富水性弱。</w:t>
      </w:r>
    </w:p>
    <w:p>
      <w:pPr>
        <w:pStyle w:val="4"/>
        <w:keepNext/>
        <w:keepLines w:val="0"/>
        <w:pageBreakBefore w:val="0"/>
        <w:widowControl w:val="0"/>
        <w:kinsoku/>
        <w:wordWrap/>
        <w:overflowPunct/>
        <w:topLinePunct w:val="0"/>
        <w:autoSpaceDE/>
        <w:autoSpaceDN/>
        <w:bidi w:val="0"/>
        <w:adjustRightInd w:val="0"/>
        <w:snapToGrid w:val="0"/>
        <w:spacing w:before="157" w:beforeLines="50" w:line="360" w:lineRule="auto"/>
        <w:ind w:left="0" w:firstLine="0"/>
        <w:jc w:val="both"/>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4.2环境现状调查及评价</w:t>
      </w:r>
    </w:p>
    <w:p>
      <w:pPr>
        <w:pStyle w:val="19"/>
        <w:keepNext w:val="0"/>
        <w:keepLines w:val="0"/>
        <w:pageBreakBefore w:val="0"/>
        <w:widowControl w:val="0"/>
        <w:kinsoku/>
        <w:wordWrap/>
        <w:overflowPunct/>
        <w:topLinePunct w:val="0"/>
        <w:autoSpaceDE/>
        <w:autoSpaceDN/>
        <w:bidi w:val="0"/>
        <w:adjustRightInd/>
        <w:snapToGrid/>
        <w:spacing w:after="157" w:afterLines="50"/>
        <w:textAlignment w:val="auto"/>
        <w:rPr>
          <w:rFonts w:hint="default" w:ascii="Times New Roman" w:hAnsi="Times New Roman" w:cs="Times New Roman"/>
          <w:color w:val="auto"/>
        </w:rPr>
      </w:pPr>
      <w:r>
        <w:rPr>
          <w:rFonts w:hint="default" w:ascii="Times New Roman" w:hAnsi="Times New Roman" w:cs="Times New Roman"/>
          <w:bCs/>
          <w:color w:val="auto"/>
          <w:sz w:val="24"/>
          <w:lang w:eastAsia="zh-CN"/>
        </w:rPr>
        <w:t>监测点位详见附图</w:t>
      </w:r>
      <w:r>
        <w:rPr>
          <w:rFonts w:hint="default" w:ascii="Times New Roman" w:hAnsi="Times New Roman" w:cs="Times New Roman"/>
          <w:bCs/>
          <w:color w:val="auto"/>
          <w:sz w:val="24"/>
          <w:lang w:val="en-US" w:eastAsia="zh-CN"/>
        </w:rPr>
        <w:t>4.2-1</w:t>
      </w:r>
      <w:r>
        <w:rPr>
          <w:rFonts w:hint="default" w:ascii="Times New Roman" w:hAnsi="Times New Roman" w:cs="Times New Roman"/>
          <w:bCs/>
          <w:color w:val="auto"/>
          <w:sz w:val="24"/>
        </w:rPr>
        <w:t>。</w:t>
      </w:r>
    </w:p>
    <w:p>
      <w:pPr>
        <w:pStyle w:val="5"/>
        <w:keepLines w:val="0"/>
        <w:adjustRightInd w:val="0"/>
        <w:snapToGrid w:val="0"/>
        <w:spacing w:before="0" w:after="0"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4.2</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大气环境现状调查及评价</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widowControl/>
        <w:wordWrap w:val="0"/>
        <w:adjustRightInd w:val="0"/>
        <w:snapToGrid w:val="0"/>
        <w:spacing w:line="360" w:lineRule="auto"/>
        <w:ind w:firstLine="360"/>
        <w:jc w:val="left"/>
        <w:rPr>
          <w:rFonts w:hint="default" w:ascii="Times New Roman" w:hAnsi="Times New Roman" w:eastAsia="SimSun 宋体" w:cs="Times New Roman"/>
          <w:color w:val="auto"/>
          <w:kern w:val="0"/>
          <w:sz w:val="24"/>
        </w:rPr>
      </w:pPr>
      <w:bookmarkStart w:id="669" w:name="_Toc149680571"/>
      <w:bookmarkStart w:id="670" w:name="_Toc149680808"/>
      <w:bookmarkStart w:id="671" w:name="_Toc153689560"/>
      <w:bookmarkStart w:id="672" w:name="_Toc164774387"/>
      <w:bookmarkStart w:id="673" w:name="_Toc168317207"/>
      <w:bookmarkStart w:id="674" w:name="_Toc170869070"/>
      <w:bookmarkStart w:id="675" w:name="_Toc170970666"/>
      <w:bookmarkStart w:id="676" w:name="_Toc172698668"/>
      <w:bookmarkStart w:id="677" w:name="_Toc179522822"/>
      <w:bookmarkStart w:id="678" w:name="_Toc179653281"/>
      <w:bookmarkStart w:id="679" w:name="_Toc180891780"/>
      <w:bookmarkStart w:id="680" w:name="_Toc187800043"/>
      <w:bookmarkStart w:id="681" w:name="_Toc245882747"/>
      <w:bookmarkStart w:id="682" w:name="_Toc10713"/>
      <w:bookmarkStart w:id="683" w:name="_Toc14759"/>
      <w:bookmarkStart w:id="684" w:name="_Toc18924"/>
      <w:bookmarkStart w:id="685" w:name="_Toc1755"/>
      <w:bookmarkStart w:id="686" w:name="_Toc1530"/>
      <w:bookmarkStart w:id="687" w:name="_Toc4924"/>
      <w:bookmarkStart w:id="688" w:name="_Toc17435"/>
      <w:bookmarkStart w:id="689" w:name="_Toc7999039"/>
      <w:bookmarkStart w:id="690" w:name="_Toc8836372"/>
      <w:bookmarkStart w:id="691" w:name="_Toc17709299"/>
      <w:bookmarkStart w:id="692" w:name="_Toc17709418"/>
      <w:r>
        <w:rPr>
          <w:rFonts w:hint="default" w:ascii="Times New Roman" w:hAnsi="Times New Roman" w:eastAsia="SimSun 宋体" w:cs="Times New Roman"/>
          <w:color w:val="auto"/>
          <w:kern w:val="0"/>
          <w:sz w:val="24"/>
        </w:rPr>
        <w:t>根据《2017年新疆维吾尔自治区环境状况公报》：2017年，乌鲁木齐市环境空气质量优良天数为241天，占全年天数的66.0%，轻度、中度、重度、严重污染比列分别为14.8%、5.8%、9.6%、3.8%。空气可吸入颗粒物、细颗粒物、二氧化氮年均浓度超过国家二级标准，二氧化硫、一氧化碳、臭氧年均浓度达到国家二级标准。与2016年相比，优良天数比列减少1.2个百分点，可吸入颗粒物、细颗粒物、二氧化硫、二氧化氮和一氧化碳年均浓度分别下降7.8%、5.4%、7.1%、7.5%和6.7%，臭氧浓度同比上升19.7%。</w:t>
      </w:r>
    </w:p>
    <w:p>
      <w:pPr>
        <w:pStyle w:val="5"/>
        <w:keepLines w:val="0"/>
        <w:adjustRightInd w:val="0"/>
        <w:snapToGrid w:val="0"/>
        <w:spacing w:before="0" w:after="0"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w:t>
      </w:r>
      <w:bookmarkEnd w:id="669"/>
      <w:bookmarkEnd w:id="670"/>
      <w:bookmarkEnd w:id="671"/>
      <w:bookmarkEnd w:id="672"/>
      <w:bookmarkEnd w:id="673"/>
      <w:r>
        <w:rPr>
          <w:rFonts w:hint="default" w:ascii="Times New Roman" w:hAnsi="Times New Roman" w:cs="Times New Roman"/>
          <w:b/>
          <w:bCs/>
          <w:color w:val="auto"/>
          <w:sz w:val="24"/>
          <w:szCs w:val="24"/>
          <w:lang w:val="en-US" w:eastAsia="zh-CN"/>
        </w:rPr>
        <w:t>.2.2地下水环境现状调查与评价</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spacing w:line="360" w:lineRule="auto"/>
        <w:ind w:firstLine="480" w:firstLineChars="200"/>
        <w:rPr>
          <w:rFonts w:hint="default" w:ascii="Times New Roman" w:hAnsi="Times New Roman" w:cs="Times New Roman"/>
          <w:bCs/>
          <w:color w:val="auto"/>
          <w:sz w:val="24"/>
        </w:rPr>
      </w:pPr>
      <w:bookmarkStart w:id="693" w:name="_Toc149680572"/>
      <w:bookmarkStart w:id="694" w:name="_Toc149680809"/>
      <w:bookmarkStart w:id="695" w:name="_Toc153689561"/>
      <w:bookmarkStart w:id="696" w:name="_Toc164774388"/>
      <w:bookmarkStart w:id="697" w:name="_Toc168317208"/>
      <w:bookmarkStart w:id="698" w:name="_Toc179653282"/>
      <w:bookmarkStart w:id="699" w:name="_Toc180891781"/>
      <w:bookmarkStart w:id="700" w:name="_Toc187800044"/>
      <w:bookmarkStart w:id="701" w:name="_Toc245882748"/>
      <w:bookmarkStart w:id="702" w:name="_Toc170869071"/>
      <w:bookmarkStart w:id="703" w:name="_Toc170970667"/>
      <w:bookmarkStart w:id="704" w:name="_Toc172698669"/>
      <w:bookmarkStart w:id="705" w:name="_Toc179522823"/>
      <w:r>
        <w:rPr>
          <w:rFonts w:hint="default" w:ascii="Times New Roman" w:hAnsi="Times New Roman" w:cs="Times New Roman"/>
          <w:bCs/>
          <w:color w:val="auto"/>
          <w:sz w:val="24"/>
        </w:rPr>
        <w:t>（1）监测单位、时间及监测点位</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监测单位：新疆天辰环境技术有限公司</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监测时间：2019年7月2日</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监测点位：由于评价区位于山区，地下水为基岩裂隙水，本次水质监测目的主要是了解评价区内基岩裂隙水水质现状，对现状水质进行评价。根据《环境影响评价技术导则地下水环境》（HJ 610-2016），本次水质现状监测点设置1个点</w:t>
      </w:r>
      <w:r>
        <w:rPr>
          <w:rFonts w:hint="default" w:ascii="Times New Roman" w:hAnsi="Times New Roman" w:cs="Times New Roman"/>
          <w:bCs/>
          <w:color w:val="auto"/>
          <w:sz w:val="24"/>
          <w:lang w:val="en-US" w:eastAsia="zh-CN"/>
        </w:rPr>
        <w:t>(矿区地下水井)</w:t>
      </w:r>
      <w:r>
        <w:rPr>
          <w:rFonts w:hint="default" w:ascii="Times New Roman" w:hAnsi="Times New Roman" w:cs="Times New Roman"/>
          <w:bCs/>
          <w:color w:val="auto"/>
          <w:sz w:val="24"/>
        </w:rPr>
        <w:t>，对区内基岩裂隙水进行地下水水质监测</w:t>
      </w:r>
      <w:r>
        <w:rPr>
          <w:rFonts w:hint="default" w:ascii="Times New Roman" w:hAnsi="Times New Roman" w:cs="Times New Roman"/>
          <w:bCs/>
          <w:color w:val="auto"/>
          <w:sz w:val="24"/>
          <w:lang w:eastAsia="zh-CN"/>
        </w:rPr>
        <w:t>。</w:t>
      </w:r>
    </w:p>
    <w:p>
      <w:pPr>
        <w:pStyle w:val="378"/>
        <w:snapToGrid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（2）评价标准</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本次评价采用《地下水质量标准》（GB/T14848-2017）中Ⅲ类标准。</w:t>
      </w:r>
    </w:p>
    <w:p>
      <w:pPr>
        <w:spacing w:line="360" w:lineRule="auto"/>
        <w:rPr>
          <w:rFonts w:hint="default" w:ascii="Times New Roman" w:hAnsi="Times New Roman" w:cs="Times New Roman"/>
          <w:bCs/>
          <w:color w:val="auto"/>
          <w:sz w:val="24"/>
        </w:rPr>
      </w:pPr>
      <w:r>
        <w:rPr>
          <w:rFonts w:hint="default" w:ascii="Times New Roman" w:hAnsi="Times New Roman" w:cs="Times New Roman"/>
          <w:bCs/>
          <w:color w:val="auto"/>
          <w:sz w:val="24"/>
        </w:rPr>
        <w:t>（3）评价方法</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采用标准指数法对地下水现状进行评价。</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公式如下：</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position w:val="-12"/>
        </w:rPr>
        <w:object>
          <v:shape id="_x0000_i1026" o:spt="75" type="#_x0000_t75" style="height:18pt;width:69pt;" o:ole="t" filled="f" stroked="f" coordsize="21600,21600">
            <v:path/>
            <v:fill on="f" focussize="0,0"/>
            <v:stroke on="f"/>
            <v:imagedata r:id="rId13" o:title=""/>
            <o:lock v:ext="edit" aspectratio="t"/>
            <w10:wrap type="none"/>
            <w10:anchorlock/>
          </v:shape>
          <o:OLEObject Type="Embed" ProgID="Equation.DSMT4" ShapeID="_x0000_i1026" DrawAspect="Content" ObjectID="_1468075725" r:id="rId12">
            <o:LockedField>false</o:LockedField>
          </o:OLEObject>
        </w:objec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式中：S</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—i污染物单因子标准指数（无量纲）；</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—i污染物的实测浓度均值 mg/l；</w:t>
      </w:r>
    </w:p>
    <w:p>
      <w:pPr>
        <w:spacing w:line="360" w:lineRule="auto"/>
        <w:ind w:firstLine="1420" w:firstLineChars="592"/>
        <w:rPr>
          <w:rFonts w:hint="default" w:ascii="Times New Roman" w:hAnsi="Times New Roman" w:cs="Times New Roman"/>
          <w:color w:val="auto"/>
          <w:sz w:val="24"/>
        </w:rPr>
      </w:pPr>
      <w:r>
        <w:rPr>
          <w:rFonts w:hint="default" w:ascii="Times New Roman" w:hAnsi="Times New Roman" w:cs="Times New Roman"/>
          <w:color w:val="auto"/>
          <w:sz w:val="24"/>
        </w:rPr>
        <w:t>Csi—i污染物评价标准值 mg/l。</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pH值标准指数模式为：</w:t>
      </w:r>
    </w:p>
    <w:p>
      <w:pPr>
        <w:pStyle w:val="378"/>
        <w:snapToGrid w:val="0"/>
        <w:ind w:firstLine="1800" w:firstLineChars="750"/>
        <w:rPr>
          <w:rFonts w:hint="default" w:ascii="Times New Roman" w:hAnsi="Times New Roman" w:cs="Times New Roman"/>
          <w:color w:val="auto"/>
        </w:rPr>
      </w:pPr>
      <w:r>
        <w:rPr>
          <w:rFonts w:hint="default" w:ascii="Times New Roman" w:hAnsi="Times New Roman" w:cs="Times New Roman"/>
          <w:color w:val="auto"/>
        </w:rPr>
        <w:object>
          <v:shape id="_x0000_i1027" o:spt="75" type="#_x0000_t75" style="height:15.75pt;width:24pt;" o:ole="t" fillcolor="#808080"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6" r:id="rId14">
            <o:LockedField>false</o:LockedField>
          </o:OLEObject>
        </w:object>
      </w:r>
      <w:r>
        <w:rPr>
          <w:rFonts w:hint="default" w:ascii="Times New Roman" w:hAnsi="Times New Roman" w:cs="Times New Roman"/>
          <w:color w:val="auto"/>
        </w:rPr>
        <w:t>≤7.0时：</w:t>
      </w:r>
      <w:r>
        <w:rPr>
          <w:rFonts w:hint="default" w:ascii="Times New Roman" w:hAnsi="Times New Roman" w:cs="Times New Roman"/>
          <w:color w:val="auto"/>
        </w:rPr>
        <w:object>
          <v:shape id="_x0000_i1028" o:spt="75" type="#_x0000_t75" style="height:34pt;width:96pt;" o:ole="t" filled="f" stroked="f" coordsize="21600,21600">
            <v:path/>
            <v:fill on="f" focussize="0,0"/>
            <v:stroke on="f"/>
            <v:imagedata r:id="rId17" o:title=""/>
            <o:lock v:ext="edit" aspectratio="t"/>
            <w10:wrap type="none"/>
            <w10:anchorlock/>
          </v:shape>
          <o:OLEObject Type="Embed" ProgID="Equation.DSMT4" ShapeID="_x0000_i1028" DrawAspect="Content" ObjectID="_1468075727" r:id="rId16">
            <o:LockedField>false</o:LockedField>
          </o:OLEObject>
        </w:object>
      </w:r>
      <w:r>
        <w:rPr>
          <w:rFonts w:hint="default" w:ascii="Times New Roman" w:hAnsi="Times New Roman" w:cs="Times New Roman"/>
          <w:color w:val="auto"/>
        </w:rPr>
        <w:t xml:space="preserve"> </w:t>
      </w:r>
    </w:p>
    <w:p>
      <w:pPr>
        <w:spacing w:line="540" w:lineRule="atLeast"/>
        <w:ind w:firstLine="1800" w:firstLineChars="750"/>
        <w:rPr>
          <w:rFonts w:hint="default" w:ascii="Times New Roman" w:hAnsi="Times New Roman" w:cs="Times New Roman"/>
          <w:color w:val="auto"/>
          <w:sz w:val="24"/>
        </w:rPr>
      </w:pPr>
      <w:r>
        <w:rPr>
          <w:rFonts w:hint="default" w:ascii="Times New Roman" w:hAnsi="Times New Roman" w:cs="Times New Roman"/>
          <w:color w:val="auto"/>
          <w:position w:val="-10"/>
          <w:sz w:val="24"/>
        </w:rPr>
        <w:object>
          <v:shape id="_x0000_i1029" o:spt="75" type="#_x0000_t75" style="height:15.75pt;width:24pt;" o:ole="t" fillcolor="#808080"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8" r:id="rId18">
            <o:LockedField>false</o:LockedField>
          </o:OLEObject>
        </w:object>
      </w:r>
      <w:r>
        <w:rPr>
          <w:rFonts w:hint="default" w:ascii="Times New Roman" w:hAnsi="Times New Roman" w:cs="Times New Roman"/>
          <w:color w:val="auto"/>
          <w:sz w:val="24"/>
        </w:rPr>
        <w:t>＞7.0时：</w:t>
      </w:r>
      <w:r>
        <w:rPr>
          <w:rFonts w:hint="default" w:ascii="Times New Roman" w:hAnsi="Times New Roman" w:cs="Times New Roman"/>
          <w:color w:val="auto"/>
          <w:position w:val="-30"/>
        </w:rPr>
        <w:object>
          <v:shape id="_x0000_i1030" o:spt="75" type="#_x0000_t75" style="height:34pt;width:96pt;" o:ole="t" filled="f" stroked="f" coordsize="21600,21600">
            <v:path/>
            <v:fill on="f" focussize="0,0"/>
            <v:stroke on="f"/>
            <v:imagedata r:id="rId21" o:title=""/>
            <o:lock v:ext="edit" aspectratio="t"/>
            <w10:wrap type="none"/>
            <w10:anchorlock/>
          </v:shape>
          <o:OLEObject Type="Embed" ProgID="Equation.DSMT4" ShapeID="_x0000_i1030" DrawAspect="Content" ObjectID="_1468075729" r:id="rId20">
            <o:LockedField>false</o:LockedField>
          </o:OLEObject>
        </w:object>
      </w:r>
      <w:r>
        <w:rPr>
          <w:rFonts w:hint="default" w:ascii="Times New Roman" w:hAnsi="Times New Roman" w:cs="Times New Roman"/>
          <w:color w:val="auto"/>
          <w:sz w:val="24"/>
        </w:rPr>
        <w:t xml:space="preserve"> </w:t>
      </w:r>
    </w:p>
    <w:p>
      <w:pPr>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式中：S</w:t>
      </w:r>
      <w:r>
        <w:rPr>
          <w:rFonts w:hint="default" w:ascii="Times New Roman" w:hAnsi="Times New Roman" w:cs="Times New Roman"/>
          <w:bCs/>
          <w:color w:val="auto"/>
          <w:sz w:val="24"/>
          <w:vertAlign w:val="subscript"/>
        </w:rPr>
        <w:t>pH</w:t>
      </w:r>
      <w:r>
        <w:rPr>
          <w:rFonts w:hint="default" w:ascii="Times New Roman" w:hAnsi="Times New Roman" w:cs="Times New Roman"/>
          <w:bCs/>
          <w:color w:val="auto"/>
          <w:sz w:val="24"/>
        </w:rPr>
        <w:t>—pH值评价指数</w:t>
      </w:r>
      <w:r>
        <w:rPr>
          <w:rFonts w:hint="default" w:ascii="Times New Roman" w:hAnsi="Times New Roman" w:cs="Times New Roman"/>
          <w:color w:val="auto"/>
          <w:sz w:val="24"/>
        </w:rPr>
        <w:t>（无量纲）</w:t>
      </w:r>
      <w:r>
        <w:rPr>
          <w:rFonts w:hint="default" w:ascii="Times New Roman" w:hAnsi="Times New Roman" w:cs="Times New Roman"/>
          <w:bCs/>
          <w:color w:val="auto"/>
          <w:sz w:val="24"/>
        </w:rPr>
        <w:t>；</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—i点实测pH值；</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sd</w:t>
      </w:r>
      <w:r>
        <w:rPr>
          <w:rFonts w:hint="default" w:ascii="Times New Roman" w:hAnsi="Times New Roman" w:cs="Times New Roman"/>
          <w:color w:val="auto"/>
          <w:sz w:val="24"/>
        </w:rPr>
        <w:t>—标准中pH的下限值；</w:t>
      </w:r>
    </w:p>
    <w:p>
      <w:pPr>
        <w:spacing w:line="360" w:lineRule="auto"/>
        <w:ind w:left="239" w:leftChars="114"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su</w:t>
      </w:r>
      <w:r>
        <w:rPr>
          <w:rFonts w:hint="default" w:ascii="Times New Roman" w:hAnsi="Times New Roman" w:cs="Times New Roman"/>
          <w:color w:val="auto"/>
          <w:sz w:val="24"/>
        </w:rPr>
        <w:t>—标准中pH的上限值。</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（4）监测数据和评价结果</w:t>
      </w:r>
    </w:p>
    <w:p>
      <w:pPr>
        <w:spacing w:line="360" w:lineRule="auto"/>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cs="Times New Roman"/>
          <w:bCs/>
          <w:color w:val="auto"/>
          <w:sz w:val="24"/>
        </w:rPr>
        <w:t>区域地下水监测结果统计见表4.</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bidi="ar"/>
        </w:rPr>
        <w:t>表4.</w:t>
      </w:r>
      <w:r>
        <w:rPr>
          <w:rFonts w:hint="default" w:ascii="Times New Roman" w:hAnsi="Times New Roman" w:eastAsia="黑体" w:cs="Times New Roman"/>
          <w:color w:val="auto"/>
          <w:szCs w:val="21"/>
          <w:lang w:val="en-US" w:eastAsia="zh-CN" w:bidi="ar"/>
        </w:rPr>
        <w:t>2</w:t>
      </w:r>
      <w:r>
        <w:rPr>
          <w:rFonts w:hint="default" w:ascii="Times New Roman" w:hAnsi="Times New Roman" w:eastAsia="黑体" w:cs="Times New Roman"/>
          <w:color w:val="auto"/>
          <w:szCs w:val="21"/>
          <w:lang w:bidi="ar"/>
        </w:rPr>
        <w:t>-</w:t>
      </w:r>
      <w:r>
        <w:rPr>
          <w:rFonts w:hint="default" w:ascii="Times New Roman" w:hAnsi="Times New Roman" w:eastAsia="黑体" w:cs="Times New Roman"/>
          <w:color w:val="auto"/>
          <w:szCs w:val="21"/>
          <w:lang w:val="en-US" w:eastAsia="zh-CN" w:bidi="ar"/>
        </w:rPr>
        <w:t>1</w:t>
      </w:r>
      <w:r>
        <w:rPr>
          <w:rFonts w:hint="default" w:ascii="Times New Roman" w:hAnsi="Times New Roman" w:eastAsia="黑体" w:cs="Times New Roman"/>
          <w:color w:val="auto"/>
          <w:szCs w:val="21"/>
          <w:lang w:bidi="ar"/>
        </w:rPr>
        <w:t xml:space="preserve">  地下水水质监测结果</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7"/>
        <w:gridCol w:w="1174"/>
        <w:gridCol w:w="1133"/>
        <w:gridCol w:w="709"/>
        <w:gridCol w:w="1132"/>
        <w:gridCol w:w="1277"/>
        <w:gridCol w:w="1133"/>
        <w:gridCol w:w="6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83" w:hRule="atLeast"/>
          <w:jc w:val="center"/>
        </w:trPr>
        <w:tc>
          <w:tcPr>
            <w:tcW w:w="790"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检测项目</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限值</w:t>
            </w:r>
          </w:p>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（mg/L）</w:t>
            </w:r>
          </w:p>
        </w:tc>
        <w:tc>
          <w:tcPr>
            <w:tcW w:w="664"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监测值</w:t>
            </w:r>
          </w:p>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（mg/L）</w:t>
            </w:r>
          </w:p>
        </w:tc>
        <w:tc>
          <w:tcPr>
            <w:tcW w:w="415" w:type="pct"/>
            <w:noWrap w:val="0"/>
            <w:vAlign w:val="center"/>
          </w:tcPr>
          <w:p>
            <w:pPr>
              <w:snapToGrid w:val="0"/>
              <w:ind w:left="72"/>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bidi="ar"/>
              </w:rPr>
              <w:t>Pi</w:t>
            </w:r>
          </w:p>
        </w:tc>
        <w:tc>
          <w:tcPr>
            <w:tcW w:w="664"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检测项目</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限值</w:t>
            </w:r>
          </w:p>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（mg/L）</w:t>
            </w:r>
          </w:p>
        </w:tc>
        <w:tc>
          <w:tcPr>
            <w:tcW w:w="664"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监测值</w:t>
            </w:r>
          </w:p>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（mg/L）</w:t>
            </w:r>
          </w:p>
        </w:tc>
        <w:tc>
          <w:tcPr>
            <w:tcW w:w="362" w:type="pct"/>
            <w:noWrap w:val="0"/>
            <w:vAlign w:val="center"/>
          </w:tcPr>
          <w:p>
            <w:pPr>
              <w:snapToGrid w:val="0"/>
              <w:ind w:left="72"/>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bidi="ar"/>
              </w:rPr>
              <w:t>Pi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color w:val="auto"/>
                <w:sz w:val="24"/>
              </w:rPr>
              <w:t>pH</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6.5～8.5</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7.7</w:t>
            </w:r>
          </w:p>
        </w:tc>
        <w:tc>
          <w:tcPr>
            <w:tcW w:w="415" w:type="pct"/>
            <w:noWrap w:val="0"/>
            <w:vAlign w:val="center"/>
          </w:tcPr>
          <w:p>
            <w:pPr>
              <w:snapToGrid w:val="0"/>
              <w:ind w:left="7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0.47</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铁</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≤0.3</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&lt;0.03</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240" w:lineRule="exact"/>
              <w:jc w:val="center"/>
              <w:rPr>
                <w:rFonts w:hint="default" w:ascii="Times New Roman" w:hAnsi="Times New Roman" w:cs="Times New Roman"/>
                <w:bCs/>
                <w:color w:val="auto"/>
                <w:sz w:val="18"/>
                <w:szCs w:val="18"/>
              </w:rPr>
            </w:pPr>
            <w:r>
              <w:rPr>
                <w:rFonts w:hint="default" w:ascii="Times New Roman" w:hAnsi="Times New Roman" w:eastAsia="宋体" w:cs="Times New Roman"/>
                <w:color w:val="auto"/>
                <w:sz w:val="18"/>
                <w:szCs w:val="18"/>
              </w:rPr>
              <w:t>溶解性总固体</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≤1000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411</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0.41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砷</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0.0005</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24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2"/>
                <w:szCs w:val="22"/>
              </w:rPr>
              <w:t>挥发性酚类</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≤0.002</w:t>
            </w:r>
          </w:p>
        </w:tc>
        <w:tc>
          <w:tcPr>
            <w:tcW w:w="664" w:type="pct"/>
            <w:noWrap w:val="0"/>
            <w:vAlign w:val="center"/>
          </w:tcPr>
          <w:p>
            <w:pPr>
              <w:spacing w:line="16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0.0008</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0.40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汞</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≤0.001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&lt;0.00004</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240" w:lineRule="exact"/>
              <w:jc w:val="center"/>
              <w:rPr>
                <w:rFonts w:hint="default" w:ascii="Times New Roman" w:hAnsi="Times New Roman" w:cs="Times New Roman"/>
                <w:bCs/>
                <w:color w:val="auto"/>
                <w:sz w:val="20"/>
                <w:szCs w:val="20"/>
              </w:rPr>
            </w:pPr>
            <w:r>
              <w:rPr>
                <w:rFonts w:hint="default" w:ascii="Times New Roman" w:hAnsi="Times New Roman" w:eastAsia="宋体" w:cs="Times New Roman"/>
                <w:color w:val="auto"/>
                <w:sz w:val="22"/>
                <w:szCs w:val="22"/>
              </w:rPr>
              <w:t>氰化物</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≤0.05</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&lt;0.004</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0.08 </w:t>
            </w:r>
          </w:p>
        </w:tc>
        <w:tc>
          <w:tcPr>
            <w:tcW w:w="664" w:type="pct"/>
            <w:noWrap w:val="0"/>
            <w:vAlign w:val="center"/>
          </w:tcPr>
          <w:p>
            <w:pPr>
              <w:spacing w:line="240" w:lineRule="exact"/>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color w:val="auto"/>
                <w:sz w:val="22"/>
                <w:szCs w:val="22"/>
              </w:rPr>
              <w:t>氨氮</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≤0.50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0.319</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0.64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铬（六价）</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≤0.05</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0.004</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0.08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铅</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&lt;0.0025</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30" w:hRule="atLeast"/>
          <w:jc w:val="center"/>
        </w:trPr>
        <w:tc>
          <w:tcPr>
            <w:tcW w:w="790" w:type="pct"/>
            <w:noWrap w:val="0"/>
            <w:vAlign w:val="center"/>
          </w:tcPr>
          <w:p>
            <w:pPr>
              <w:spacing w:line="240" w:lineRule="exact"/>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color w:val="auto"/>
                <w:sz w:val="22"/>
                <w:szCs w:val="22"/>
              </w:rPr>
              <w:t>氯化物</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≤250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26</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0.10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铜</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&lt;0.02</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cs="Times New Roman"/>
                <w:bCs/>
                <w:color w:val="auto"/>
                <w:sz w:val="20"/>
                <w:szCs w:val="20"/>
              </w:rPr>
            </w:pPr>
            <w:r>
              <w:rPr>
                <w:rFonts w:hint="default" w:ascii="Times New Roman" w:hAnsi="Times New Roman" w:eastAsia="宋体" w:cs="Times New Roman"/>
                <w:color w:val="auto"/>
                <w:sz w:val="22"/>
                <w:szCs w:val="22"/>
              </w:rPr>
              <w:t>硫酸盐</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≤250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177</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0.71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锌</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≤0.10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&lt;0.05</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cs="Times New Roman"/>
                <w:bCs/>
                <w:color w:val="auto"/>
                <w:sz w:val="20"/>
                <w:szCs w:val="20"/>
              </w:rPr>
            </w:pPr>
            <w:r>
              <w:rPr>
                <w:rFonts w:hint="default" w:ascii="Times New Roman" w:hAnsi="Times New Roman" w:eastAsia="宋体" w:cs="Times New Roman"/>
                <w:color w:val="auto"/>
                <w:sz w:val="22"/>
                <w:szCs w:val="22"/>
              </w:rPr>
              <w:t>硝酸盐氮</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≤20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2.07</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0.10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锰</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&lt;0.01</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亚硝酸盐氮</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≤1.00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&lt;0.003</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0.00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镉</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≤0.005</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&lt;0.0005</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耗氧量</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1.3</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0.43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氟化物</w:t>
            </w: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0.25</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总大肠菌群</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≤3.0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&lt;2</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0.67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总硬度</w:t>
            </w:r>
          </w:p>
        </w:tc>
        <w:tc>
          <w:tcPr>
            <w:tcW w:w="749" w:type="pct"/>
            <w:noWrap w:val="0"/>
            <w:vAlign w:val="center"/>
          </w:tcPr>
          <w:p>
            <w:pPr>
              <w:snapToGrid w:val="0"/>
              <w:ind w:left="72"/>
              <w:jc w:val="center"/>
              <w:rPr>
                <w:rFonts w:hint="default" w:ascii="Times New Roman" w:hAnsi="Times New Roman" w:cs="Times New Roman"/>
                <w:color w:val="auto"/>
                <w:szCs w:val="21"/>
                <w:lang w:bidi="ar"/>
              </w:rPr>
            </w:pPr>
            <w:r>
              <w:rPr>
                <w:rFonts w:hint="default" w:ascii="Times New Roman" w:hAnsi="Times New Roman" w:eastAsia="宋体" w:cs="Times New Roman"/>
                <w:color w:val="auto"/>
                <w:szCs w:val="21"/>
                <w:lang w:bidi="ar"/>
              </w:rPr>
              <w:t>≤450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226</w:t>
            </w:r>
          </w:p>
        </w:tc>
        <w:tc>
          <w:tcPr>
            <w:tcW w:w="362"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340" w:hRule="atLeast"/>
          <w:jc w:val="center"/>
        </w:trPr>
        <w:tc>
          <w:tcPr>
            <w:tcW w:w="790" w:type="pct"/>
            <w:noWrap w:val="0"/>
            <w:vAlign w:val="center"/>
          </w:tcPr>
          <w:p>
            <w:pPr>
              <w:spacing w:line="160" w:lineRule="atLeas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菌落总数</w:t>
            </w:r>
          </w:p>
        </w:tc>
        <w:tc>
          <w:tcPr>
            <w:tcW w:w="688" w:type="pct"/>
            <w:noWrap w:val="0"/>
            <w:vAlign w:val="center"/>
          </w:tcPr>
          <w:p>
            <w:pPr>
              <w:snapToGrid w:val="0"/>
              <w:ind w:left="72"/>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≤100</w:t>
            </w: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w:t>
            </w:r>
          </w:p>
        </w:tc>
        <w:tc>
          <w:tcPr>
            <w:tcW w:w="415" w:type="pct"/>
            <w:noWrap w:val="0"/>
            <w:vAlign w:val="center"/>
          </w:tcPr>
          <w:p>
            <w:pPr>
              <w:jc w:val="right"/>
              <w:rPr>
                <w:rFonts w:hint="default" w:ascii="Times New Roman" w:hAnsi="Times New Roman" w:eastAsia="宋体" w:cs="Times New Roman"/>
                <w:color w:val="auto"/>
                <w:sz w:val="22"/>
                <w:szCs w:val="22"/>
              </w:rPr>
            </w:pPr>
            <w:r>
              <w:rPr>
                <w:rFonts w:hint="default" w:ascii="Times New Roman" w:hAnsi="Times New Roman" w:cs="Times New Roman"/>
                <w:color w:val="auto"/>
                <w:sz w:val="22"/>
                <w:szCs w:val="22"/>
              </w:rPr>
              <w:t xml:space="preserve">0.06 </w:t>
            </w:r>
          </w:p>
        </w:tc>
        <w:tc>
          <w:tcPr>
            <w:tcW w:w="664" w:type="pct"/>
            <w:noWrap w:val="0"/>
            <w:vAlign w:val="center"/>
          </w:tcPr>
          <w:p>
            <w:pPr>
              <w:spacing w:line="160" w:lineRule="atLeast"/>
              <w:jc w:val="center"/>
              <w:rPr>
                <w:rFonts w:hint="default" w:ascii="Times New Roman" w:hAnsi="Times New Roman" w:eastAsia="宋体" w:cs="Times New Roman"/>
                <w:color w:val="auto"/>
                <w:sz w:val="22"/>
                <w:szCs w:val="22"/>
              </w:rPr>
            </w:pPr>
          </w:p>
        </w:tc>
        <w:tc>
          <w:tcPr>
            <w:tcW w:w="749" w:type="pct"/>
            <w:noWrap w:val="0"/>
            <w:vAlign w:val="center"/>
          </w:tcPr>
          <w:p>
            <w:pPr>
              <w:snapToGrid w:val="0"/>
              <w:ind w:left="72"/>
              <w:jc w:val="center"/>
              <w:rPr>
                <w:rFonts w:hint="default" w:ascii="Times New Roman" w:hAnsi="Times New Roman" w:eastAsia="宋体" w:cs="Times New Roman"/>
                <w:color w:val="auto"/>
                <w:szCs w:val="21"/>
                <w:lang w:bidi="ar"/>
              </w:rPr>
            </w:pPr>
          </w:p>
        </w:tc>
        <w:tc>
          <w:tcPr>
            <w:tcW w:w="664" w:type="pct"/>
            <w:noWrap w:val="0"/>
            <w:vAlign w:val="center"/>
          </w:tcPr>
          <w:p>
            <w:pPr>
              <w:spacing w:line="160" w:lineRule="atLeast"/>
              <w:jc w:val="center"/>
              <w:rPr>
                <w:rFonts w:hint="default" w:ascii="Times New Roman" w:hAnsi="Times New Roman" w:eastAsia="宋体" w:cs="Times New Roman"/>
                <w:bCs/>
                <w:color w:val="auto"/>
                <w:szCs w:val="21"/>
              </w:rPr>
            </w:pPr>
          </w:p>
        </w:tc>
        <w:tc>
          <w:tcPr>
            <w:tcW w:w="362" w:type="pct"/>
            <w:noWrap w:val="0"/>
            <w:vAlign w:val="center"/>
          </w:tcPr>
          <w:p>
            <w:pPr>
              <w:jc w:val="right"/>
              <w:rPr>
                <w:rFonts w:hint="default" w:ascii="Times New Roman" w:hAnsi="Times New Roman" w:eastAsia="宋体" w:cs="Times New Roman"/>
                <w:color w:val="auto"/>
                <w:sz w:val="22"/>
                <w:szCs w:val="22"/>
              </w:rPr>
            </w:pP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由地下水现状监测及评价结果可知，项目区地下水井监测指标中所有监测指标符合《地下水质量标准》（GB/T14848-2017）表中Ⅲ类标准，说明项目区地下水质较好。</w:t>
      </w:r>
    </w:p>
    <w:bookmarkEnd w:id="693"/>
    <w:bookmarkEnd w:id="694"/>
    <w:bookmarkEnd w:id="695"/>
    <w:bookmarkEnd w:id="696"/>
    <w:bookmarkEnd w:id="697"/>
    <w:p>
      <w:pPr>
        <w:pStyle w:val="5"/>
        <w:keepLines w:val="0"/>
        <w:adjustRightInd w:val="0"/>
        <w:snapToGrid w:val="0"/>
        <w:spacing w:before="0" w:after="0" w:line="360" w:lineRule="auto"/>
        <w:rPr>
          <w:rFonts w:hint="default" w:ascii="Times New Roman" w:hAnsi="Times New Roman" w:cs="Times New Roman"/>
          <w:b/>
          <w:bCs/>
          <w:color w:val="auto"/>
          <w:sz w:val="24"/>
          <w:szCs w:val="24"/>
          <w:lang w:val="en-US" w:eastAsia="zh-CN"/>
        </w:rPr>
      </w:pPr>
      <w:bookmarkStart w:id="706" w:name="_Toc27961"/>
      <w:bookmarkStart w:id="707" w:name="_Toc29557"/>
      <w:bookmarkStart w:id="708" w:name="_Toc9471"/>
      <w:bookmarkStart w:id="709" w:name="_Toc24286"/>
      <w:bookmarkStart w:id="710" w:name="_Toc2668"/>
      <w:bookmarkStart w:id="711" w:name="_Toc15515"/>
      <w:bookmarkStart w:id="712" w:name="_Toc1833"/>
      <w:bookmarkStart w:id="713" w:name="_Toc7999042"/>
      <w:bookmarkStart w:id="714" w:name="_Toc8836373"/>
      <w:bookmarkStart w:id="715" w:name="_Toc17709300"/>
      <w:bookmarkStart w:id="716" w:name="_Toc17709421"/>
      <w:r>
        <w:rPr>
          <w:rFonts w:hint="default" w:ascii="Times New Roman" w:hAnsi="Times New Roman" w:cs="Times New Roman"/>
          <w:b/>
          <w:bCs/>
          <w:color w:val="auto"/>
          <w:sz w:val="24"/>
          <w:szCs w:val="24"/>
          <w:lang w:val="en-US" w:eastAsia="zh-CN"/>
        </w:rPr>
        <w:t>4.2.3声环境现状调查与评价</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spacing w:line="360" w:lineRule="auto"/>
        <w:ind w:firstLine="480" w:firstLineChars="200"/>
        <w:rPr>
          <w:rFonts w:hint="default" w:ascii="Times New Roman" w:hAnsi="Times New Roman" w:cs="Times New Roman"/>
          <w:bCs/>
          <w:color w:val="auto"/>
          <w:sz w:val="24"/>
        </w:rPr>
      </w:pPr>
      <w:bookmarkStart w:id="717" w:name="_Toc31343"/>
      <w:bookmarkStart w:id="718" w:name="_Toc8187"/>
      <w:bookmarkStart w:id="719" w:name="_Toc15609"/>
      <w:bookmarkStart w:id="720" w:name="_Toc14003"/>
      <w:bookmarkStart w:id="721" w:name="_Toc7999043"/>
      <w:bookmarkStart w:id="722" w:name="_Toc17709422"/>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监测布点</w:t>
      </w:r>
      <w:bookmarkEnd w:id="717"/>
      <w:bookmarkEnd w:id="718"/>
      <w:bookmarkEnd w:id="719"/>
      <w:bookmarkEnd w:id="720"/>
      <w:bookmarkEnd w:id="721"/>
      <w:bookmarkEnd w:id="722"/>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监测单位：新疆天辰环境技术有限公司</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监测时间：2019年7月2日。</w:t>
      </w:r>
    </w:p>
    <w:p>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color w:val="auto"/>
          <w:sz w:val="24"/>
        </w:rPr>
        <w:t>根据项目矿区周围环境现状，本次声环境现状监测共布设5个监测点。监测</w:t>
      </w:r>
      <w:r>
        <w:rPr>
          <w:rFonts w:hint="default" w:ascii="Times New Roman" w:hAnsi="Times New Roman" w:cs="Times New Roman"/>
          <w:bCs/>
          <w:color w:val="auto"/>
          <w:sz w:val="24"/>
          <w:lang w:eastAsia="zh-CN"/>
        </w:rPr>
        <w:t>点设在厂区四周，东、南、西、北侧及生活区各1个。</w:t>
      </w:r>
    </w:p>
    <w:p>
      <w:pPr>
        <w:spacing w:line="360" w:lineRule="auto"/>
        <w:ind w:firstLine="480" w:firstLineChars="200"/>
        <w:rPr>
          <w:rFonts w:hint="default" w:ascii="Times New Roman" w:hAnsi="Times New Roman" w:cs="Times New Roman"/>
          <w:bCs/>
          <w:color w:val="auto"/>
          <w:sz w:val="24"/>
          <w:lang w:eastAsia="zh-CN"/>
        </w:rPr>
      </w:pPr>
      <w:bookmarkStart w:id="723" w:name="_Toc4940"/>
      <w:bookmarkStart w:id="724" w:name="_Toc12747"/>
      <w:bookmarkStart w:id="725" w:name="_Toc9474"/>
      <w:bookmarkStart w:id="726" w:name="_Toc31334"/>
      <w:bookmarkStart w:id="727" w:name="_Toc7999044"/>
      <w:bookmarkStart w:id="728" w:name="_Toc17709423"/>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）监测方法</w:t>
      </w:r>
      <w:bookmarkEnd w:id="723"/>
      <w:bookmarkEnd w:id="724"/>
      <w:bookmarkEnd w:id="725"/>
      <w:bookmarkEnd w:id="726"/>
      <w:bookmarkEnd w:id="727"/>
      <w:bookmarkEnd w:id="728"/>
    </w:p>
    <w:p>
      <w:pPr>
        <w:spacing w:line="360" w:lineRule="auto"/>
        <w:ind w:left="479" w:leftChars="228" w:firstLine="0" w:firstLineChars="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执行《声环境质量标准》（GB3096-2008）环境噪声监测要求。监测仪器使</w:t>
      </w:r>
      <w:bookmarkStart w:id="729" w:name="_Toc10265"/>
      <w:bookmarkStart w:id="730" w:name="_Toc1364"/>
      <w:bookmarkStart w:id="731" w:name="_Toc18091"/>
      <w:bookmarkStart w:id="732" w:name="_Toc4746"/>
      <w:bookmarkStart w:id="733" w:name="_Toc7999045"/>
      <w:bookmarkStart w:id="734" w:name="_Toc17709424"/>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lang w:eastAsia="zh-CN"/>
        </w:rPr>
        <w:t>）评价标准</w:t>
      </w:r>
      <w:bookmarkEnd w:id="729"/>
      <w:bookmarkEnd w:id="730"/>
      <w:bookmarkEnd w:id="731"/>
      <w:bookmarkEnd w:id="732"/>
      <w:bookmarkEnd w:id="733"/>
      <w:bookmarkEnd w:id="734"/>
    </w:p>
    <w:p>
      <w:pPr>
        <w:spacing w:line="360" w:lineRule="auto"/>
        <w:ind w:left="479" w:leftChars="228" w:firstLine="0" w:firstLineChars="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项目所处区域执行《声环境质量标准》（GB3096-2008）中2类区标准，即</w:t>
      </w:r>
      <w:bookmarkStart w:id="735" w:name="_Toc2736"/>
      <w:bookmarkStart w:id="736" w:name="_Toc5755"/>
      <w:bookmarkStart w:id="737" w:name="_Toc21713"/>
      <w:bookmarkStart w:id="738" w:name="_Toc20949"/>
      <w:bookmarkStart w:id="739" w:name="_Toc7999046"/>
      <w:bookmarkStart w:id="740" w:name="_Toc17709425"/>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lang w:eastAsia="zh-CN"/>
        </w:rPr>
        <w:t>）评价结果</w:t>
      </w:r>
      <w:bookmarkEnd w:id="735"/>
      <w:bookmarkEnd w:id="736"/>
      <w:bookmarkEnd w:id="737"/>
      <w:bookmarkEnd w:id="738"/>
      <w:bookmarkEnd w:id="739"/>
      <w:bookmarkEnd w:id="740"/>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监测及评价结果见表4.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pPr>
        <w:pStyle w:val="2"/>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sz w:val="24"/>
        </w:rPr>
      </w:pP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表4.</w:t>
      </w:r>
      <w:r>
        <w:rPr>
          <w:rFonts w:hint="default"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w:t>
      </w:r>
      <w:r>
        <w:rPr>
          <w:rFonts w:hint="default"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 xml:space="preserve">   噪声现状监测结果                单位：dB(A)</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21"/>
        <w:gridCol w:w="1421"/>
        <w:gridCol w:w="1421"/>
        <w:gridCol w:w="1422"/>
        <w:gridCol w:w="1422"/>
        <w:gridCol w:w="142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vMerge w:val="restart"/>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序号</w:t>
            </w:r>
          </w:p>
        </w:tc>
        <w:tc>
          <w:tcPr>
            <w:tcW w:w="1421" w:type="dxa"/>
            <w:vMerge w:val="restart"/>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监测点</w:t>
            </w:r>
          </w:p>
        </w:tc>
        <w:tc>
          <w:tcPr>
            <w:tcW w:w="2843" w:type="dxa"/>
            <w:gridSpan w:val="2"/>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昼间（标准值：60dB）</w:t>
            </w:r>
          </w:p>
        </w:tc>
        <w:tc>
          <w:tcPr>
            <w:tcW w:w="2843" w:type="dxa"/>
            <w:gridSpan w:val="2"/>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夜间（标准值：50dB）</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vMerge w:val="continue"/>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p>
        </w:tc>
        <w:tc>
          <w:tcPr>
            <w:tcW w:w="1421" w:type="dxa"/>
            <w:vMerge w:val="continue"/>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监测值</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超标情况</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监测值</w:t>
            </w: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超标情况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17" w:hRule="atLeast"/>
          <w:jc w:val="center"/>
        </w:trPr>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vertAlign w:val="superscript"/>
                <w:lang w:val="zh-CN"/>
              </w:rPr>
              <w:t>#</w:t>
            </w:r>
            <w:r>
              <w:rPr>
                <w:rFonts w:hint="default" w:ascii="Times New Roman" w:hAnsi="Times New Roman" w:eastAsia="宋体" w:cs="Times New Roman"/>
                <w:color w:val="auto"/>
                <w:szCs w:val="21"/>
                <w:lang w:val="zh-CN"/>
              </w:rPr>
              <w:t>监测点</w:t>
            </w:r>
          </w:p>
        </w:tc>
        <w:tc>
          <w:tcPr>
            <w:tcW w:w="1421" w:type="dxa"/>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项目区</w:t>
            </w:r>
            <w:r>
              <w:rPr>
                <w:rFonts w:hint="default" w:ascii="Times New Roman" w:hAnsi="Times New Roman" w:eastAsia="宋体" w:cs="Times New Roman"/>
                <w:color w:val="auto"/>
                <w:szCs w:val="21"/>
              </w:rPr>
              <w:t>东</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45.7</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未超标</w:t>
            </w:r>
          </w:p>
        </w:tc>
        <w:tc>
          <w:tcPr>
            <w:tcW w:w="142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41.9</w:t>
            </w: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未超标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vertAlign w:val="superscript"/>
                <w:lang w:val="zh-CN"/>
              </w:rPr>
              <w:t>#</w:t>
            </w:r>
            <w:r>
              <w:rPr>
                <w:rFonts w:hint="default" w:ascii="Times New Roman" w:hAnsi="Times New Roman" w:eastAsia="宋体" w:cs="Times New Roman"/>
                <w:color w:val="auto"/>
                <w:szCs w:val="21"/>
                <w:lang w:val="zh-CN"/>
              </w:rPr>
              <w:t>监测点</w:t>
            </w:r>
          </w:p>
        </w:tc>
        <w:tc>
          <w:tcPr>
            <w:tcW w:w="1421"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w:t>
            </w:r>
            <w:r>
              <w:rPr>
                <w:rFonts w:hint="default" w:ascii="Times New Roman" w:hAnsi="Times New Roman" w:eastAsia="宋体" w:cs="Times New Roman"/>
                <w:color w:val="auto"/>
              </w:rPr>
              <w:t>南</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45.2</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未超标</w:t>
            </w:r>
          </w:p>
        </w:tc>
        <w:tc>
          <w:tcPr>
            <w:tcW w:w="142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42.2</w:t>
            </w: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未超标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rPr>
              <w:t>3</w:t>
            </w:r>
            <w:r>
              <w:rPr>
                <w:rFonts w:hint="default" w:ascii="Times New Roman" w:hAnsi="Times New Roman" w:eastAsia="宋体" w:cs="Times New Roman"/>
                <w:color w:val="auto"/>
                <w:szCs w:val="21"/>
                <w:vertAlign w:val="superscript"/>
                <w:lang w:val="zh-CN"/>
              </w:rPr>
              <w:t>#</w:t>
            </w:r>
            <w:r>
              <w:rPr>
                <w:rFonts w:hint="default" w:ascii="Times New Roman" w:hAnsi="Times New Roman" w:eastAsia="宋体" w:cs="Times New Roman"/>
                <w:color w:val="auto"/>
                <w:szCs w:val="21"/>
                <w:lang w:val="zh-CN"/>
              </w:rPr>
              <w:t>监测点</w:t>
            </w:r>
          </w:p>
        </w:tc>
        <w:tc>
          <w:tcPr>
            <w:tcW w:w="1421"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项目区西</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45.1</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未超标</w:t>
            </w:r>
          </w:p>
        </w:tc>
        <w:tc>
          <w:tcPr>
            <w:tcW w:w="142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42.1</w:t>
            </w: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未超标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vertAlign w:val="superscript"/>
                <w:lang w:val="zh-CN"/>
              </w:rPr>
              <w:t>#</w:t>
            </w:r>
            <w:r>
              <w:rPr>
                <w:rFonts w:hint="default" w:ascii="Times New Roman" w:hAnsi="Times New Roman" w:eastAsia="宋体" w:cs="Times New Roman"/>
                <w:color w:val="auto"/>
                <w:szCs w:val="21"/>
                <w:lang w:val="zh-CN"/>
              </w:rPr>
              <w:t>监测点</w:t>
            </w:r>
          </w:p>
        </w:tc>
        <w:tc>
          <w:tcPr>
            <w:tcW w:w="1421"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项目区北</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45.4</w:t>
            </w:r>
          </w:p>
        </w:tc>
        <w:tc>
          <w:tcPr>
            <w:tcW w:w="1422"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未超标</w:t>
            </w:r>
          </w:p>
        </w:tc>
        <w:tc>
          <w:tcPr>
            <w:tcW w:w="142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42.6</w:t>
            </w:r>
          </w:p>
        </w:tc>
        <w:tc>
          <w:tcPr>
            <w:tcW w:w="1421" w:type="dxa"/>
            <w:noWrap w:val="0"/>
            <w:vAlign w:val="center"/>
          </w:tcPr>
          <w:p>
            <w:pPr>
              <w:autoSpaceDE w:val="0"/>
              <w:autoSpaceDN w:val="0"/>
              <w:adjustRightInd w:val="0"/>
              <w:spacing w:line="36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未超标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21" w:type="dxa"/>
            <w:noWrap w:val="0"/>
            <w:vAlign w:val="center"/>
          </w:tcPr>
          <w:p>
            <w:pPr>
              <w:autoSpaceDE w:val="0"/>
              <w:autoSpaceDN w:val="0"/>
              <w:adjustRightInd w:val="0"/>
              <w:spacing w:line="360" w:lineRule="exact"/>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vertAlign w:val="superscript"/>
                <w:lang w:val="zh-CN"/>
              </w:rPr>
              <w:t>#</w:t>
            </w:r>
            <w:r>
              <w:rPr>
                <w:rFonts w:hint="default" w:ascii="Times New Roman" w:hAnsi="Times New Roman" w:eastAsia="宋体" w:cs="Times New Roman"/>
                <w:color w:val="auto"/>
                <w:szCs w:val="21"/>
                <w:lang w:val="zh-CN"/>
              </w:rPr>
              <w:t>监测点</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生活区</w:t>
            </w:r>
          </w:p>
        </w:tc>
        <w:tc>
          <w:tcPr>
            <w:tcW w:w="142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50.6</w:t>
            </w:r>
          </w:p>
        </w:tc>
        <w:tc>
          <w:tcPr>
            <w:tcW w:w="1422" w:type="dxa"/>
            <w:noWrap w:val="0"/>
            <w:vAlign w:val="center"/>
          </w:tcPr>
          <w:p>
            <w:pPr>
              <w:autoSpaceDE w:val="0"/>
              <w:autoSpaceDN w:val="0"/>
              <w:adjustRightInd w:val="0"/>
              <w:spacing w:line="360" w:lineRule="exact"/>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未超标</w:t>
            </w:r>
          </w:p>
        </w:tc>
        <w:tc>
          <w:tcPr>
            <w:tcW w:w="142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41.9</w:t>
            </w:r>
          </w:p>
        </w:tc>
        <w:tc>
          <w:tcPr>
            <w:tcW w:w="1421" w:type="dxa"/>
            <w:noWrap w:val="0"/>
            <w:vAlign w:val="center"/>
          </w:tcPr>
          <w:p>
            <w:pPr>
              <w:autoSpaceDE w:val="0"/>
              <w:autoSpaceDN w:val="0"/>
              <w:adjustRightInd w:val="0"/>
              <w:spacing w:line="360" w:lineRule="exact"/>
              <w:jc w:val="center"/>
              <w:rPr>
                <w:rFonts w:hint="default" w:ascii="Times New Roman" w:hAnsi="Times New Roman" w:cs="Times New Roman"/>
                <w:color w:val="auto"/>
                <w:szCs w:val="21"/>
                <w:lang w:val="zh-CN"/>
              </w:rPr>
            </w:pPr>
            <w:r>
              <w:rPr>
                <w:rFonts w:hint="default" w:ascii="Times New Roman" w:hAnsi="Times New Roman" w:eastAsia="宋体" w:cs="Times New Roman"/>
                <w:color w:val="auto"/>
                <w:szCs w:val="21"/>
              </w:rPr>
              <w:t>未超标</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w:t>
      </w:r>
      <w:r>
        <w:rPr>
          <w:rFonts w:hint="default" w:ascii="Times New Roman" w:hAnsi="Times New Roman" w:cs="Times New Roman"/>
          <w:color w:val="auto"/>
          <w:sz w:val="24"/>
          <w:lang w:eastAsia="zh-CN"/>
        </w:rPr>
        <w:t>上</w:t>
      </w:r>
      <w:r>
        <w:rPr>
          <w:rFonts w:hint="default" w:ascii="Times New Roman" w:hAnsi="Times New Roman" w:cs="Times New Roman"/>
          <w:color w:val="auto"/>
          <w:sz w:val="24"/>
        </w:rPr>
        <w:t>表的监测结果可以看出，矿区昼间及夜间噪声监测值均符合《声环境质量标准》（GB3096-2008）中的2类区标准限值，评价区域声环境质量较好。</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lang w:val="en-US" w:eastAsia="zh-CN"/>
        </w:rPr>
      </w:pPr>
      <w:bookmarkStart w:id="741" w:name="_Toc170869072"/>
      <w:bookmarkStart w:id="742" w:name="_Toc170970668"/>
      <w:bookmarkStart w:id="743" w:name="_Toc172698670"/>
      <w:bookmarkStart w:id="744" w:name="_Toc179522824"/>
      <w:bookmarkStart w:id="745" w:name="_Toc179653283"/>
      <w:bookmarkStart w:id="746" w:name="_Toc180891782"/>
      <w:bookmarkStart w:id="747" w:name="_Toc187800045"/>
      <w:bookmarkStart w:id="748" w:name="_Toc245882749"/>
      <w:bookmarkStart w:id="749" w:name="_Toc20607"/>
      <w:bookmarkStart w:id="750" w:name="_Toc26891"/>
      <w:bookmarkStart w:id="751" w:name="_Toc610"/>
      <w:bookmarkStart w:id="752" w:name="_Toc2992"/>
      <w:bookmarkStart w:id="753" w:name="_Toc6709"/>
      <w:bookmarkStart w:id="754" w:name="_Toc4015"/>
      <w:bookmarkStart w:id="755" w:name="_Toc10368"/>
      <w:bookmarkStart w:id="756" w:name="_Toc7999047"/>
      <w:bookmarkStart w:id="757" w:name="_Toc8836374"/>
      <w:bookmarkStart w:id="758" w:name="_Toc17709301"/>
      <w:bookmarkStart w:id="759" w:name="_Toc17709426"/>
      <w:r>
        <w:rPr>
          <w:rFonts w:hint="default" w:ascii="Times New Roman" w:hAnsi="Times New Roman" w:cs="Times New Roman"/>
          <w:b/>
          <w:bCs/>
          <w:color w:val="auto"/>
          <w:sz w:val="24"/>
          <w:szCs w:val="24"/>
          <w:lang w:val="en-US" w:eastAsia="zh-CN"/>
        </w:rPr>
        <w:t>4.2.4生态环境现状调查</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32"/>
        <w:spacing w:line="360" w:lineRule="auto"/>
        <w:ind w:firstLine="480"/>
        <w:rPr>
          <w:rFonts w:hint="default" w:ascii="Times New Roman" w:hAnsi="Times New Roman" w:eastAsia="宋体" w:cs="Times New Roman"/>
          <w:color w:val="auto"/>
          <w:sz w:val="24"/>
        </w:rPr>
      </w:pPr>
      <w:bookmarkStart w:id="760" w:name="_Toc30104"/>
      <w:bookmarkStart w:id="761" w:name="_Toc3652"/>
      <w:bookmarkStart w:id="762" w:name="_Toc13077"/>
      <w:bookmarkStart w:id="763" w:name="_Toc9166"/>
      <w:bookmarkStart w:id="764" w:name="_Toc7999048"/>
      <w:bookmarkStart w:id="765" w:name="_Toc17709427"/>
      <w:bookmarkStart w:id="766" w:name="_Toc179653284"/>
      <w:bookmarkStart w:id="767" w:name="_Toc187800046"/>
      <w:bookmarkStart w:id="768" w:name="_Toc180891783"/>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生态功能区划</w:t>
      </w:r>
      <w:bookmarkEnd w:id="760"/>
      <w:bookmarkEnd w:id="761"/>
      <w:bookmarkEnd w:id="762"/>
      <w:bookmarkEnd w:id="763"/>
      <w:bookmarkEnd w:id="764"/>
      <w:bookmarkEnd w:id="765"/>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根据《新疆生态功能区划》，评价区属““Ⅲ天山山地温性草原、森林生态区--Ⅲ1天山北坡针叶林、草甸水源涵养及草原牧业生态亚区—天山北坡中段高山森林、草甸水源涵养及草原牧业生态功能区”。</w:t>
      </w:r>
    </w:p>
    <w:p>
      <w:pPr>
        <w:pStyle w:val="32"/>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项目区生态功能区划见表 4.</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和图4.</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表4.</w:t>
      </w:r>
      <w:r>
        <w:rPr>
          <w:rFonts w:hint="default"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w:t>
      </w:r>
      <w:r>
        <w:rPr>
          <w:rFonts w:hint="default" w:ascii="Times New Roman" w:hAnsi="Times New Roman" w:eastAsia="黑体" w:cs="Times New Roman"/>
          <w:color w:val="auto"/>
          <w:szCs w:val="21"/>
          <w:lang w:val="en-US" w:eastAsia="zh-CN"/>
        </w:rPr>
        <w:t>3</w:t>
      </w:r>
      <w:r>
        <w:rPr>
          <w:rFonts w:hint="default" w:ascii="Times New Roman" w:hAnsi="Times New Roman" w:eastAsia="黑体" w:cs="Times New Roman"/>
          <w:color w:val="auto"/>
          <w:szCs w:val="21"/>
        </w:rPr>
        <w:t xml:space="preserve">   矿区范围生态功能区划</w:t>
      </w:r>
    </w:p>
    <w:tbl>
      <w:tblPr>
        <w:tblStyle w:val="79"/>
        <w:tblW w:w="852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134"/>
        <w:gridCol w:w="1134"/>
        <w:gridCol w:w="1134"/>
        <w:gridCol w:w="1134"/>
        <w:gridCol w:w="851"/>
        <w:gridCol w:w="13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70" w:hRule="atLeast"/>
        </w:trPr>
        <w:tc>
          <w:tcPr>
            <w:tcW w:w="1809" w:type="dxa"/>
            <w:noWrap w:val="0"/>
            <w:vAlign w:val="center"/>
          </w:tcPr>
          <w:p>
            <w:pPr>
              <w:spacing w:line="240" w:lineRule="exact"/>
              <w:ind w:firstLine="7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生态功能分区</w:t>
            </w:r>
          </w:p>
        </w:tc>
        <w:tc>
          <w:tcPr>
            <w:tcW w:w="113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隶属行政区</w:t>
            </w:r>
          </w:p>
        </w:tc>
        <w:tc>
          <w:tcPr>
            <w:tcW w:w="113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主要生态服务功能</w:t>
            </w:r>
          </w:p>
        </w:tc>
        <w:tc>
          <w:tcPr>
            <w:tcW w:w="113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主要生态问题</w:t>
            </w:r>
          </w:p>
        </w:tc>
        <w:tc>
          <w:tcPr>
            <w:tcW w:w="113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主要生态敏感因子</w:t>
            </w:r>
          </w:p>
        </w:tc>
        <w:tc>
          <w:tcPr>
            <w:tcW w:w="85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w:t>
            </w:r>
          </w:p>
        </w:tc>
        <w:tc>
          <w:tcPr>
            <w:tcW w:w="1332"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9" w:hRule="atLeast"/>
        </w:trPr>
        <w:tc>
          <w:tcPr>
            <w:tcW w:w="1809" w:type="dxa"/>
            <w:noWrap w:val="0"/>
            <w:vAlign w:val="center"/>
          </w:tcPr>
          <w:p>
            <w:pPr>
              <w:spacing w:line="240" w:lineRule="exact"/>
              <w:ind w:firstLine="7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Ⅲ天山山地温性草原、森林生态区--Ⅲ1天山北坡针叶林、草甸水源涵养及草原牧业生态亚区</w:t>
            </w:r>
          </w:p>
        </w:tc>
        <w:tc>
          <w:tcPr>
            <w:tcW w:w="1134" w:type="dxa"/>
            <w:noWrap w:val="0"/>
            <w:vAlign w:val="center"/>
          </w:tcPr>
          <w:p>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乌苏市、奎屯市、沙湾县、玛纳斯县、呼图壁县、昌吉市、乌鲁木齐市</w:t>
            </w:r>
          </w:p>
        </w:tc>
        <w:tc>
          <w:tcPr>
            <w:tcW w:w="1134" w:type="dxa"/>
            <w:noWrap w:val="0"/>
            <w:vAlign w:val="center"/>
          </w:tcPr>
          <w:p>
            <w:pPr>
              <w:spacing w:line="240" w:lineRule="exact"/>
              <w:ind w:firstLine="72"/>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水源涵养、土壤保持、林畜产品生产、生物多样性维护</w:t>
            </w:r>
          </w:p>
        </w:tc>
        <w:tc>
          <w:tcPr>
            <w:tcW w:w="1134" w:type="dxa"/>
            <w:noWrap w:val="0"/>
            <w:vAlign w:val="center"/>
          </w:tcPr>
          <w:p>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森林过度采伐、水土流失、旅游造成环境污染与破坏、草地退化</w:t>
            </w:r>
          </w:p>
        </w:tc>
        <w:tc>
          <w:tcPr>
            <w:tcW w:w="1134" w:type="dxa"/>
            <w:noWrap w:val="0"/>
            <w:vAlign w:val="center"/>
          </w:tcPr>
          <w:p>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土生物多样性及其生境极度敏感，土壤侵蚀轻度敏感</w:t>
            </w:r>
          </w:p>
        </w:tc>
        <w:tc>
          <w:tcPr>
            <w:tcW w:w="851" w:type="dxa"/>
            <w:noWrap w:val="0"/>
            <w:vAlign w:val="center"/>
          </w:tcPr>
          <w:p>
            <w:pPr>
              <w:spacing w:line="24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保护森林与草地、保护水源</w:t>
            </w:r>
          </w:p>
        </w:tc>
        <w:tc>
          <w:tcPr>
            <w:tcW w:w="1332" w:type="dxa"/>
            <w:noWrap w:val="0"/>
            <w:vAlign w:val="center"/>
          </w:tcPr>
          <w:p>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禁止采伐天然林、有计划地实施封山育林、减牧或休牧、规范生态旅游</w:t>
            </w:r>
          </w:p>
        </w:tc>
      </w:tr>
    </w:tbl>
    <w:p>
      <w:pPr>
        <w:pStyle w:val="32"/>
        <w:spacing w:line="360" w:lineRule="auto"/>
        <w:ind w:firstLine="480"/>
        <w:rPr>
          <w:rFonts w:hint="default" w:ascii="Times New Roman" w:hAnsi="Times New Roman" w:eastAsia="宋体" w:cs="Times New Roman"/>
          <w:color w:val="auto"/>
          <w:sz w:val="24"/>
          <w:lang w:eastAsia="zh-CN"/>
        </w:rPr>
      </w:pPr>
      <w:bookmarkStart w:id="769" w:name="_Toc2908"/>
      <w:bookmarkStart w:id="770" w:name="_Toc17709428"/>
      <w:bookmarkStart w:id="771" w:name="_Toc15651"/>
      <w:bookmarkStart w:id="772" w:name="_Toc275"/>
      <w:bookmarkStart w:id="773" w:name="_Toc7999049"/>
      <w:bookmarkStart w:id="774" w:name="_Toc8961"/>
      <w:bookmarkStart w:id="775" w:name="_Toc268028080"/>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）土地利用状况</w:t>
      </w:r>
      <w:bookmarkEnd w:id="769"/>
      <w:bookmarkEnd w:id="770"/>
      <w:bookmarkEnd w:id="771"/>
      <w:bookmarkEnd w:id="772"/>
      <w:bookmarkEnd w:id="773"/>
      <w:bookmarkEnd w:id="774"/>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snapToGrid w:val="0"/>
          <w:color w:val="auto"/>
          <w:kern w:val="0"/>
          <w:sz w:val="24"/>
        </w:rPr>
        <w:t>根据现状调查及收集有关资料，评价区土地尚未利用开发，区域土地类型为</w:t>
      </w:r>
      <w:r>
        <w:rPr>
          <w:rFonts w:hint="default" w:ascii="Times New Roman" w:hAnsi="Times New Roman" w:cs="Times New Roman"/>
          <w:snapToGrid w:val="0"/>
          <w:color w:val="auto"/>
          <w:kern w:val="0"/>
          <w:sz w:val="24"/>
          <w:lang w:eastAsia="zh-CN"/>
        </w:rPr>
        <w:t>中覆盖度草地</w:t>
      </w:r>
      <w:r>
        <w:rPr>
          <w:rFonts w:hint="default" w:ascii="Times New Roman" w:hAnsi="Times New Roman" w:cs="Times New Roman"/>
          <w:snapToGrid w:val="0"/>
          <w:color w:val="auto"/>
          <w:kern w:val="0"/>
          <w:sz w:val="24"/>
        </w:rPr>
        <w:t>，目前基本未受到人类活动的干扰。</w:t>
      </w:r>
      <w:r>
        <w:rPr>
          <w:rFonts w:hint="default" w:ascii="Times New Roman" w:hAnsi="Times New Roman" w:cs="Times New Roman"/>
          <w:color w:val="auto"/>
          <w:sz w:val="24"/>
        </w:rPr>
        <w:t>详见土地利用现状图4.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pStyle w:val="32"/>
        <w:spacing w:line="360" w:lineRule="auto"/>
        <w:ind w:firstLine="480"/>
        <w:rPr>
          <w:rFonts w:hint="default" w:ascii="Times New Roman" w:hAnsi="Times New Roman" w:eastAsia="宋体" w:cs="Times New Roman"/>
          <w:color w:val="auto"/>
          <w:sz w:val="24"/>
          <w:lang w:eastAsia="zh-CN"/>
        </w:rPr>
      </w:pPr>
      <w:bookmarkStart w:id="776" w:name="_Toc17709430"/>
      <w:bookmarkStart w:id="777" w:name="_Toc271021563"/>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）野生动物</w:t>
      </w:r>
      <w:bookmarkEnd w:id="776"/>
      <w:bookmarkEnd w:id="777"/>
    </w:p>
    <w:p>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杏树沟山区主要的野生动物有猫头鹰、斑鸠、草鼠、山鸡、喜鹊等，评价区内只有少量野生动物栖息，主要为喜鹊、麻雀和草鼠等，没有国家一、二类保护动物栖息。主要野生动物名录见表4.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-4</w:t>
      </w:r>
      <w:r>
        <w:rPr>
          <w:rFonts w:hint="default" w:ascii="Times New Roman" w:hAnsi="Times New Roman" w:cs="Times New Roman"/>
          <w:color w:val="auto"/>
          <w:sz w:val="24"/>
          <w:lang w:eastAsia="zh-CN"/>
        </w:rPr>
        <w:t>。黄洋。</w:t>
      </w:r>
    </w:p>
    <w:p>
      <w:pPr>
        <w:adjustRightInd w:val="0"/>
        <w:snapToGrid w:val="0"/>
        <w:ind w:firstLine="2730" w:firstLineChars="13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表4.</w:t>
      </w:r>
      <w:r>
        <w:rPr>
          <w:rFonts w:hint="default"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-4   矿区主要野生动物名录</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2623"/>
        <w:gridCol w:w="4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58" w:type="dxa"/>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62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中文名称</w:t>
            </w:r>
          </w:p>
        </w:tc>
        <w:tc>
          <w:tcPr>
            <w:tcW w:w="474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拉丁名称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58" w:type="dxa"/>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2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树麻雀</w:t>
            </w:r>
          </w:p>
        </w:tc>
        <w:tc>
          <w:tcPr>
            <w:tcW w:w="474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Passer  montanus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58" w:type="dxa"/>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62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喜鹊</w:t>
            </w:r>
          </w:p>
        </w:tc>
        <w:tc>
          <w:tcPr>
            <w:tcW w:w="474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Pica  pica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58" w:type="dxa"/>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62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田鼠</w:t>
            </w:r>
          </w:p>
        </w:tc>
        <w:tc>
          <w:tcPr>
            <w:tcW w:w="474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Microtus  oeconomus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58" w:type="dxa"/>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62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黄鼠</w:t>
            </w:r>
          </w:p>
        </w:tc>
        <w:tc>
          <w:tcPr>
            <w:tcW w:w="4745" w:type="dxa"/>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Spermophilus  alaschanicus  Buchner</w:t>
            </w:r>
          </w:p>
        </w:tc>
      </w:tr>
    </w:tbl>
    <w:p>
      <w:pPr>
        <w:pStyle w:val="32"/>
        <w:spacing w:line="360" w:lineRule="auto"/>
        <w:ind w:firstLine="480"/>
        <w:rPr>
          <w:rFonts w:hint="default" w:ascii="Times New Roman" w:hAnsi="Times New Roman" w:eastAsia="宋体" w:cs="Times New Roman"/>
          <w:color w:val="auto"/>
          <w:sz w:val="24"/>
          <w:lang w:eastAsia="zh-CN"/>
        </w:rPr>
      </w:pPr>
      <w:bookmarkStart w:id="778" w:name="_Toc271021564"/>
      <w:bookmarkStart w:id="779" w:name="_Toc17709431"/>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）野生植物</w:t>
      </w:r>
      <w:bookmarkEnd w:id="778"/>
      <w:bookmarkEnd w:id="779"/>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项目区位于中低山区半山，本项目评价范围内基本为裸岩石砾地带，仅有少量荒漠植被，植被覆盖率＜10%，主要野生植被有白刺、驼绒藜、禾草等植物，另外低洼地带及沟谷生长有少量芨芨草等野生植物。</w:t>
      </w:r>
      <w:r>
        <w:rPr>
          <w:rFonts w:hint="default" w:ascii="Times New Roman" w:hAnsi="Times New Roman" w:cs="Times New Roman"/>
          <w:color w:val="auto"/>
          <w:sz w:val="24"/>
          <w:lang w:eastAsia="zh-CN"/>
        </w:rPr>
        <w:t>杏树。</w:t>
      </w:r>
      <w:r>
        <w:rPr>
          <w:rFonts w:hint="default" w:ascii="Times New Roman" w:hAnsi="Times New Roman" w:cs="Times New Roman"/>
          <w:color w:val="auto"/>
          <w:sz w:val="24"/>
        </w:rPr>
        <w:t>杏树沟主要野生植物见表4.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-5。</w:t>
      </w:r>
      <w:r>
        <w:rPr>
          <w:rFonts w:hint="default" w:ascii="Times New Roman" w:hAnsi="Times New Roman" w:cs="Times New Roman"/>
          <w:color w:val="auto"/>
          <w:sz w:val="24"/>
          <w:lang w:eastAsia="zh-CN"/>
        </w:rPr>
        <w:t>植被类型图见附图</w:t>
      </w:r>
      <w:r>
        <w:rPr>
          <w:rFonts w:hint="default" w:ascii="Times New Roman" w:hAnsi="Times New Roman" w:cs="Times New Roman"/>
          <w:color w:val="auto"/>
          <w:sz w:val="24"/>
          <w:lang w:val="en-US" w:eastAsia="zh-CN"/>
        </w:rPr>
        <w:t>4.2-4。</w:t>
      </w:r>
    </w:p>
    <w:p>
      <w:pPr>
        <w:adjustRightInd w:val="0"/>
        <w:snapToGrid w:val="0"/>
        <w:ind w:firstLine="2730" w:firstLineChars="13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表4.</w:t>
      </w:r>
      <w:r>
        <w:rPr>
          <w:rFonts w:hint="default"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-5  矿区主要野生植物名录</w:t>
      </w:r>
    </w:p>
    <w:tbl>
      <w:tblPr>
        <w:tblStyle w:val="7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275"/>
        <w:gridCol w:w="2900"/>
        <w:gridCol w:w="1497"/>
        <w:gridCol w:w="2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中文名称</w:t>
            </w:r>
          </w:p>
        </w:tc>
        <w:tc>
          <w:tcPr>
            <w:tcW w:w="1701" w:type="pct"/>
            <w:noWrap w:val="0"/>
            <w:vAlign w:val="center"/>
          </w:tcPr>
          <w:p>
            <w:pPr>
              <w:pStyle w:val="32"/>
              <w:adjustRightInd w:val="0"/>
              <w:snapToGrid w:val="0"/>
              <w:spacing w:line="240" w:lineRule="exact"/>
              <w:ind w:firstLine="735" w:firstLineChars="3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拉丁名称</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科名</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白刺</w:t>
            </w:r>
          </w:p>
        </w:tc>
        <w:tc>
          <w:tcPr>
            <w:tcW w:w="170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Nitraria tangutorum Bobr</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蒺藜科</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多年生灌木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麻黄</w:t>
            </w:r>
          </w:p>
        </w:tc>
        <w:tc>
          <w:tcPr>
            <w:tcW w:w="170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Ephedra sinica</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麻黄科</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多年生草本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驼绒藜</w:t>
            </w:r>
          </w:p>
        </w:tc>
        <w:tc>
          <w:tcPr>
            <w:tcW w:w="170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Ceratoides (Tourn．) Gagnebin</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藜科</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多年生半灌木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针茅</w:t>
            </w:r>
          </w:p>
        </w:tc>
        <w:tc>
          <w:tcPr>
            <w:tcW w:w="170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Stipa capillata</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禾本科</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多年生草本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31"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48" w:type="pct"/>
            <w:noWrap w:val="0"/>
            <w:vAlign w:val="center"/>
          </w:tcPr>
          <w:p>
            <w:pPr>
              <w:pStyle w:val="32"/>
              <w:adjustRightInd w:val="0"/>
              <w:snapToGrid w:val="0"/>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芨芨草</w:t>
            </w:r>
          </w:p>
        </w:tc>
        <w:tc>
          <w:tcPr>
            <w:tcW w:w="170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Achnatherum  splendens</w:t>
            </w:r>
          </w:p>
        </w:tc>
        <w:tc>
          <w:tcPr>
            <w:tcW w:w="878"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禾本科</w:t>
            </w:r>
          </w:p>
        </w:tc>
        <w:tc>
          <w:tcPr>
            <w:tcW w:w="1241" w:type="pct"/>
            <w:noWrap w:val="0"/>
            <w:vAlign w:val="center"/>
          </w:tcPr>
          <w:p>
            <w:pPr>
              <w:pStyle w:val="32"/>
              <w:adjustRightInd w:val="0"/>
              <w:snapToGrid w:val="0"/>
              <w:spacing w:line="24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多年生草本</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主要植被为芨芨草、白刺和少量的禾草。矿区六个地下采区所在地海拔较高，基本为裸岩地貌，植被覆盖度极低，覆盖度小于1%，主要植被为白刺和驼绒藜。矿区生活区地势较平坦，植被覆盖度约为4%，主要植被为白刺、驼绒藜和少量的禾草。矿区所在的杏树沟范围内有麻黄生长，麻黄为自治区I类保护植物，在现场踏勘过程中矿区范围内未见麻黄生长，麻黄主要分布在杏树沟沟谷两侧约1km范围内，距麻黄生长稀少，相对优势度远远小于白刺、芨芨草、驼绒藜、禾草等植物。</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lang w:val="en-US" w:eastAsia="zh-CN"/>
        </w:rPr>
      </w:pPr>
      <w:bookmarkStart w:id="780" w:name="_Toc17709429"/>
      <w:bookmarkStart w:id="781" w:name="_Toc4596"/>
      <w:bookmarkStart w:id="782" w:name="_Toc7999050"/>
      <w:bookmarkStart w:id="783" w:name="_Toc29656"/>
      <w:bookmarkStart w:id="784" w:name="_Toc17225"/>
      <w:bookmarkStart w:id="785" w:name="_Toc986"/>
      <w:r>
        <w:rPr>
          <w:rFonts w:hint="default" w:ascii="Times New Roman" w:hAnsi="Times New Roman" w:cs="Times New Roman"/>
          <w:b/>
          <w:bCs/>
          <w:color w:val="auto"/>
          <w:sz w:val="24"/>
          <w:szCs w:val="24"/>
          <w:lang w:val="en-US" w:eastAsia="zh-CN"/>
        </w:rPr>
        <w:t>4.2.5</w:t>
      </w:r>
      <w:bookmarkEnd w:id="780"/>
      <w:bookmarkEnd w:id="781"/>
      <w:bookmarkEnd w:id="782"/>
      <w:bookmarkEnd w:id="783"/>
      <w:bookmarkEnd w:id="784"/>
      <w:bookmarkEnd w:id="785"/>
      <w:r>
        <w:rPr>
          <w:rFonts w:hint="default" w:ascii="Times New Roman" w:hAnsi="Times New Roman" w:cs="Times New Roman"/>
          <w:b/>
          <w:bCs/>
          <w:color w:val="auto"/>
          <w:sz w:val="24"/>
          <w:szCs w:val="24"/>
          <w:lang w:val="en-US" w:eastAsia="zh-CN"/>
        </w:rPr>
        <w:t>土壤环境</w:t>
      </w:r>
      <w:r>
        <w:rPr>
          <w:rFonts w:hint="eastAsia" w:ascii="Times New Roman" w:hAnsi="Times New Roman" w:cs="Times New Roman"/>
          <w:b/>
          <w:bCs/>
          <w:color w:val="auto"/>
          <w:sz w:val="24"/>
          <w:szCs w:val="24"/>
          <w:lang w:val="en-US" w:eastAsia="zh-CN"/>
        </w:rPr>
        <w:t>现状</w:t>
      </w:r>
      <w:r>
        <w:rPr>
          <w:rFonts w:hint="default" w:ascii="Times New Roman" w:hAnsi="Times New Roman" w:cs="Times New Roman"/>
          <w:b/>
          <w:bCs/>
          <w:color w:val="auto"/>
          <w:sz w:val="24"/>
          <w:szCs w:val="24"/>
          <w:lang w:val="en-US" w:eastAsia="zh-CN"/>
        </w:rPr>
        <w:t>调查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根据当地土壤资料及现状调查，项目区内的土壤类型为</w:t>
      </w:r>
      <w:r>
        <w:rPr>
          <w:rFonts w:hint="default" w:ascii="Times New Roman" w:hAnsi="Times New Roman" w:cs="Times New Roman"/>
          <w:color w:val="auto"/>
          <w:sz w:val="24"/>
          <w:lang w:eastAsia="zh-CN"/>
        </w:rPr>
        <w:t>淡栗钙土</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粗骨</w:t>
      </w:r>
      <w:r>
        <w:rPr>
          <w:rFonts w:hint="default" w:ascii="Times New Roman" w:hAnsi="Times New Roman" w:cs="Times New Roman"/>
          <w:color w:val="auto"/>
          <w:sz w:val="24"/>
        </w:rPr>
        <w:t>土，详见土壤类型图4.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p>
    <w:p>
      <w:pPr>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土壤现状调查与评价</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①取样点位及检测项目</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取样点位：本次环评设置7个取点样点，3个在采矿区内，另4个在矿区外。</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检测项目：采矿区内有一个点检测全项，其它六个点检测pH值、镉、汞、砷、铜、铅、锌、镍。</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②检测单位及检测时间</w:t>
      </w:r>
    </w:p>
    <w:p>
      <w:pPr>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color w:val="auto"/>
          <w:sz w:val="24"/>
        </w:rPr>
        <w:t>检测单位：</w:t>
      </w:r>
      <w:r>
        <w:rPr>
          <w:rFonts w:hint="default" w:ascii="Times New Roman" w:hAnsi="Times New Roman" w:cs="Times New Roman"/>
          <w:bCs/>
          <w:color w:val="auto"/>
          <w:sz w:val="24"/>
        </w:rPr>
        <w:t>新疆天辰环境技术有限公司</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检测时间：2019年7月2日</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③土壤评价标准</w:t>
      </w:r>
    </w:p>
    <w:p>
      <w:pPr>
        <w:spacing w:line="360" w:lineRule="auto"/>
        <w:ind w:firstLine="600" w:firstLineChars="25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评价标准采用《土壤环境质量  建设用地土壤污染风险管控标准（试行）》(GB36600-2018)表1中第二类用地</w:t>
      </w:r>
      <w:r>
        <w:rPr>
          <w:rFonts w:hint="default" w:ascii="Times New Roman" w:hAnsi="Times New Roman" w:cs="Times New Roman"/>
          <w:snapToGrid w:val="0"/>
          <w:color w:val="auto"/>
          <w:kern w:val="0"/>
          <w:sz w:val="24"/>
        </w:rPr>
        <w:t>筛选值要求</w:t>
      </w:r>
      <w:r>
        <w:rPr>
          <w:rFonts w:hint="default" w:ascii="Times New Roman" w:hAnsi="Times New Roman" w:cs="Times New Roman"/>
          <w:color w:val="auto"/>
          <w:sz w:val="24"/>
        </w:rPr>
        <w:t>。</w:t>
      </w:r>
    </w:p>
    <w:p>
      <w:pPr>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④检测及评价结果</w:t>
      </w:r>
    </w:p>
    <w:p>
      <w:pPr>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项目区土壤检测及评价结果见表4.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和4.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pPr>
        <w:adjustRightInd w:val="0"/>
        <w:snapToGrid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表4.</w:t>
      </w:r>
      <w:r>
        <w:rPr>
          <w:rFonts w:hint="default" w:ascii="Times New Roman" w:hAnsi="Times New Roman" w:eastAsia="黑体" w:cs="Times New Roman"/>
          <w:color w:val="auto"/>
          <w:szCs w:val="21"/>
          <w:lang w:val="en-US" w:eastAsia="zh-CN"/>
        </w:rPr>
        <w:t>.2-6</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项目区其它点位土壤检测及评价结果      单位mg/kg</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2"/>
        <w:gridCol w:w="852"/>
        <w:gridCol w:w="852"/>
        <w:gridCol w:w="852"/>
        <w:gridCol w:w="852"/>
        <w:gridCol w:w="668"/>
        <w:gridCol w:w="850"/>
        <w:gridCol w:w="1276"/>
        <w:gridCol w:w="13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1704" w:type="dxa"/>
            <w:gridSpan w:val="2"/>
            <w:vMerge w:val="restart"/>
            <w:tcBorders>
              <w:top w:val="single" w:color="auto" w:sz="12" w:space="0"/>
              <w:bottom w:val="single" w:color="auto" w:sz="6" w:space="0"/>
              <w:tl2br w:val="single" w:color="auto" w:sz="12" w:space="0"/>
            </w:tcBorders>
            <w:noWrap w:val="0"/>
            <w:vAlign w:val="center"/>
          </w:tcPr>
          <w:p>
            <w:pPr>
              <w:spacing w:line="240" w:lineRule="exact"/>
              <w:ind w:firstLine="840" w:firstLineChars="400"/>
              <w:jc w:val="center"/>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监测点</w:t>
            </w:r>
          </w:p>
          <w:p>
            <w:pPr>
              <w:spacing w:line="240" w:lineRule="exact"/>
              <w:textAlignment w:val="baseline"/>
              <w:rPr>
                <w:rFonts w:hint="default" w:ascii="Times New Roman" w:hAnsi="Times New Roman" w:cs="Times New Roman"/>
                <w:b w:val="0"/>
                <w:bCs w:val="0"/>
                <w:color w:val="auto"/>
                <w:szCs w:val="21"/>
              </w:rPr>
            </w:pPr>
            <w:r>
              <w:rPr>
                <w:rFonts w:hint="default" w:ascii="Times New Roman" w:hAnsi="Times New Roman" w:eastAsia="宋体" w:cs="Times New Roman"/>
                <w:b w:val="0"/>
                <w:bCs w:val="0"/>
                <w:color w:val="auto"/>
                <w:szCs w:val="21"/>
              </w:rPr>
              <w:t>项目</w:t>
            </w:r>
          </w:p>
        </w:tc>
        <w:tc>
          <w:tcPr>
            <w:tcW w:w="4074" w:type="dxa"/>
            <w:gridSpan w:val="5"/>
            <w:tcBorders>
              <w:top w:val="single" w:color="auto" w:sz="12" w:space="0"/>
              <w:bottom w:val="single" w:color="auto" w:sz="6" w:space="0"/>
            </w:tcBorders>
            <w:noWrap w:val="0"/>
            <w:vAlign w:val="center"/>
          </w:tcPr>
          <w:p>
            <w:pPr>
              <w:spacing w:line="240" w:lineRule="exact"/>
              <w:ind w:firstLine="1365" w:firstLineChars="650"/>
              <w:rPr>
                <w:rFonts w:hint="default" w:ascii="Times New Roman" w:hAnsi="Times New Roman" w:cs="Times New Roman"/>
                <w:b w:val="0"/>
                <w:bCs w:val="0"/>
                <w:color w:val="auto"/>
                <w:sz w:val="24"/>
              </w:rPr>
            </w:pPr>
            <w:r>
              <w:rPr>
                <w:rFonts w:hint="default" w:ascii="Times New Roman" w:hAnsi="Times New Roman" w:eastAsia="宋体" w:cs="Times New Roman"/>
                <w:b w:val="0"/>
                <w:bCs w:val="0"/>
                <w:color w:val="auto"/>
                <w:szCs w:val="21"/>
              </w:rPr>
              <w:t>污染物监测浓度</w:t>
            </w:r>
          </w:p>
        </w:tc>
        <w:tc>
          <w:tcPr>
            <w:tcW w:w="1276" w:type="dxa"/>
            <w:tcBorders>
              <w:top w:val="single" w:color="auto" w:sz="12"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筛选值</w:t>
            </w:r>
          </w:p>
        </w:tc>
        <w:tc>
          <w:tcPr>
            <w:tcW w:w="1356" w:type="dxa"/>
            <w:tcBorders>
              <w:top w:val="single" w:color="auto" w:sz="12"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管制值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1704" w:type="dxa"/>
            <w:gridSpan w:val="2"/>
            <w:vMerge w:val="continue"/>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cs="Times New Roman"/>
                <w:b w:val="0"/>
                <w:bCs w:val="0"/>
                <w:color w:val="auto"/>
                <w:szCs w:val="21"/>
              </w:rPr>
            </w:pPr>
          </w:p>
        </w:tc>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Cs w:val="21"/>
              </w:rPr>
              <w:t>3</w:t>
            </w:r>
            <w:r>
              <w:rPr>
                <w:rFonts w:hint="default" w:ascii="Times New Roman" w:hAnsi="Times New Roman" w:cs="Times New Roman"/>
                <w:b w:val="0"/>
                <w:bCs w:val="0"/>
                <w:color w:val="auto"/>
                <w:szCs w:val="21"/>
              </w:rPr>
              <w:t>#</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Cs w:val="21"/>
              </w:rPr>
              <w:t>4</w:t>
            </w:r>
            <w:r>
              <w:rPr>
                <w:rFonts w:hint="default" w:ascii="Times New Roman" w:hAnsi="Times New Roman" w:cs="Times New Roman"/>
                <w:b w:val="0"/>
                <w:bCs w:val="0"/>
                <w:color w:val="auto"/>
                <w:szCs w:val="21"/>
              </w:rPr>
              <w:t>#</w:t>
            </w:r>
          </w:p>
        </w:tc>
        <w:tc>
          <w:tcPr>
            <w:tcW w:w="668"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Cs w:val="21"/>
              </w:rPr>
              <w:t>5</w:t>
            </w:r>
            <w:r>
              <w:rPr>
                <w:rFonts w:hint="default" w:ascii="Times New Roman" w:hAnsi="Times New Roman" w:cs="Times New Roman"/>
                <w:b w:val="0"/>
                <w:bCs w:val="0"/>
                <w:color w:val="auto"/>
                <w:szCs w:val="21"/>
              </w:rPr>
              <w:t>#</w:t>
            </w:r>
          </w:p>
        </w:tc>
        <w:tc>
          <w:tcPr>
            <w:tcW w:w="850"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Cs w:val="21"/>
              </w:rPr>
              <w:t>7</w:t>
            </w:r>
            <w:r>
              <w:rPr>
                <w:rFonts w:hint="default" w:ascii="Times New Roman" w:hAnsi="Times New Roman" w:cs="Times New Roman"/>
                <w:b w:val="0"/>
                <w:bCs w:val="0"/>
                <w:color w:val="auto"/>
                <w:szCs w:val="21"/>
              </w:rPr>
              <w:t>#</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第二类用地</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第二类用地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pH</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7.93</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7.58</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7.73</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7.45</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7.77</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bidi="en-US"/>
              </w:rPr>
              <w:t>砷</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10.26</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10.47</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8.29</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9.28</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11.64</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bidi="en-US"/>
              </w:rPr>
              <w:t>汞</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 xml:space="preserve">0.380 </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0.098</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0.046</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0.05</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0.199</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en-US"/>
              </w:rPr>
              <w:t>镉</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0.42</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0.47</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0.25</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0.24</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 xml:space="preserve">4.40 </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镍</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28</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29</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39</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39</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43</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铅</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16.3</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 xml:space="preserve">18.0 </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8.4</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8.5</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32.5</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800</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852" w:type="dxa"/>
            <w:tcBorders>
              <w:top w:val="single" w:color="auto" w:sz="6" w:space="0"/>
              <w:bottom w:val="single" w:color="auto" w:sz="6" w:space="0"/>
            </w:tcBorders>
            <w:noWrap w:val="0"/>
            <w:vAlign w:val="center"/>
          </w:tcPr>
          <w:p>
            <w:pPr>
              <w:spacing w:line="240" w:lineRule="exact"/>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铜</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217</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bCs/>
                <w:color w:val="auto"/>
                <w:kern w:val="0"/>
                <w:szCs w:val="21"/>
              </w:rPr>
              <w:t>332</w:t>
            </w:r>
          </w:p>
        </w:tc>
        <w:tc>
          <w:tcPr>
            <w:tcW w:w="852"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227</w:t>
            </w:r>
          </w:p>
        </w:tc>
        <w:tc>
          <w:tcPr>
            <w:tcW w:w="668"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227</w:t>
            </w:r>
          </w:p>
        </w:tc>
        <w:tc>
          <w:tcPr>
            <w:tcW w:w="850" w:type="dxa"/>
            <w:tcBorders>
              <w:top w:val="single" w:color="auto" w:sz="6" w:space="0"/>
              <w:bottom w:val="single" w:color="auto" w:sz="6"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7733</w:t>
            </w:r>
          </w:p>
        </w:tc>
        <w:tc>
          <w:tcPr>
            <w:tcW w:w="127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18000</w:t>
            </w:r>
          </w:p>
        </w:tc>
        <w:tc>
          <w:tcPr>
            <w:tcW w:w="1356" w:type="dxa"/>
            <w:tcBorders>
              <w:top w:val="single" w:color="auto" w:sz="6" w:space="0"/>
              <w:bottom w:val="single" w:color="auto" w:sz="6"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4" w:hRule="exact"/>
        </w:trPr>
        <w:tc>
          <w:tcPr>
            <w:tcW w:w="852" w:type="dxa"/>
            <w:tcBorders>
              <w:top w:val="single" w:color="auto" w:sz="6" w:space="0"/>
              <w:bottom w:val="single" w:color="auto" w:sz="12"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852" w:type="dxa"/>
            <w:tcBorders>
              <w:top w:val="single" w:color="auto" w:sz="6" w:space="0"/>
              <w:bottom w:val="single" w:color="auto" w:sz="12" w:space="0"/>
            </w:tcBorders>
            <w:noWrap w:val="0"/>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锌</w:t>
            </w:r>
          </w:p>
        </w:tc>
        <w:tc>
          <w:tcPr>
            <w:tcW w:w="852" w:type="dxa"/>
            <w:tcBorders>
              <w:top w:val="single" w:color="auto" w:sz="6" w:space="0"/>
              <w:bottom w:val="single" w:color="auto" w:sz="12"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116</w:t>
            </w:r>
          </w:p>
        </w:tc>
        <w:tc>
          <w:tcPr>
            <w:tcW w:w="852" w:type="dxa"/>
            <w:tcBorders>
              <w:top w:val="single" w:color="auto" w:sz="6" w:space="0"/>
              <w:bottom w:val="single" w:color="auto" w:sz="12" w:space="0"/>
            </w:tcBorders>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162</w:t>
            </w:r>
          </w:p>
        </w:tc>
        <w:tc>
          <w:tcPr>
            <w:tcW w:w="852" w:type="dxa"/>
            <w:tcBorders>
              <w:top w:val="single" w:color="auto" w:sz="6" w:space="0"/>
              <w:bottom w:val="single" w:color="auto" w:sz="12"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114</w:t>
            </w:r>
          </w:p>
        </w:tc>
        <w:tc>
          <w:tcPr>
            <w:tcW w:w="668" w:type="dxa"/>
            <w:tcBorders>
              <w:top w:val="single" w:color="auto" w:sz="6" w:space="0"/>
              <w:bottom w:val="single" w:color="auto" w:sz="12"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cs="Times New Roman"/>
                <w:color w:val="auto"/>
                <w:szCs w:val="21"/>
                <w:lang w:bidi="en-US"/>
              </w:rPr>
              <w:t>113</w:t>
            </w:r>
          </w:p>
        </w:tc>
        <w:tc>
          <w:tcPr>
            <w:tcW w:w="850" w:type="dxa"/>
            <w:tcBorders>
              <w:top w:val="single" w:color="auto" w:sz="6" w:space="0"/>
              <w:bottom w:val="single" w:color="auto" w:sz="12" w:space="0"/>
            </w:tcBorders>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3371</w:t>
            </w:r>
          </w:p>
        </w:tc>
        <w:tc>
          <w:tcPr>
            <w:tcW w:w="1276" w:type="dxa"/>
            <w:tcBorders>
              <w:top w:val="single" w:color="auto" w:sz="6" w:space="0"/>
              <w:bottom w:val="single" w:color="auto" w:sz="12"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1356" w:type="dxa"/>
            <w:tcBorders>
              <w:top w:val="single" w:color="auto" w:sz="6" w:space="0"/>
              <w:bottom w:val="single" w:color="auto" w:sz="12" w:space="0"/>
            </w:tcBorders>
            <w:noWrap w:val="0"/>
            <w:vAlign w:val="center"/>
          </w:tcPr>
          <w:p>
            <w:pPr>
              <w:spacing w:line="240" w:lineRule="exact"/>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172</w:t>
            </w:r>
          </w:p>
        </w:tc>
      </w:tr>
    </w:tbl>
    <w:p>
      <w:pPr>
        <w:keepNext w:val="0"/>
        <w:keepLines w:val="0"/>
        <w:pageBreakBefore w:val="0"/>
        <w:widowControl w:val="0"/>
        <w:kinsoku/>
        <w:wordWrap/>
        <w:overflowPunct/>
        <w:topLinePunct w:val="0"/>
        <w:autoSpaceDE/>
        <w:autoSpaceDN/>
        <w:bidi w:val="0"/>
        <w:adjustRightInd w:val="0"/>
        <w:snapToGrid w:val="0"/>
        <w:spacing w:before="469" w:beforeLines="150" w:line="360" w:lineRule="auto"/>
        <w:jc w:val="center"/>
        <w:textAlignment w:val="auto"/>
        <w:rPr>
          <w:rFonts w:hint="default" w:ascii="Times New Roman" w:hAnsi="Times New Roman" w:cs="Times New Roman"/>
          <w:color w:val="auto"/>
          <w:kern w:val="2"/>
          <w:sz w:val="21"/>
          <w:szCs w:val="24"/>
          <w:lang w:val="en-US" w:eastAsia="zh-CN" w:bidi="ar-SA"/>
        </w:rPr>
      </w:pPr>
      <w:bookmarkStart w:id="786" w:name="_Toc31286_WPSOffice_Level1"/>
      <w:r>
        <w:rPr>
          <w:rFonts w:hint="default" w:ascii="Times New Roman" w:hAnsi="Times New Roman" w:eastAsia="黑体" w:cs="Times New Roman"/>
          <w:color w:val="auto"/>
          <w:szCs w:val="21"/>
          <w:lang w:val="en-US" w:eastAsia="zh-CN"/>
        </w:rPr>
        <w:t>表4.2-7  矿区内1#土壤检测及评价结果              单位mg/kg</w:t>
      </w:r>
      <w:bookmarkEnd w:id="786"/>
    </w:p>
    <w:tbl>
      <w:tblPr>
        <w:tblStyle w:val="7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10"/>
        <w:gridCol w:w="3066"/>
        <w:gridCol w:w="2176"/>
        <w:gridCol w:w="21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651" w:type="pct"/>
            <w:noWrap w:val="0"/>
            <w:vAlign w:val="center"/>
          </w:tcPr>
          <w:p>
            <w:pPr>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序号</w:t>
            </w:r>
          </w:p>
        </w:tc>
        <w:tc>
          <w:tcPr>
            <w:tcW w:w="1798" w:type="pct"/>
            <w:noWrap w:val="0"/>
            <w:vAlign w:val="center"/>
          </w:tcPr>
          <w:p>
            <w:pPr>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检测项目</w:t>
            </w:r>
          </w:p>
        </w:tc>
        <w:tc>
          <w:tcPr>
            <w:tcW w:w="1276" w:type="pct"/>
            <w:noWrap w:val="0"/>
            <w:vAlign w:val="center"/>
          </w:tcPr>
          <w:p>
            <w:pPr>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检测结果</w:t>
            </w:r>
          </w:p>
        </w:tc>
        <w:tc>
          <w:tcPr>
            <w:tcW w:w="1273" w:type="pct"/>
            <w:noWrap w:val="0"/>
            <w:vAlign w:val="center"/>
          </w:tcPr>
          <w:p>
            <w:pPr>
              <w:spacing w:line="240" w:lineRule="exact"/>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筛选值</w:t>
            </w:r>
          </w:p>
          <w:p>
            <w:pPr>
              <w:spacing w:line="240" w:lineRule="exact"/>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第二类用地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cs="Times New Roman"/>
                <w:color w:val="auto"/>
                <w:szCs w:val="21"/>
                <w:lang w:bidi="en-US"/>
              </w:rPr>
              <w:t>1</w:t>
            </w:r>
          </w:p>
        </w:tc>
        <w:tc>
          <w:tcPr>
            <w:tcW w:w="1798" w:type="pct"/>
            <w:noWrap w:val="0"/>
            <w:vAlign w:val="center"/>
          </w:tcPr>
          <w:p>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bidi="en-US"/>
              </w:rPr>
              <w:t>砷</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13.41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rPr>
              <w:t>2</w:t>
            </w:r>
          </w:p>
        </w:tc>
        <w:tc>
          <w:tcPr>
            <w:tcW w:w="1798" w:type="pct"/>
            <w:noWrap w:val="0"/>
            <w:vAlign w:val="center"/>
          </w:tcPr>
          <w:p>
            <w:pPr>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bidi="en-US"/>
              </w:rPr>
              <w:t>镉</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2.94</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3</w:t>
            </w:r>
          </w:p>
        </w:tc>
        <w:tc>
          <w:tcPr>
            <w:tcW w:w="179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铬（六价）</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w:t>
            </w:r>
            <w:r>
              <w:rPr>
                <w:rFonts w:hint="default" w:ascii="Times New Roman" w:hAnsi="Times New Roman" w:cs="Times New Roman"/>
                <w:color w:val="auto"/>
                <w:szCs w:val="21"/>
                <w:lang w:bidi="en-US"/>
              </w:rPr>
              <w:t>2</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5.7</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4</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铜</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2146</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18000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5</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铅</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30.4</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800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6</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汞</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0.176</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7</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镍</w:t>
            </w:r>
          </w:p>
        </w:tc>
        <w:tc>
          <w:tcPr>
            <w:tcW w:w="1276" w:type="pct"/>
            <w:noWrap w:val="0"/>
            <w:vAlign w:val="center"/>
          </w:tcPr>
          <w:p>
            <w:pPr>
              <w:jc w:val="center"/>
              <w:rPr>
                <w:rFonts w:hint="default" w:ascii="Times New Roman" w:hAnsi="Times New Roman" w:cs="Times New Roman"/>
                <w:color w:val="auto"/>
                <w:szCs w:val="21"/>
                <w:lang w:bidi="en-US"/>
              </w:rPr>
            </w:pPr>
            <w:r>
              <w:rPr>
                <w:rFonts w:hint="default" w:ascii="Times New Roman" w:hAnsi="Times New Roman" w:eastAsia="宋体" w:cs="Times New Roman"/>
                <w:color w:val="auto"/>
                <w:szCs w:val="21"/>
                <w:lang w:bidi="en-US"/>
              </w:rPr>
              <w:t>41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900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8</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rPr>
              <w:t>氯甲烷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&lt;1.0</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616</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9</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&lt;1.0</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0.43</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10</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1,1-二氯乙烯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&lt;1.0</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11</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二氯甲烷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&lt;1.5</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616</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12</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反式-1,2-二氯乙烯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&lt;1.4</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54</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13</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1,1-二氯乙烷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9</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14</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顺式-1,2-二氯乙烯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&lt;1.3</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596</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15</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val="zh-CN"/>
              </w:rPr>
              <w:t>氯仿</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&lt;1.1</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0.9</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16</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1,1,1-三氯乙烷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&lt;1.3</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17</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四氯化碳</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&lt;1.3</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18</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&lt;1.9</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cs="Times New Roman"/>
                <w:bCs/>
                <w:color w:val="auto"/>
                <w:szCs w:val="21"/>
              </w:rPr>
            </w:pPr>
            <w:r>
              <w:rPr>
                <w:rFonts w:hint="default" w:ascii="Times New Roman" w:hAnsi="Times New Roman" w:eastAsia="宋体" w:cs="Times New Roman"/>
                <w:bCs/>
                <w:color w:val="auto"/>
                <w:szCs w:val="21"/>
              </w:rPr>
              <w:t>4</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19</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1,2二氯乙烷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&lt;1.3</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20</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三氯乙烯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bidi="en-US"/>
              </w:rPr>
              <w:t>21</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1,2-二氯丙烷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&lt;1.1</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甲苯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&lt;1.3</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1200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bidi="en-US"/>
              </w:rPr>
              <w:t>23</w:t>
            </w:r>
          </w:p>
        </w:tc>
        <w:tc>
          <w:tcPr>
            <w:tcW w:w="1798" w:type="pct"/>
            <w:noWrap w:val="0"/>
            <w:vAlign w:val="center"/>
          </w:tcPr>
          <w:p>
            <w:pPr>
              <w:jc w:val="center"/>
              <w:rPr>
                <w:rFonts w:hint="default" w:ascii="Times New Roman" w:hAnsi="Times New Roman" w:eastAsia="宋体" w:cs="Times New Roman"/>
                <w:color w:val="auto"/>
                <w:szCs w:val="21"/>
                <w:lang w:bidi="en-US"/>
              </w:rPr>
            </w:pPr>
            <w:r>
              <w:rPr>
                <w:rFonts w:hint="default" w:ascii="Times New Roman" w:hAnsi="Times New Roman" w:eastAsia="宋体" w:cs="Times New Roman"/>
                <w:color w:val="auto"/>
                <w:szCs w:val="21"/>
                <w:lang w:bidi="en-US"/>
              </w:rPr>
              <w:t>1,1,2-三氯乙烷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color w:val="auto"/>
                <w:szCs w:val="21"/>
                <w:lang w:bidi="en-US"/>
              </w:rPr>
              <w:t>24</w:t>
            </w:r>
          </w:p>
        </w:tc>
        <w:tc>
          <w:tcPr>
            <w:tcW w:w="1798"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lang w:bidi="en-US"/>
              </w:rPr>
              <w:t>四氯乙烷</w:t>
            </w:r>
          </w:p>
        </w:tc>
        <w:tc>
          <w:tcPr>
            <w:tcW w:w="1276"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&lt;1.4</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53</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rPr>
              <w:t>25</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氯苯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26</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1,1,1,2-四氯乙烷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cs="Times New Roman"/>
                <w:bCs/>
                <w:color w:val="auto"/>
                <w:szCs w:val="21"/>
              </w:rPr>
            </w:pPr>
            <w:r>
              <w:rPr>
                <w:rFonts w:hint="default" w:ascii="Times New Roman" w:hAnsi="Times New Roman" w:eastAsia="宋体" w:cs="Times New Roman"/>
                <w:color w:val="auto"/>
                <w:szCs w:val="21"/>
                <w:lang w:bidi="en-US"/>
              </w:rPr>
              <w:t>0.8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27</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乙苯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28</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28</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1,2,3-三氯丙烷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29</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间-二甲苯+对二甲苯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570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30</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邻-二甲苯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640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31</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苯乙烯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1290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32</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1,1,2,2-四氯乙烷</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&lt;1.2</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33</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1,4-二氯苯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&lt;1.5</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34</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1,2-二氯苯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&lt;1.5</w:t>
            </w:r>
            <w:r>
              <w:rPr>
                <w:rFonts w:hint="default" w:ascii="Times New Roman" w:hAnsi="Times New Roman" w:eastAsia="宋体" w:cs="Times New Roman"/>
                <w:bCs/>
                <w:color w:val="auto"/>
                <w:kern w:val="0"/>
                <w:szCs w:val="21"/>
              </w:rPr>
              <w:t xml:space="preserve"> ug/kg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560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highlight w:val="yellow"/>
              </w:rPr>
            </w:pPr>
            <w:r>
              <w:rPr>
                <w:rFonts w:hint="default" w:ascii="Times New Roman" w:hAnsi="Times New Roman" w:cs="Times New Roman"/>
                <w:color w:val="auto"/>
                <w:szCs w:val="21"/>
              </w:rPr>
              <w:t>35</w:t>
            </w:r>
          </w:p>
        </w:tc>
        <w:tc>
          <w:tcPr>
            <w:tcW w:w="1798" w:type="pct"/>
            <w:noWrap w:val="0"/>
            <w:vAlign w:val="center"/>
          </w:tcPr>
          <w:p>
            <w:pPr>
              <w:jc w:val="center"/>
              <w:rPr>
                <w:rFonts w:hint="default" w:ascii="Times New Roman" w:hAnsi="Times New Roman" w:eastAsia="宋体" w:cs="Times New Roman"/>
                <w:bCs/>
                <w:color w:val="auto"/>
                <w:szCs w:val="21"/>
                <w:highlight w:val="yellow"/>
              </w:rPr>
            </w:pPr>
            <w:r>
              <w:rPr>
                <w:rFonts w:hint="default" w:ascii="Times New Roman" w:hAnsi="Times New Roman" w:eastAsia="宋体" w:cs="Times New Roman"/>
                <w:color w:val="auto"/>
                <w:szCs w:val="21"/>
                <w:lang w:bidi="en-US"/>
              </w:rPr>
              <w:t>苯胺</w:t>
            </w:r>
          </w:p>
        </w:tc>
        <w:tc>
          <w:tcPr>
            <w:tcW w:w="1276" w:type="pct"/>
            <w:noWrap w:val="0"/>
            <w:vAlign w:val="center"/>
          </w:tcPr>
          <w:p>
            <w:pPr>
              <w:jc w:val="center"/>
              <w:rPr>
                <w:rFonts w:hint="default" w:ascii="Times New Roman" w:hAnsi="Times New Roman" w:eastAsia="宋体" w:cs="Times New Roman"/>
                <w:bCs/>
                <w:color w:val="auto"/>
                <w:szCs w:val="21"/>
                <w:highlight w:val="yellow"/>
              </w:rPr>
            </w:pPr>
            <w:r>
              <w:rPr>
                <w:rFonts w:hint="default" w:ascii="Times New Roman" w:hAnsi="Times New Roman" w:eastAsia="宋体" w:cs="Times New Roman"/>
                <w:bCs/>
                <w:color w:val="auto"/>
                <w:szCs w:val="21"/>
              </w:rPr>
              <w:t>&lt;0.0004</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260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36</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2-氯酚</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&lt;0.06</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2256</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37</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硝基苯</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&lt;0.09</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76</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38</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萘</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0.14</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70</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39</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䓛</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1293</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40</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苯并[a]蒽</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rPr>
              <w:t>41</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苯并[b]荧蒽</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&lt;0.2</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bCs/>
                <w:color w:val="auto"/>
                <w:szCs w:val="21"/>
              </w:rPr>
              <w:t>42</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苯并[k]荧蒽</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151</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43</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苯并[a]芘</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w:t>
            </w:r>
          </w:p>
        </w:tc>
        <w:tc>
          <w:tcPr>
            <w:tcW w:w="1798"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bidi="en-US"/>
              </w:rPr>
              <w:t>二苯并[a,h]蒽</w:t>
            </w:r>
          </w:p>
        </w:tc>
        <w:tc>
          <w:tcPr>
            <w:tcW w:w="1276"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r>
              <w:rPr>
                <w:rFonts w:hint="default" w:ascii="Times New Roman" w:hAnsi="Times New Roman" w:eastAsia="宋体" w:cs="Times New Roman"/>
                <w:bCs/>
                <w:color w:val="auto"/>
                <w:kern w:val="0"/>
                <w:szCs w:val="21"/>
              </w:rPr>
              <w:t xml:space="preserve">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651"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cs="Times New Roman"/>
                <w:color w:val="auto"/>
                <w:szCs w:val="21"/>
              </w:rPr>
              <w:t>45</w:t>
            </w:r>
          </w:p>
        </w:tc>
        <w:tc>
          <w:tcPr>
            <w:tcW w:w="1798" w:type="pct"/>
            <w:noWrap w:val="0"/>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Cs w:val="21"/>
                <w:lang w:bidi="en-US"/>
              </w:rPr>
              <w:t>茚并[1,2,3-cd]芘</w:t>
            </w:r>
          </w:p>
        </w:tc>
        <w:tc>
          <w:tcPr>
            <w:tcW w:w="1276" w:type="pct"/>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Cs/>
                <w:color w:val="auto"/>
                <w:szCs w:val="21"/>
              </w:rPr>
              <w:t>&lt;0.1</w:t>
            </w:r>
            <w:r>
              <w:rPr>
                <w:rFonts w:hint="default" w:ascii="Times New Roman" w:hAnsi="Times New Roman" w:eastAsia="宋体" w:cs="Times New Roman"/>
                <w:bCs/>
                <w:color w:val="auto"/>
                <w:kern w:val="0"/>
                <w:szCs w:val="21"/>
              </w:rPr>
              <w:t xml:space="preserve"> mg/kg</w:t>
            </w:r>
          </w:p>
        </w:tc>
        <w:tc>
          <w:tcPr>
            <w:tcW w:w="1273" w:type="pct"/>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r>
              <w:rPr>
                <w:rFonts w:hint="default" w:ascii="Times New Roman" w:hAnsi="Times New Roman" w:eastAsia="宋体" w:cs="Times New Roman"/>
                <w:bCs/>
                <w:color w:val="auto"/>
                <w:kern w:val="0"/>
                <w:szCs w:val="21"/>
              </w:rPr>
              <w:t xml:space="preserve"> mg/kg</w:t>
            </w:r>
          </w:p>
        </w:tc>
      </w:tr>
    </w:tbl>
    <w:p>
      <w:pPr>
        <w:adjustRightInd w:val="0"/>
        <w:snapToGrid w:val="0"/>
        <w:rPr>
          <w:rFonts w:hint="default" w:ascii="Times New Roman" w:hAnsi="Times New Roman" w:eastAsia="黑体" w:cs="Times New Roman"/>
          <w:color w:val="auto"/>
          <w:szCs w:val="21"/>
        </w:rPr>
      </w:pPr>
    </w:p>
    <w:p>
      <w:pPr>
        <w:spacing w:line="360" w:lineRule="auto"/>
        <w:ind w:firstLine="600" w:firstLineChars="250"/>
        <w:textAlignment w:val="baseline"/>
        <w:rPr>
          <w:rFonts w:hint="default" w:ascii="Times New Roman" w:hAnsi="Times New Roman" w:cs="Times New Roman"/>
          <w:color w:val="auto"/>
          <w:sz w:val="24"/>
        </w:rPr>
      </w:pPr>
      <w:bookmarkStart w:id="787" w:name="_Toc6731"/>
      <w:bookmarkStart w:id="788" w:name="_Toc27527"/>
      <w:bookmarkStart w:id="789" w:name="_Toc5331"/>
      <w:bookmarkStart w:id="790" w:name="_Toc17525"/>
      <w:r>
        <w:rPr>
          <w:rFonts w:hint="default" w:ascii="Times New Roman" w:hAnsi="Times New Roman" w:cs="Times New Roman"/>
          <w:color w:val="auto"/>
          <w:sz w:val="24"/>
        </w:rPr>
        <w:t>从表4.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和表4.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评价结果可以看出，项目区域内土壤pH值均大于7，为轻度碱化，轻度盐化，其余指标均能满足《土壤环境指标  建设用地土壤污染风险管控标准（试行）》（GB36600-2018）的相关限值要求；项目区外土壤pH值均大于7为中度碱化，中度盐化，其余监测因子均能满足《土壤环境质量  农用地土壤污染风险管控标准（试行）》（GB15618-2018）的相关限值要求。</w:t>
      </w:r>
    </w:p>
    <w:bookmarkEnd w:id="787"/>
    <w:bookmarkEnd w:id="788"/>
    <w:bookmarkEnd w:id="789"/>
    <w:bookmarkEnd w:id="790"/>
    <w:p>
      <w:pPr>
        <w:pStyle w:val="4"/>
        <w:keepNext/>
        <w:keepLines w:val="0"/>
        <w:pageBreakBefore w:val="0"/>
        <w:widowControl w:val="0"/>
        <w:kinsoku/>
        <w:wordWrap/>
        <w:overflowPunct/>
        <w:topLinePunct w:val="0"/>
        <w:autoSpaceDE/>
        <w:autoSpaceDN/>
        <w:bidi w:val="0"/>
        <w:adjustRightInd w:val="0"/>
        <w:snapToGrid w:val="0"/>
        <w:spacing w:before="157" w:beforeLines="50" w:line="360" w:lineRule="auto"/>
        <w:ind w:left="0" w:firstLine="0"/>
        <w:jc w:val="both"/>
        <w:textAlignment w:val="auto"/>
        <w:rPr>
          <w:rFonts w:hint="default" w:ascii="Times New Roman" w:hAnsi="Times New Roman" w:cs="Times New Roman"/>
          <w:b/>
          <w:bCs/>
          <w:color w:val="auto"/>
          <w:sz w:val="28"/>
          <w:szCs w:val="28"/>
          <w:lang w:eastAsia="zh-CN"/>
        </w:rPr>
      </w:pPr>
      <w:bookmarkStart w:id="791" w:name="_Toc231651859"/>
      <w:bookmarkStart w:id="792" w:name="_Toc235881586"/>
      <w:bookmarkStart w:id="793" w:name="_Toc235881516"/>
      <w:bookmarkStart w:id="794" w:name="_Toc11228"/>
      <w:r>
        <w:rPr>
          <w:rFonts w:hint="default" w:ascii="Times New Roman" w:hAnsi="Times New Roman" w:cs="Times New Roman"/>
          <w:b/>
          <w:bCs/>
          <w:color w:val="auto"/>
          <w:sz w:val="28"/>
          <w:szCs w:val="28"/>
          <w:lang w:val="en-US" w:eastAsia="zh-CN"/>
        </w:rPr>
        <w:t>4.3</w:t>
      </w:r>
      <w:bookmarkEnd w:id="791"/>
      <w:bookmarkEnd w:id="792"/>
      <w:bookmarkEnd w:id="793"/>
      <w:r>
        <w:rPr>
          <w:rFonts w:hint="default" w:ascii="Times New Roman" w:hAnsi="Times New Roman" w:cs="Times New Roman"/>
          <w:b/>
          <w:bCs/>
          <w:color w:val="auto"/>
          <w:sz w:val="28"/>
          <w:szCs w:val="28"/>
        </w:rPr>
        <w:t>矿山现状</w:t>
      </w:r>
      <w:bookmarkEnd w:id="794"/>
      <w:r>
        <w:rPr>
          <w:rFonts w:hint="default" w:ascii="Times New Roman" w:hAnsi="Times New Roman" w:cs="Times New Roman"/>
          <w:b/>
          <w:bCs/>
          <w:color w:val="auto"/>
          <w:sz w:val="28"/>
          <w:szCs w:val="28"/>
        </w:rPr>
        <w:t>及</w:t>
      </w:r>
      <w:r>
        <w:rPr>
          <w:rFonts w:hint="default" w:ascii="Times New Roman" w:hAnsi="Times New Roman" w:cs="Times New Roman"/>
          <w:b/>
          <w:bCs/>
          <w:color w:val="auto"/>
          <w:sz w:val="28"/>
          <w:szCs w:val="28"/>
          <w:lang w:eastAsia="zh-CN"/>
        </w:rPr>
        <w:t>存在的环境问题</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lang w:val="en-US" w:eastAsia="zh-CN"/>
        </w:rPr>
      </w:pPr>
      <w:bookmarkStart w:id="795" w:name="_Toc7786"/>
      <w:bookmarkStart w:id="796" w:name="_Toc381653464"/>
      <w:r>
        <w:rPr>
          <w:rFonts w:hint="default" w:ascii="Times New Roman" w:hAnsi="Times New Roman" w:cs="Times New Roman"/>
          <w:b/>
          <w:bCs/>
          <w:color w:val="auto"/>
          <w:sz w:val="24"/>
          <w:szCs w:val="24"/>
          <w:lang w:val="en-US" w:eastAsia="zh-CN"/>
        </w:rPr>
        <w:t>4.3.1 矿山现状</w:t>
      </w:r>
    </w:p>
    <w:p>
      <w:pPr>
        <w:pStyle w:val="446"/>
        <w:pageBreakBefore w:val="0"/>
        <w:widowControl w:val="0"/>
        <w:kinsoku/>
        <w:wordWrap/>
        <w:overflowPunct/>
        <w:topLinePunct w:val="0"/>
        <w:bidi w:val="0"/>
        <w:adjustRightInd w:val="0"/>
        <w:snapToGrid w:val="0"/>
        <w:spacing w:line="360" w:lineRule="auto"/>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新疆达坂城柴窝堡杏树沟铜矿是一个小型规模的老矿山，2013年乌鲁木齐北天山欣欣矿业有限公司取得该矿采矿权，采矿许可证有效期自2013年3月27日至2020年8月27日（证号：C6500002010123120107175）。</w:t>
      </w:r>
    </w:p>
    <w:p>
      <w:pPr>
        <w:pStyle w:val="378"/>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老矿山</w:t>
      </w:r>
      <w:r>
        <w:rPr>
          <w:rFonts w:hint="default" w:ascii="Times New Roman" w:hAnsi="Times New Roman" w:cs="Times New Roman"/>
          <w:color w:val="auto"/>
        </w:rPr>
        <w:t>生活区位于矿区南部沟谷内的平缓开阔地带，总建筑面积744m</w:t>
      </w:r>
      <w:r>
        <w:rPr>
          <w:rFonts w:hint="default" w:ascii="Times New Roman" w:hAnsi="Times New Roman" w:cs="Times New Roman"/>
          <w:color w:val="auto"/>
          <w:vertAlign w:val="superscript"/>
        </w:rPr>
        <w:t>2</w:t>
      </w:r>
      <w:r>
        <w:rPr>
          <w:rFonts w:hint="default" w:ascii="Times New Roman" w:hAnsi="Times New Roman" w:cs="Times New Roman"/>
          <w:color w:val="auto"/>
        </w:rPr>
        <w:t>，占地面积约6000m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kern w:val="2"/>
          <w:sz w:val="24"/>
          <w:szCs w:val="24"/>
          <w:lang w:val="en-US" w:eastAsia="zh-CN" w:bidi="ar-SA"/>
        </w:rPr>
        <w:t>矿山以往临时爆破器材库建筑物已被拆除</w:t>
      </w:r>
      <w:r>
        <w:rPr>
          <w:rFonts w:hint="eastAsia" w:ascii="Times New Roman" w:hAnsi="Times New Roman" w:cs="Times New Roman"/>
          <w:color w:val="auto"/>
          <w:kern w:val="2"/>
          <w:sz w:val="24"/>
          <w:szCs w:val="24"/>
          <w:lang w:val="en-US" w:eastAsia="zh-CN" w:bidi="ar-SA"/>
        </w:rPr>
        <w:t>。</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根据现状调查，矿山目前在地表有3个老采坑（1、2、3号露天采坑）、3处废石堆放区域、3处废弃平硐口和1处采空区，具体如下：</w:t>
      </w:r>
    </w:p>
    <w:bookmarkEnd w:id="795"/>
    <w:bookmarkEnd w:id="796"/>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1、三处露天采坑</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矿山目前在地表有3个老采坑（1、2、3号露天采坑），分述如下：</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1）1号露天采坑位于Ⅰ、Ⅱ矿体上部，呈L形，采坑长约17-87m，宽约30-60m，深约6-25m，面积约3000m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，体积约2.15万m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2）2号露天采坑位于Ⅲ矿体上部，采坑长约142m，宽约6-10m，深约2-10m，面积约1200m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3）3号露天采坑位于Ⅳ矿体上部，采坑长约53m，宽约6-11m，深约4.5m，面积约500m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，现状下未回填。</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上述三处露天采坑区域面积共计4700m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，露天采坑体积共计约2.5万m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2、三处废石堆放区域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1）1号废石堆放区域位于1号露天采坑北东部约200m处，废石堆放长70m，宽4-8m，最大堆高6-8m，占地面积500m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left"/>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2）2号废石堆放区域位于2号露天采坑周边，废石堆放长约30m，宽约30m，最大堆高约7m，占地面积900m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，体积约2500m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3）3号废石堆放区域位于3号露天采坑东北部约100m处，废石堆放长约40-50m，宽约6m，最大堆高约6m，占地面积300m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，体积约1000m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pageBreakBefore w:val="0"/>
        <w:widowControl w:val="0"/>
        <w:kinsoku/>
        <w:wordWrap/>
        <w:overflowPunct/>
        <w:topLinePunct w:val="0"/>
        <w:autoSpaceDE/>
        <w:autoSpaceDN/>
        <w:bidi w:val="0"/>
        <w:spacing w:line="480" w:lineRule="exact"/>
        <w:ind w:left="0" w:leftChars="0" w:right="0" w:rightChars="0" w:firstLine="56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上述三处废石堆放面积共计1700m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，废石体积共计5000m</w:t>
      </w:r>
      <w:r>
        <w:rPr>
          <w:rFonts w:hint="default" w:ascii="Times New Roman" w:hAnsi="Times New Roman" w:cs="Times New Roman"/>
          <w:color w:val="auto"/>
          <w:kern w:val="2"/>
          <w:sz w:val="24"/>
          <w:szCs w:val="24"/>
          <w:vertAlign w:val="superscript"/>
          <w:lang w:val="en-US" w:eastAsia="zh-CN" w:bidi="ar-SA"/>
        </w:rPr>
        <w:t>3</w:t>
      </w:r>
      <w:r>
        <w:rPr>
          <w:rFonts w:hint="default" w:ascii="Times New Roman" w:hAnsi="Times New Roman"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3、三处废弃平硐口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根据开发利用方案，矿山原有的三处平硐（PD5、PD6、PD7）不再利用，平硐口截面净面积均为4.81m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，总面积约15m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，现状下未封堵。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4、现状下采空区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根据储量核实报告，现状下采空区位于Ⅲ号矿体上部，采空区地表长约180m，在1968m水平处长140m，采矿从地表到1968m水平最深处为65m，最低处深度约为23m，采空区面积4408m</w:t>
      </w:r>
      <w:r>
        <w:rPr>
          <w:rFonts w:hint="default" w:ascii="Times New Roman" w:hAnsi="Times New Roman" w:cs="Times New Roman"/>
          <w:color w:val="auto"/>
          <w:kern w:val="2"/>
          <w:sz w:val="24"/>
          <w:szCs w:val="24"/>
          <w:vertAlign w:val="superscript"/>
          <w:lang w:val="en-US" w:eastAsia="zh-CN" w:bidi="ar-SA"/>
        </w:rPr>
        <w:t>2</w:t>
      </w:r>
      <w:r>
        <w:rPr>
          <w:rFonts w:hint="default" w:ascii="Times New Roman" w:hAnsi="Times New Roman" w:cs="Times New Roman"/>
          <w:color w:val="auto"/>
          <w:kern w:val="2"/>
          <w:sz w:val="24"/>
          <w:szCs w:val="24"/>
          <w:lang w:val="en-US" w:eastAsia="zh-CN" w:bidi="ar-SA"/>
        </w:rPr>
        <w:t>，现状下未发生地面塌陷地质灾害。</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现状下，矿山未进行开采。</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4.3.2 矿山存在的环境问题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根据现场情况来看，主要存在的环境问题如下：</w:t>
      </w:r>
    </w:p>
    <w:p>
      <w:pPr>
        <w:pStyle w:val="2"/>
        <w:rPr>
          <w:rFonts w:hint="default" w:ascii="Times New Roman" w:hAnsi="Times New Roman" w:cs="Times New Roman"/>
          <w:color w:val="auto"/>
          <w:kern w:val="2"/>
          <w:sz w:val="24"/>
          <w:szCs w:val="24"/>
          <w:lang w:val="en-US" w:eastAsia="zh-CN" w:bidi="ar-SA"/>
        </w:rPr>
      </w:pPr>
    </w:p>
    <w:p>
      <w:pPr>
        <w:pStyle w:val="2"/>
        <w:rPr>
          <w:rFonts w:hint="default" w:ascii="Times New Roman" w:hAnsi="Times New Roman" w:cs="Times New Roman"/>
          <w:color w:val="auto"/>
          <w:kern w:val="2"/>
          <w:sz w:val="24"/>
          <w:szCs w:val="24"/>
          <w:lang w:val="en-US" w:eastAsia="zh-CN" w:bidi="ar-SA"/>
        </w:rPr>
      </w:pPr>
    </w:p>
    <w:p>
      <w:pPr>
        <w:pStyle w:val="2"/>
        <w:rPr>
          <w:rFonts w:hint="default" w:ascii="Times New Roman" w:hAnsi="Times New Roman"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color w:val="auto"/>
          <w:szCs w:val="21"/>
          <w:lang w:val="en-US" w:eastAsia="zh-CN"/>
        </w:rPr>
        <w:t>4.3-1各采区现存环保问题及整改措施</w:t>
      </w:r>
    </w:p>
    <w:tbl>
      <w:tblPr>
        <w:tblStyle w:val="79"/>
        <w:tblW w:w="8721"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165"/>
        <w:gridCol w:w="2897"/>
        <w:gridCol w:w="138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采区名称</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现存环保问题</w:t>
            </w:r>
          </w:p>
        </w:tc>
        <w:tc>
          <w:tcPr>
            <w:tcW w:w="2897"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整改措施</w:t>
            </w:r>
          </w:p>
        </w:tc>
        <w:tc>
          <w:tcPr>
            <w:tcW w:w="1383"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整改时限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Ⅰ矿体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w:t>
            </w:r>
            <w:r>
              <w:rPr>
                <w:rFonts w:hint="eastAsia" w:ascii="Times New Roman" w:hAnsi="Times New Roman" w:cs="Times New Roman"/>
                <w:color w:val="auto"/>
                <w:kern w:val="2"/>
                <w:sz w:val="21"/>
                <w:szCs w:val="21"/>
                <w:lang w:val="en-US" w:eastAsia="zh-CN" w:bidi="ar-SA"/>
              </w:rPr>
              <w:t>15</w:t>
            </w:r>
            <w:r>
              <w:rPr>
                <w:rFonts w:hint="default" w:ascii="Times New Roman" w:hAnsi="Times New Roman" w:cs="Times New Roman"/>
                <w:color w:val="auto"/>
                <w:kern w:val="2"/>
                <w:sz w:val="21"/>
                <w:szCs w:val="21"/>
                <w:lang w:val="en-US" w:eastAsia="zh-CN" w:bidi="ar-SA"/>
              </w:rPr>
              <w:t>00m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restart"/>
            <w:tcBorders>
              <w:tl2br w:val="nil"/>
              <w:tr2bl w:val="nil"/>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将所有废石集中堆放在本次新设的废石场。</w:t>
            </w:r>
          </w:p>
        </w:tc>
        <w:tc>
          <w:tcPr>
            <w:tcW w:w="1383" w:type="dxa"/>
            <w:vMerge w:val="restart"/>
            <w:tcBorders>
              <w:tl2br w:val="nil"/>
              <w:tr2bl w:val="nil"/>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待项目实施时予以落实</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76" w:type="dxa"/>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kern w:val="2"/>
                <w:sz w:val="21"/>
                <w:szCs w:val="21"/>
                <w:lang w:val="en-US" w:eastAsia="zh-CN" w:bidi="ar-SA"/>
              </w:rPr>
              <w:t>Ⅲ矿体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w:t>
            </w:r>
            <w:r>
              <w:rPr>
                <w:rFonts w:hint="eastAsia" w:ascii="Times New Roman" w:hAnsi="Times New Roman" w:cs="Times New Roman"/>
                <w:color w:val="auto"/>
                <w:kern w:val="2"/>
                <w:sz w:val="21"/>
                <w:szCs w:val="21"/>
                <w:lang w:val="en-US" w:eastAsia="zh-CN" w:bidi="ar-SA"/>
              </w:rPr>
              <w:t>25</w:t>
            </w:r>
            <w:r>
              <w:rPr>
                <w:rFonts w:hint="default" w:ascii="Times New Roman" w:hAnsi="Times New Roman" w:cs="Times New Roman"/>
                <w:color w:val="auto"/>
                <w:kern w:val="2"/>
                <w:sz w:val="21"/>
                <w:szCs w:val="21"/>
                <w:lang w:val="en-US" w:eastAsia="zh-CN" w:bidi="ar-SA"/>
              </w:rPr>
              <w:t>00m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c>
          <w:tcPr>
            <w:tcW w:w="1383"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276" w:type="dxa"/>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kern w:val="2"/>
                <w:sz w:val="21"/>
                <w:szCs w:val="21"/>
                <w:lang w:val="en-US" w:eastAsia="zh-CN" w:bidi="ar-SA"/>
              </w:rPr>
              <w:t>Ⅳ矿体</w:t>
            </w:r>
            <w:r>
              <w:rPr>
                <w:rFonts w:hint="eastAsia" w:ascii="Times New Roman" w:hAnsi="Times New Roman" w:cs="Times New Roman"/>
                <w:color w:val="auto"/>
                <w:kern w:val="2"/>
                <w:sz w:val="21"/>
                <w:szCs w:val="21"/>
                <w:lang w:val="en-US" w:eastAsia="zh-CN" w:bidi="ar-SA"/>
              </w:rPr>
              <w:t>采区</w:t>
            </w:r>
          </w:p>
        </w:tc>
        <w:tc>
          <w:tcPr>
            <w:tcW w:w="3165" w:type="dxa"/>
            <w:tcBorders>
              <w:tl2br w:val="nil"/>
              <w:tr2bl w:val="nil"/>
            </w:tcBorders>
            <w:noWrap w:val="0"/>
            <w:vAlign w:val="top"/>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废石场现有废石约10</w:t>
            </w:r>
            <w:r>
              <w:rPr>
                <w:rFonts w:hint="eastAsia" w:ascii="Times New Roman" w:hAnsi="Times New Roman"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0m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lang w:val="en-US" w:eastAsia="zh-CN" w:bidi="ar-SA"/>
              </w:rPr>
              <w:t>，下游未设挡渣墙，存在环境风险</w:t>
            </w:r>
            <w:r>
              <w:rPr>
                <w:rFonts w:hint="eastAsia" w:ascii="Times New Roman" w:hAnsi="Times New Roman" w:cs="Times New Roman"/>
                <w:color w:val="auto"/>
                <w:kern w:val="2"/>
                <w:sz w:val="21"/>
                <w:szCs w:val="21"/>
                <w:lang w:val="en-US" w:eastAsia="zh-CN" w:bidi="ar-SA"/>
              </w:rPr>
              <w:t>。</w:t>
            </w:r>
          </w:p>
        </w:tc>
        <w:tc>
          <w:tcPr>
            <w:tcW w:w="2897"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c>
          <w:tcPr>
            <w:tcW w:w="1383" w:type="dxa"/>
            <w:vMerge w:val="continue"/>
            <w:tcBorders>
              <w:tl2br w:val="nil"/>
              <w:tr2bl w:val="nil"/>
            </w:tcBorders>
            <w:noWrap w:val="0"/>
            <w:vAlign w:val="top"/>
          </w:tcPr>
          <w:p>
            <w:pPr>
              <w:jc w:val="center"/>
              <w:rPr>
                <w:rFonts w:hint="default" w:ascii="Times New Roman" w:hAnsi="Times New Roman" w:cs="Times New Roman"/>
                <w:b/>
                <w:bCs/>
                <w:color w:val="auto"/>
                <w:sz w:val="21"/>
                <w:szCs w:val="21"/>
                <w:u w:val="single"/>
              </w:rPr>
            </w:pPr>
          </w:p>
        </w:tc>
      </w:tr>
    </w:tbl>
    <w:p>
      <w:pPr>
        <w:spacing w:line="360" w:lineRule="auto"/>
        <w:ind w:firstLine="480" w:firstLineChars="200"/>
        <w:rPr>
          <w:rFonts w:hint="default" w:ascii="Times New Roman" w:hAnsi="Times New Roman" w:cs="Times New Roman"/>
          <w:snapToGrid w:val="0"/>
          <w:color w:val="auto"/>
          <w:kern w:val="0"/>
          <w:sz w:val="24"/>
        </w:rPr>
      </w:pPr>
    </w:p>
    <w:p>
      <w:pPr>
        <w:spacing w:line="360" w:lineRule="auto"/>
        <w:ind w:firstLine="480" w:firstLineChars="200"/>
        <w:rPr>
          <w:rFonts w:hint="default" w:ascii="Times New Roman" w:hAnsi="Times New Roman" w:cs="Times New Roman"/>
          <w:snapToGrid w:val="0"/>
          <w:color w:val="auto"/>
          <w:kern w:val="0"/>
          <w:sz w:val="24"/>
        </w:rPr>
      </w:pPr>
    </w:p>
    <w:p>
      <w:pPr>
        <w:spacing w:line="360" w:lineRule="auto"/>
        <w:ind w:firstLine="480" w:firstLineChars="200"/>
        <w:rPr>
          <w:rFonts w:hint="default" w:ascii="Times New Roman" w:hAnsi="Times New Roman" w:cs="Times New Roman"/>
          <w:snapToGrid w:val="0"/>
          <w:color w:val="auto"/>
          <w:kern w:val="0"/>
          <w:sz w:val="24"/>
        </w:rPr>
      </w:pPr>
    </w:p>
    <w:bookmarkEnd w:id="766"/>
    <w:bookmarkEnd w:id="767"/>
    <w:bookmarkEnd w:id="768"/>
    <w:bookmarkEnd w:id="775"/>
    <w:p>
      <w:pPr>
        <w:pageBreakBefore/>
        <w:spacing w:line="360" w:lineRule="auto"/>
        <w:jc w:val="center"/>
        <w:outlineLvl w:val="0"/>
        <w:rPr>
          <w:rFonts w:hint="default" w:ascii="Times New Roman" w:hAnsi="Times New Roman" w:cs="Times New Roman"/>
          <w:b/>
          <w:color w:val="auto"/>
          <w:sz w:val="30"/>
          <w:szCs w:val="30"/>
        </w:rPr>
      </w:pPr>
      <w:bookmarkStart w:id="797" w:name="_Toc25322"/>
      <w:bookmarkStart w:id="798" w:name="_Toc29431"/>
      <w:bookmarkStart w:id="799" w:name="_Toc15480"/>
      <w:bookmarkStart w:id="800" w:name="_Toc3885"/>
      <w:bookmarkStart w:id="801" w:name="_Toc8836375"/>
      <w:bookmarkStart w:id="802" w:name="_Toc17709302"/>
      <w:bookmarkStart w:id="803" w:name="_Toc17709432"/>
      <w:bookmarkStart w:id="804" w:name="_Toc7999054"/>
      <w:bookmarkStart w:id="805" w:name="_Toc7999156"/>
      <w:bookmarkStart w:id="806" w:name="_Toc23036_WPSOffice_Level2"/>
      <w:r>
        <w:rPr>
          <w:rFonts w:hint="default" w:ascii="Times New Roman" w:hAnsi="Times New Roman" w:cs="Times New Roman"/>
          <w:b/>
          <w:color w:val="auto"/>
          <w:sz w:val="30"/>
          <w:szCs w:val="30"/>
        </w:rPr>
        <w:t xml:space="preserve">5 </w:t>
      </w:r>
      <w:bookmarkStart w:id="807" w:name="_Toc352446573"/>
      <w:bookmarkStart w:id="808" w:name="_Toc185313652"/>
      <w:bookmarkStart w:id="809" w:name="_Toc146967256"/>
      <w:r>
        <w:rPr>
          <w:rFonts w:hint="default" w:ascii="Times New Roman" w:hAnsi="Times New Roman" w:cs="Times New Roman"/>
          <w:b/>
          <w:color w:val="auto"/>
          <w:sz w:val="30"/>
          <w:szCs w:val="30"/>
        </w:rPr>
        <w:t xml:space="preserve"> </w:t>
      </w:r>
      <w:bookmarkEnd w:id="797"/>
      <w:bookmarkEnd w:id="798"/>
      <w:bookmarkEnd w:id="807"/>
      <w:bookmarkEnd w:id="808"/>
      <w:bookmarkEnd w:id="809"/>
      <w:r>
        <w:rPr>
          <w:rFonts w:hint="default" w:ascii="Times New Roman" w:hAnsi="Times New Roman" w:cs="Times New Roman"/>
          <w:b/>
          <w:color w:val="auto"/>
          <w:sz w:val="30"/>
          <w:szCs w:val="30"/>
        </w:rPr>
        <w:t>环境影响</w:t>
      </w:r>
      <w:bookmarkEnd w:id="799"/>
      <w:bookmarkEnd w:id="800"/>
      <w:r>
        <w:rPr>
          <w:rFonts w:hint="default" w:ascii="Times New Roman" w:hAnsi="Times New Roman" w:cs="Times New Roman"/>
          <w:b/>
          <w:color w:val="auto"/>
          <w:sz w:val="30"/>
          <w:szCs w:val="30"/>
        </w:rPr>
        <w:t>预测与评价</w:t>
      </w:r>
      <w:bookmarkEnd w:id="801"/>
      <w:bookmarkEnd w:id="802"/>
      <w:bookmarkEnd w:id="803"/>
      <w:bookmarkEnd w:id="804"/>
      <w:bookmarkEnd w:id="805"/>
      <w:bookmarkEnd w:id="806"/>
    </w:p>
    <w:p>
      <w:pPr>
        <w:pStyle w:val="4"/>
        <w:keepLines/>
        <w:adjustRightInd w:val="0"/>
        <w:snapToGrid w:val="0"/>
        <w:spacing w:line="360" w:lineRule="auto"/>
        <w:ind w:left="565" w:hanging="565" w:hangingChars="201"/>
        <w:jc w:val="both"/>
        <w:rPr>
          <w:rFonts w:hint="default" w:ascii="Times New Roman" w:hAnsi="Times New Roman" w:cs="Times New Roman"/>
          <w:color w:val="auto"/>
          <w:sz w:val="28"/>
          <w:szCs w:val="28"/>
        </w:rPr>
      </w:pPr>
      <w:bookmarkStart w:id="810" w:name="_Toc168317217"/>
      <w:bookmarkStart w:id="811" w:name="_Toc351735259"/>
      <w:bookmarkStart w:id="812" w:name="_Toc352446574"/>
      <w:bookmarkStart w:id="813" w:name="_Toc27044"/>
      <w:bookmarkStart w:id="814" w:name="_Toc23069"/>
      <w:bookmarkStart w:id="815" w:name="_Toc1415"/>
      <w:bookmarkStart w:id="816" w:name="_Toc24435"/>
      <w:bookmarkStart w:id="817" w:name="_Toc16304"/>
      <w:bookmarkStart w:id="818" w:name="_Toc10505"/>
      <w:bookmarkStart w:id="819" w:name="_Toc24578"/>
      <w:bookmarkStart w:id="820" w:name="_Toc7999055"/>
      <w:bookmarkStart w:id="821" w:name="_Toc8836376"/>
      <w:bookmarkStart w:id="822" w:name="_Toc17709303"/>
      <w:bookmarkStart w:id="823" w:name="_Toc17709433"/>
      <w:r>
        <w:rPr>
          <w:rFonts w:hint="default" w:ascii="Times New Roman" w:hAnsi="Times New Roman" w:cs="Times New Roman"/>
          <w:color w:val="auto"/>
          <w:sz w:val="28"/>
          <w:szCs w:val="28"/>
        </w:rPr>
        <w:t>5.1</w:t>
      </w:r>
      <w:bookmarkEnd w:id="810"/>
      <w:bookmarkEnd w:id="811"/>
      <w:bookmarkEnd w:id="812"/>
      <w:bookmarkEnd w:id="813"/>
      <w:bookmarkEnd w:id="814"/>
      <w:r>
        <w:rPr>
          <w:rFonts w:hint="default" w:ascii="Times New Roman" w:hAnsi="Times New Roman" w:cs="Times New Roman"/>
          <w:color w:val="auto"/>
          <w:sz w:val="28"/>
          <w:szCs w:val="28"/>
        </w:rPr>
        <w:t>施工期环境影响分析与预测评价</w:t>
      </w:r>
      <w:bookmarkEnd w:id="815"/>
      <w:bookmarkEnd w:id="816"/>
      <w:bookmarkEnd w:id="817"/>
      <w:bookmarkEnd w:id="818"/>
      <w:bookmarkEnd w:id="819"/>
      <w:bookmarkEnd w:id="820"/>
      <w:bookmarkEnd w:id="821"/>
      <w:bookmarkEnd w:id="822"/>
      <w:bookmarkEnd w:id="823"/>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824" w:name="_Toc13665"/>
      <w:bookmarkStart w:id="825" w:name="_Toc76"/>
      <w:bookmarkStart w:id="826" w:name="_Toc3111"/>
      <w:bookmarkStart w:id="827" w:name="_Toc7158"/>
      <w:bookmarkStart w:id="828" w:name="_Toc26242"/>
      <w:bookmarkStart w:id="829" w:name="_Toc7999056"/>
      <w:bookmarkStart w:id="830" w:name="_Toc17709434"/>
      <w:r>
        <w:rPr>
          <w:rFonts w:hint="default" w:ascii="Times New Roman" w:hAnsi="Times New Roman" w:cs="Times New Roman"/>
          <w:color w:val="auto"/>
          <w:sz w:val="24"/>
        </w:rPr>
        <w:t>5.1.1施工期</w:t>
      </w:r>
      <w:bookmarkEnd w:id="824"/>
      <w:bookmarkEnd w:id="825"/>
      <w:bookmarkEnd w:id="826"/>
      <w:bookmarkEnd w:id="827"/>
      <w:bookmarkEnd w:id="828"/>
      <w:r>
        <w:rPr>
          <w:rFonts w:hint="default" w:ascii="Times New Roman" w:hAnsi="Times New Roman" w:cs="Times New Roman"/>
          <w:color w:val="auto"/>
          <w:sz w:val="24"/>
        </w:rPr>
        <w:t>存在的主要环境问题</w:t>
      </w:r>
      <w:bookmarkEnd w:id="829"/>
      <w:bookmarkEnd w:id="830"/>
    </w:p>
    <w:p>
      <w:pPr>
        <w:adjustRightInd w:val="0"/>
        <w:snapToGrid w:val="0"/>
        <w:spacing w:line="360" w:lineRule="auto"/>
        <w:outlineLvl w:val="3"/>
        <w:rPr>
          <w:rFonts w:hint="default" w:ascii="Times New Roman" w:hAnsi="Times New Roman" w:cs="Times New Roman"/>
          <w:color w:val="auto"/>
          <w:sz w:val="24"/>
          <w:szCs w:val="22"/>
        </w:rPr>
      </w:pPr>
      <w:bookmarkStart w:id="831" w:name="_Toc7999057"/>
      <w:r>
        <w:rPr>
          <w:rFonts w:hint="default" w:ascii="Times New Roman" w:hAnsi="Times New Roman" w:cs="Times New Roman"/>
          <w:color w:val="auto"/>
          <w:sz w:val="24"/>
          <w:szCs w:val="22"/>
        </w:rPr>
        <w:t>5.1.1.1施工期主要工程内容</w:t>
      </w:r>
      <w:bookmarkEnd w:id="831"/>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本项目为铜矿石开采项目，施工期主要完成矿山的基础设施建设、辅助生产设施等工程建设，详见如下：</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（1）修建矿区场内运输道路</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（2）拓建工业场地及配套建筑设施</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（3）地下井工工程及配套基础设施</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（4）拓建废石堆场及相应防护设施</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（5）矿区场内配套排水系统及场外输水管网的建设</w:t>
      </w:r>
    </w:p>
    <w:p>
      <w:pPr>
        <w:adjustRightInd w:val="0"/>
        <w:snapToGrid w:val="0"/>
        <w:spacing w:line="360" w:lineRule="auto"/>
        <w:outlineLvl w:val="3"/>
        <w:rPr>
          <w:rFonts w:hint="default" w:ascii="Times New Roman" w:hAnsi="Times New Roman" w:cs="Times New Roman"/>
          <w:color w:val="auto"/>
          <w:sz w:val="24"/>
          <w:szCs w:val="22"/>
        </w:rPr>
      </w:pPr>
      <w:bookmarkStart w:id="832" w:name="_Toc6517"/>
      <w:bookmarkStart w:id="833" w:name="_Toc8261"/>
      <w:bookmarkStart w:id="834" w:name="_Toc32187"/>
      <w:bookmarkStart w:id="835" w:name="_Toc13826"/>
      <w:bookmarkStart w:id="836" w:name="_Toc4535"/>
      <w:bookmarkStart w:id="837" w:name="_Toc7999058"/>
      <w:r>
        <w:rPr>
          <w:rFonts w:hint="default" w:ascii="Times New Roman" w:hAnsi="Times New Roman" w:cs="Times New Roman"/>
          <w:color w:val="auto"/>
          <w:sz w:val="24"/>
          <w:szCs w:val="22"/>
        </w:rPr>
        <w:t>5.1.1.2施工期存在的主要环境问题</w:t>
      </w:r>
      <w:bookmarkEnd w:id="832"/>
      <w:bookmarkEnd w:id="833"/>
      <w:bookmarkEnd w:id="834"/>
      <w:bookmarkEnd w:id="835"/>
      <w:bookmarkEnd w:id="836"/>
      <w:bookmarkEnd w:id="837"/>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工程实施过程中，地下井巷工程的实施产生的摒弃废石，地面建筑物的建设、场地平整、掘土、地基深层处理及土石方、建筑材料运输、设备装配等施工行为产生的噪声、扬尘、废石等在一定时期内都将会对周围环境造成一定的影响，这些污染贯穿整个施工过程，但不同污染因子在不同施工段污染强度不同，且这种影响除永久占地外一般属于可逆的，在施工期结束后将一并消失，具体情况见表5.1-1。</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表5.1-1    施工期环境影响因素</w:t>
      </w:r>
    </w:p>
    <w:tbl>
      <w:tblPr>
        <w:tblStyle w:val="79"/>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8"/>
        <w:gridCol w:w="1560"/>
        <w:gridCol w:w="2268"/>
        <w:gridCol w:w="1701"/>
        <w:gridCol w:w="23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影响因子</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产生源</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源强</w:t>
            </w:r>
          </w:p>
        </w:tc>
        <w:tc>
          <w:tcPr>
            <w:tcW w:w="232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restar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挖方、填方、弃土堆放、运输</w:t>
            </w:r>
          </w:p>
        </w:tc>
        <w:tc>
          <w:tcPr>
            <w:tcW w:w="1701" w:type="dxa"/>
            <w:noWrap w:val="0"/>
            <w:vAlign w:val="center"/>
          </w:tcPr>
          <w:p>
            <w:pPr>
              <w:pStyle w:val="32"/>
              <w:spacing w:line="240" w:lineRule="exact"/>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风速1.7m/s，150m内影响明显</w:t>
            </w:r>
          </w:p>
        </w:tc>
        <w:tc>
          <w:tcPr>
            <w:tcW w:w="232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有风时影响下风向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continue"/>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粉状物料装卸、运输、堆放</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微小</w:t>
            </w:r>
          </w:p>
        </w:tc>
        <w:tc>
          <w:tcPr>
            <w:tcW w:w="232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散落、有风时对下风向有影响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continue"/>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尾气：HC、颗粒物、CO、NOx</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施工燃油设备、运输车辆</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微小</w:t>
            </w:r>
          </w:p>
        </w:tc>
        <w:tc>
          <w:tcPr>
            <w:tcW w:w="232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面源、扩散范围有限且排放不连续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推土机、挖掘机装载机、翻斗车、载重汽车</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90-110dB（A）</w:t>
            </w:r>
          </w:p>
        </w:tc>
        <w:tc>
          <w:tcPr>
            <w:tcW w:w="232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无指向性，不连续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废石</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268"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井巷的开拓</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施工生活垃圾</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很小</w:t>
            </w:r>
          </w:p>
        </w:tc>
        <w:tc>
          <w:tcPr>
            <w:tcW w:w="2321" w:type="dxa"/>
            <w:noWrap w:val="0"/>
            <w:vAlign w:val="center"/>
          </w:tcPr>
          <w:p>
            <w:pPr>
              <w:pStyle w:val="32"/>
              <w:spacing w:line="240" w:lineRule="exact"/>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废石部分用于修路和开拓工业场地，部分排入废石场，生活垃圾集中收集运往达坂城区柴窝堡乡垃圾填埋场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restar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p>
        </w:tc>
        <w:tc>
          <w:tcPr>
            <w:tcW w:w="2268" w:type="dxa"/>
            <w:noWrap w:val="0"/>
            <w:vAlign w:val="center"/>
          </w:tcPr>
          <w:p>
            <w:pPr>
              <w:pStyle w:val="32"/>
              <w:spacing w:line="2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雨季地表径流对松动的土层冲刷带走泥沙，风蚀带走泥沙</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2321" w:type="dxa"/>
            <w:noWrap w:val="0"/>
            <w:vAlign w:val="center"/>
          </w:tcPr>
          <w:p>
            <w:pPr>
              <w:pStyle w:val="32"/>
              <w:spacing w:line="2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对周围土地有微弱影响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continue"/>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土地占用</w:t>
            </w:r>
          </w:p>
        </w:tc>
        <w:tc>
          <w:tcPr>
            <w:tcW w:w="2268" w:type="dxa"/>
            <w:noWrap w:val="0"/>
            <w:vAlign w:val="center"/>
          </w:tcPr>
          <w:p>
            <w:pPr>
              <w:pStyle w:val="32"/>
              <w:spacing w:line="240" w:lineRule="exact"/>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占地使土地使用功能改变</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111122m</w:t>
            </w:r>
            <w:r>
              <w:rPr>
                <w:rFonts w:hint="default" w:ascii="Times New Roman" w:hAnsi="Times New Roman" w:eastAsia="宋体" w:cs="Times New Roman"/>
                <w:color w:val="auto"/>
                <w:sz w:val="21"/>
                <w:szCs w:val="21"/>
                <w:vertAlign w:val="superscript"/>
              </w:rPr>
              <w:t>2</w:t>
            </w:r>
          </w:p>
        </w:tc>
        <w:tc>
          <w:tcPr>
            <w:tcW w:w="2321" w:type="dxa"/>
            <w:noWrap w:val="0"/>
            <w:vAlign w:val="center"/>
          </w:tcPr>
          <w:p>
            <w:pPr>
              <w:pStyle w:val="32"/>
              <w:spacing w:line="2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18"/>
                <w:szCs w:val="18"/>
              </w:rPr>
              <w:t>道路、矿石堆场、建设用地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678" w:type="dxa"/>
            <w:vMerge w:val="continue"/>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1560"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弃土</w:t>
            </w:r>
          </w:p>
        </w:tc>
        <w:tc>
          <w:tcPr>
            <w:tcW w:w="2268" w:type="dxa"/>
            <w:noWrap w:val="0"/>
            <w:vAlign w:val="center"/>
          </w:tcPr>
          <w:p>
            <w:pPr>
              <w:pStyle w:val="32"/>
              <w:spacing w:line="2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堆放占地，有扬尘、水土流失发生的可能</w:t>
            </w:r>
          </w:p>
        </w:tc>
        <w:tc>
          <w:tcPr>
            <w:tcW w:w="1701" w:type="dxa"/>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p>
        </w:tc>
        <w:tc>
          <w:tcPr>
            <w:tcW w:w="2321" w:type="dxa"/>
            <w:noWrap w:val="0"/>
            <w:vAlign w:val="center"/>
          </w:tcPr>
          <w:p>
            <w:pPr>
              <w:pStyle w:val="32"/>
              <w:spacing w:line="2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临时占地、弃土用于场地填方，影响可消除</w:t>
            </w:r>
          </w:p>
        </w:tc>
      </w:tr>
    </w:tbl>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施工期存在的主要环境问题有：</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材料及土石方运输车辆噪声；</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现场施工机械噪声；</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运输车辆的汽车尾气及燃油机械排放的燃油废气；</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施工中场内土方挖掘、平整场地以及装卸运输产生的二次扬尘；</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施工作业过程产生的生活污水和矿井涌水；</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挖掘土方、废石等产生的固体废物。</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838" w:name="_Toc2751"/>
      <w:bookmarkStart w:id="839" w:name="_Toc27327"/>
      <w:bookmarkStart w:id="840" w:name="_Toc15109"/>
      <w:bookmarkStart w:id="841" w:name="_Toc31065"/>
      <w:bookmarkStart w:id="842" w:name="_Toc5869"/>
      <w:bookmarkStart w:id="843" w:name="_Toc7999059"/>
      <w:bookmarkStart w:id="844" w:name="_Toc17709435"/>
      <w:r>
        <w:rPr>
          <w:rFonts w:hint="default" w:ascii="Times New Roman" w:hAnsi="Times New Roman" w:cs="Times New Roman"/>
          <w:color w:val="auto"/>
          <w:sz w:val="24"/>
        </w:rPr>
        <w:t>5.1.2施工期生态环境影响分析</w:t>
      </w:r>
      <w:bookmarkEnd w:id="838"/>
      <w:bookmarkEnd w:id="839"/>
      <w:bookmarkEnd w:id="840"/>
      <w:bookmarkEnd w:id="841"/>
      <w:bookmarkEnd w:id="842"/>
      <w:bookmarkEnd w:id="843"/>
      <w:bookmarkEnd w:id="844"/>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的生态环境影响呈块状（如采矿区、废渣石场）、线状（如矿山公路）分布，在对生态环境各具体要素（如土壤、植被、野生动物等）产生影响的同时，也对矿区范围内原有的地表景观格局和生态体系完整性产生一定影响。</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建设，使区域内景观的自然性程度降低，人文影响程度增强，土地利用格局转化为矿区用地。项目建设对区域内生态体系稳定性影响的主要途径是地表扰动，对区域景观的影响随着项目开发建设，挖毁原地貌、修建人工设施、废弃物堆置等，这种景观格局的变化，使矿区固有的自然生态功能完全丧失。同时，产生了水土流失、生态破坏等问题，而且随着时间的推移和开发规模的扩大，这种景观结构的变化还会不断延伸、扩大。总而言之，矿山的建设将导致矿体所在区域景观生态结构与功能的全面变化，并且采矿还会造成对矿区内环境质量的变化。</w:t>
      </w:r>
    </w:p>
    <w:p>
      <w:pPr>
        <w:adjustRightInd w:val="0"/>
        <w:snapToGrid w:val="0"/>
        <w:spacing w:line="360" w:lineRule="auto"/>
        <w:outlineLvl w:val="3"/>
        <w:rPr>
          <w:rFonts w:hint="default" w:ascii="Times New Roman" w:hAnsi="Times New Roman" w:cs="Times New Roman"/>
          <w:color w:val="auto"/>
          <w:sz w:val="24"/>
          <w:szCs w:val="22"/>
        </w:rPr>
      </w:pPr>
      <w:bookmarkStart w:id="845" w:name="_Toc13567"/>
      <w:bookmarkStart w:id="846" w:name="_Toc13906"/>
      <w:bookmarkStart w:id="847" w:name="_Toc18504"/>
      <w:bookmarkStart w:id="848" w:name="_Toc32017"/>
      <w:bookmarkStart w:id="849" w:name="_Toc27135"/>
      <w:bookmarkStart w:id="850" w:name="_Toc7999060"/>
      <w:r>
        <w:rPr>
          <w:rFonts w:hint="default" w:ascii="Times New Roman" w:hAnsi="Times New Roman" w:cs="Times New Roman"/>
          <w:color w:val="auto"/>
          <w:sz w:val="24"/>
          <w:szCs w:val="22"/>
        </w:rPr>
        <w:t>5.1.2.1土地利用影响分析</w:t>
      </w:r>
      <w:bookmarkEnd w:id="845"/>
      <w:bookmarkEnd w:id="846"/>
      <w:bookmarkEnd w:id="847"/>
      <w:bookmarkEnd w:id="848"/>
      <w:bookmarkEnd w:id="849"/>
      <w:bookmarkEnd w:id="850"/>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项目建设对土壤的影响范围较广，包括永久占地、临时占地以及施工活动的所有区域，主要影响表现在：改变了土地的使用功能、地表覆盖层的类型及性质、土壤的坚实度、通透性和机械物理性质。</w:t>
      </w:r>
    </w:p>
    <w:p>
      <w:pPr>
        <w:pStyle w:val="378"/>
        <w:snapToGrid w:val="0"/>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（1）临时占地</w:t>
      </w:r>
    </w:p>
    <w:p>
      <w:pPr>
        <w:pStyle w:val="378"/>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临时占地包括工程建设期间临时征用的所有土地，主要为临时运输道路等占地，施工结束后将恢复现有的使用功能。矿山生活区建筑面积744m</w:t>
      </w:r>
      <w:r>
        <w:rPr>
          <w:rFonts w:hint="default" w:ascii="Times New Roman" w:hAnsi="Times New Roman" w:cs="Times New Roman"/>
          <w:color w:val="auto"/>
          <w:vertAlign w:val="superscript"/>
        </w:rPr>
        <w:t>2</w:t>
      </w:r>
      <w:r>
        <w:rPr>
          <w:rFonts w:hint="default" w:ascii="Times New Roman" w:hAnsi="Times New Roman" w:cs="Times New Roman"/>
          <w:color w:val="auto"/>
        </w:rPr>
        <w:t>，占地面积6000m</w:t>
      </w:r>
      <w:r>
        <w:rPr>
          <w:rFonts w:hint="default" w:ascii="Times New Roman" w:hAnsi="Times New Roman" w:cs="Times New Roman"/>
          <w:color w:val="auto"/>
          <w:vertAlign w:val="superscript"/>
        </w:rPr>
        <w:t>2</w:t>
      </w:r>
      <w:r>
        <w:rPr>
          <w:rFonts w:hint="default" w:ascii="Times New Roman" w:hAnsi="Times New Roman" w:cs="Times New Roman"/>
          <w:color w:val="auto"/>
        </w:rPr>
        <w:t>。本项目临时占地为6000m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378"/>
        <w:snapToGrid w:val="0"/>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（2）永久占地</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本项目占地面积为</w:t>
      </w:r>
      <w:r>
        <w:rPr>
          <w:rFonts w:hint="eastAsia" w:ascii="Times New Roman" w:hAnsi="Times New Roman" w:eastAsia="宋体" w:cs="Times New Roman"/>
          <w:color w:val="auto"/>
          <w:sz w:val="24"/>
          <w:lang w:val="en-US" w:eastAsia="zh-CN"/>
        </w:rPr>
        <w:t>27000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4"/>
        </w:rPr>
        <w:t>，其中废石堆场占地面积为</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4"/>
        </w:rPr>
        <w:t>，工业场地占地面积为</w:t>
      </w:r>
      <w:r>
        <w:rPr>
          <w:rFonts w:hint="default" w:ascii="Times New Roman" w:hAnsi="Times New Roman" w:eastAsia="宋体" w:cs="Times New Roman"/>
          <w:color w:val="auto"/>
          <w:sz w:val="24"/>
          <w:lang w:val="en-US" w:eastAsia="zh-CN"/>
        </w:rPr>
        <w:t>4800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4"/>
        </w:rPr>
        <w:t>，矿山道路占地</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82</w:t>
      </w:r>
      <w:r>
        <w:rPr>
          <w:rFonts w:hint="default" w:ascii="Times New Roman" w:hAnsi="Times New Roman" w:eastAsia="宋体" w:cs="Times New Roman"/>
          <w:color w:val="auto"/>
          <w:sz w:val="24"/>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4"/>
        </w:rPr>
        <w:t>，这些均为永久占地，因这部分破坏的土地长时间不能恢复，可视为长期影响。</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在施工期矿区内矿区的土地利用结构开始发生变化，施工期结束后矿区由于主体工程和配套工程建设将使区域内的用地被铜矿建设用地和交通用地所替代。因此，总的来说项目在施工期将使区域土地利用格局发生了变化。</w:t>
      </w:r>
    </w:p>
    <w:p>
      <w:pPr>
        <w:adjustRightInd w:val="0"/>
        <w:snapToGrid w:val="0"/>
        <w:spacing w:line="360" w:lineRule="auto"/>
        <w:outlineLvl w:val="3"/>
        <w:rPr>
          <w:rFonts w:hint="default" w:ascii="Times New Roman" w:hAnsi="Times New Roman" w:cs="Times New Roman"/>
          <w:color w:val="auto"/>
          <w:sz w:val="24"/>
          <w:szCs w:val="22"/>
        </w:rPr>
      </w:pPr>
      <w:bookmarkStart w:id="851" w:name="_Toc16149"/>
      <w:bookmarkStart w:id="852" w:name="_Toc28411"/>
      <w:bookmarkStart w:id="853" w:name="_Toc11587"/>
      <w:bookmarkStart w:id="854" w:name="_Toc16922"/>
      <w:bookmarkStart w:id="855" w:name="_Toc8990"/>
      <w:bookmarkStart w:id="856" w:name="_Toc7999061"/>
      <w:r>
        <w:rPr>
          <w:rFonts w:hint="default" w:ascii="Times New Roman" w:hAnsi="Times New Roman" w:cs="Times New Roman"/>
          <w:color w:val="auto"/>
          <w:sz w:val="24"/>
          <w:szCs w:val="22"/>
        </w:rPr>
        <w:t>5.1.2.2施工期土壤环境影响分析</w:t>
      </w:r>
      <w:bookmarkEnd w:id="851"/>
      <w:bookmarkEnd w:id="852"/>
      <w:bookmarkEnd w:id="853"/>
      <w:bookmarkEnd w:id="854"/>
      <w:bookmarkEnd w:id="855"/>
      <w:bookmarkEnd w:id="856"/>
    </w:p>
    <w:p>
      <w:pPr>
        <w:pStyle w:val="378"/>
        <w:snapToGrid w:val="0"/>
        <w:ind w:left="0" w:leftChars="0" w:firstLine="0" w:firstLineChars="0"/>
        <w:rPr>
          <w:rFonts w:hint="default" w:ascii="Times New Roman" w:hAnsi="Times New Roman" w:cs="Times New Roman"/>
          <w:color w:val="auto"/>
          <w:lang w:val="en-US" w:eastAsia="zh-CN"/>
        </w:rPr>
      </w:pPr>
      <w:bookmarkStart w:id="857" w:name="_Toc1139"/>
      <w:bookmarkStart w:id="858" w:name="_Toc16992"/>
      <w:bookmarkStart w:id="859" w:name="_Toc17570"/>
      <w:r>
        <w:rPr>
          <w:rFonts w:hint="default" w:ascii="Times New Roman" w:hAnsi="Times New Roman" w:eastAsia="宋体" w:cs="Times New Roman"/>
          <w:color w:val="auto"/>
          <w:sz w:val="24"/>
        </w:rPr>
        <w:t>（1）临时占地对土壤的影响分析</w:t>
      </w:r>
      <w:bookmarkEnd w:id="857"/>
      <w:bookmarkEnd w:id="858"/>
      <w:bookmarkEnd w:id="859"/>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矿区内各种施工活动的临时占地如施工工业场地平整、矿区开拓、场内道路的修建、输水管网的铺设和辅助系统等工程施工占地，对实施区域的土壤环境造成局部性破坏和干扰，不同程度地破坏了局部区域土壤结构，扰乱地表土壤层。根据类比调查和有关资料，此类活动将使土壤有机质降低，影响土壤结构，降低土壤养分。此外，施工中机械碾压、人员践踏、土体翻出堆放地表等，也会造成一定区域内的土壤板结，使土壤生产能力降低。施工回填后剩余的土方造成土壤松散，易引起水土流失，导致土壤中养分的损失。</w:t>
      </w:r>
    </w:p>
    <w:p>
      <w:pPr>
        <w:pStyle w:val="32"/>
        <w:adjustRightInd w:val="0"/>
        <w:snapToGrid w:val="0"/>
        <w:spacing w:line="360" w:lineRule="auto"/>
        <w:ind w:firstLine="480"/>
        <w:rPr>
          <w:rFonts w:hint="default" w:ascii="Times New Roman" w:hAnsi="Times New Roman" w:eastAsia="宋体" w:cs="Times New Roman"/>
          <w:color w:val="auto"/>
          <w:sz w:val="24"/>
        </w:rPr>
      </w:pPr>
      <w:bookmarkStart w:id="860" w:name="_Toc20566"/>
      <w:bookmarkStart w:id="861" w:name="_Toc31705"/>
      <w:bookmarkStart w:id="862" w:name="_Toc24375"/>
      <w:r>
        <w:rPr>
          <w:rFonts w:hint="default" w:ascii="Times New Roman" w:hAnsi="Times New Roman" w:eastAsia="宋体" w:cs="Times New Roman"/>
          <w:color w:val="auto"/>
          <w:sz w:val="24"/>
        </w:rPr>
        <w:t>（2）永久占地对土壤的影响分析</w:t>
      </w:r>
      <w:bookmarkEnd w:id="860"/>
      <w:bookmarkEnd w:id="861"/>
      <w:bookmarkEnd w:id="862"/>
      <w:r>
        <w:rPr>
          <w:rFonts w:hint="default" w:ascii="Times New Roman" w:hAnsi="Times New Roman" w:eastAsia="宋体" w:cs="Times New Roman"/>
          <w:color w:val="auto"/>
          <w:sz w:val="24"/>
        </w:rPr>
        <w:t xml:space="preserve"> </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项目永久占地，地表土壤在施工过程中将彻底清除或被覆盖，施工结束后被矿区配套的建构物等替代，从而根本上改变了所占区域地表覆盖层类型和性质，地表土壤永久不可恢复。</w:t>
      </w:r>
    </w:p>
    <w:p>
      <w:pPr>
        <w:pStyle w:val="32"/>
        <w:adjustRightInd w:val="0"/>
        <w:snapToGrid w:val="0"/>
        <w:spacing w:line="360" w:lineRule="auto"/>
        <w:ind w:firstLine="480"/>
        <w:rPr>
          <w:rFonts w:hint="default" w:ascii="Times New Roman" w:hAnsi="Times New Roman" w:eastAsia="宋体" w:cs="Times New Roman"/>
          <w:color w:val="auto"/>
          <w:sz w:val="24"/>
        </w:rPr>
      </w:pPr>
      <w:bookmarkStart w:id="863" w:name="_Toc29669"/>
      <w:bookmarkStart w:id="864" w:name="_Toc22306"/>
      <w:bookmarkStart w:id="865" w:name="_Toc19024"/>
      <w:r>
        <w:rPr>
          <w:rFonts w:hint="default" w:ascii="Times New Roman" w:hAnsi="Times New Roman" w:eastAsia="宋体" w:cs="Times New Roman"/>
          <w:color w:val="auto"/>
          <w:sz w:val="24"/>
        </w:rPr>
        <w:t>（3）对土壤侵蚀的影响分析</w:t>
      </w:r>
      <w:bookmarkEnd w:id="863"/>
      <w:bookmarkEnd w:id="864"/>
      <w:bookmarkEnd w:id="865"/>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业场地平整、矿区开拓、场内道路的修建、输水管网的铺设和辅助系统等工程，要进行开挖地表和地面建设，造成施工区域内的地表扰动，从而新增一定量的土壤侵蚀。除此之外矿区范围内其他临时占地也将不可避免的扰动原有相对稳定的地表，使土壤变得疏松，产生一定面积的裸露地面，造成新增水土流失。施工过程中产生的弃土也将导致新的水土流失。施工期对原生地表的扰动和破坏是不可避免的，引起一定程度的土壤侵蚀。</w:t>
      </w:r>
    </w:p>
    <w:p>
      <w:pPr>
        <w:adjustRightInd w:val="0"/>
        <w:snapToGrid w:val="0"/>
        <w:spacing w:line="360" w:lineRule="auto"/>
        <w:outlineLvl w:val="3"/>
        <w:rPr>
          <w:rFonts w:hint="default" w:ascii="Times New Roman" w:hAnsi="Times New Roman" w:cs="Times New Roman"/>
          <w:color w:val="auto"/>
          <w:sz w:val="24"/>
          <w:szCs w:val="22"/>
        </w:rPr>
      </w:pPr>
      <w:bookmarkStart w:id="866" w:name="_Toc8702"/>
      <w:bookmarkStart w:id="867" w:name="_Toc1561"/>
      <w:bookmarkStart w:id="868" w:name="_Toc425"/>
      <w:bookmarkStart w:id="869" w:name="_Toc5660"/>
      <w:bookmarkStart w:id="870" w:name="_Toc4467"/>
      <w:bookmarkStart w:id="871" w:name="_Toc7999062"/>
      <w:r>
        <w:rPr>
          <w:rFonts w:hint="default" w:ascii="Times New Roman" w:hAnsi="Times New Roman" w:cs="Times New Roman"/>
          <w:color w:val="auto"/>
          <w:sz w:val="24"/>
          <w:szCs w:val="22"/>
        </w:rPr>
        <w:t>5.1.2.3施工期对植被的影响</w:t>
      </w:r>
      <w:bookmarkEnd w:id="866"/>
      <w:bookmarkEnd w:id="867"/>
      <w:bookmarkEnd w:id="868"/>
      <w:bookmarkEnd w:id="869"/>
      <w:bookmarkEnd w:id="870"/>
      <w:bookmarkEnd w:id="871"/>
    </w:p>
    <w:p>
      <w:pPr>
        <w:pStyle w:val="32"/>
        <w:adjustRightInd w:val="0"/>
        <w:snapToGrid w:val="0"/>
        <w:spacing w:line="360" w:lineRule="auto"/>
        <w:ind w:firstLine="480"/>
        <w:rPr>
          <w:rFonts w:hint="default" w:ascii="Times New Roman" w:hAnsi="Times New Roman" w:eastAsia="宋体" w:cs="Times New Roman"/>
          <w:color w:val="auto"/>
          <w:sz w:val="24"/>
        </w:rPr>
      </w:pPr>
      <w:bookmarkStart w:id="872" w:name="_Toc530"/>
      <w:bookmarkStart w:id="873" w:name="_Toc28403"/>
      <w:bookmarkStart w:id="874" w:name="_Toc13852"/>
      <w:r>
        <w:rPr>
          <w:rFonts w:hint="default" w:ascii="Times New Roman" w:hAnsi="Times New Roman" w:eastAsia="宋体" w:cs="Times New Roman"/>
          <w:color w:val="auto"/>
          <w:sz w:val="24"/>
        </w:rPr>
        <w:t>（1）临时占地对植被的影响</w:t>
      </w:r>
      <w:bookmarkEnd w:id="872"/>
      <w:bookmarkEnd w:id="873"/>
      <w:bookmarkEnd w:id="874"/>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临时性占地会对占地范围内的植被造成影响，但在人工措施的辅助下可以逐步得到恢复。由于本项目区植被群落单一，结构单一，种类稀少，植被覆盖度较低，约1%～5%，临时占用土地对植被影响较小。</w:t>
      </w:r>
    </w:p>
    <w:p>
      <w:pPr>
        <w:pStyle w:val="32"/>
        <w:adjustRightInd w:val="0"/>
        <w:snapToGrid w:val="0"/>
        <w:spacing w:line="360" w:lineRule="auto"/>
        <w:ind w:firstLine="480"/>
        <w:rPr>
          <w:rFonts w:hint="default" w:ascii="Times New Roman" w:hAnsi="Times New Roman" w:eastAsia="宋体" w:cs="Times New Roman"/>
          <w:color w:val="auto"/>
          <w:sz w:val="24"/>
        </w:rPr>
      </w:pPr>
      <w:bookmarkStart w:id="875" w:name="_Toc11943"/>
      <w:bookmarkStart w:id="876" w:name="_Toc20166"/>
      <w:bookmarkStart w:id="877" w:name="_Toc26782"/>
      <w:r>
        <w:rPr>
          <w:rFonts w:hint="default" w:ascii="Times New Roman" w:hAnsi="Times New Roman" w:eastAsia="宋体" w:cs="Times New Roman"/>
          <w:color w:val="auto"/>
          <w:sz w:val="24"/>
        </w:rPr>
        <w:t>（2）人为活动对植被的影响</w:t>
      </w:r>
      <w:bookmarkEnd w:id="875"/>
      <w:bookmarkEnd w:id="876"/>
      <w:bookmarkEnd w:id="877"/>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人为活动对植被的影响主要表现为施工人员和作业机械对草本植物的践踏、碾压等，主要由于施工过程中人类践踏形成的小面积局部地段的次生裸地，多集中在临时性占地外围50m范围内，这种影响一般为短期性影响，且强度不大，施工结束，这一影响也逐渐消除。</w:t>
      </w:r>
    </w:p>
    <w:p>
      <w:pPr>
        <w:adjustRightInd w:val="0"/>
        <w:snapToGrid w:val="0"/>
        <w:spacing w:line="360" w:lineRule="auto"/>
        <w:outlineLvl w:val="3"/>
        <w:rPr>
          <w:rFonts w:hint="default" w:ascii="Times New Roman" w:hAnsi="Times New Roman" w:cs="Times New Roman"/>
          <w:color w:val="auto"/>
          <w:sz w:val="24"/>
          <w:szCs w:val="22"/>
        </w:rPr>
      </w:pPr>
      <w:bookmarkStart w:id="878" w:name="_Toc3295"/>
      <w:bookmarkStart w:id="879" w:name="_Toc28637"/>
      <w:bookmarkStart w:id="880" w:name="_Toc28703"/>
      <w:bookmarkStart w:id="881" w:name="_Toc13744"/>
      <w:bookmarkStart w:id="882" w:name="_Toc10058"/>
      <w:bookmarkStart w:id="883" w:name="_Toc7999063"/>
      <w:r>
        <w:rPr>
          <w:rFonts w:hint="default" w:ascii="Times New Roman" w:hAnsi="Times New Roman" w:cs="Times New Roman"/>
          <w:color w:val="auto"/>
          <w:sz w:val="24"/>
          <w:szCs w:val="22"/>
        </w:rPr>
        <w:t>5.1.2.4施工期对野生动物资源的影响分析</w:t>
      </w:r>
      <w:bookmarkEnd w:id="878"/>
      <w:bookmarkEnd w:id="879"/>
      <w:bookmarkEnd w:id="880"/>
      <w:bookmarkEnd w:id="881"/>
      <w:bookmarkEnd w:id="882"/>
      <w:bookmarkEnd w:id="883"/>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施工过程中，由于各类机械产生的噪声和人为活动的干扰，会使野生动物如啮齿类动物（鼠类、兔类）向外迁移，使评价区周边的局部地区动物的密度相应增加；另外，施工人员滥捕乱猎等现象的出现，将直接影响到这一地区的某些野生动物种群数量。这种影响可通过加强对施工人员的宣传教育和管理得到消除。</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评价区野生动物种类稀少，现有的野生动物多为一些常见的啮齿类及昆虫等。动物在受到人为影响时均可就近迁入周边地区继续生存繁衍，因此项目建设期不会使评价区内的野生动物物种数量发生较大的变化，其种群数量也不会发生明显变化。只要加强对施工人员的管理，矿区开发对区域野生动物资源不会造成毁灭性影响。</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884" w:name="_Toc18751"/>
      <w:bookmarkStart w:id="885" w:name="_Toc27344"/>
      <w:bookmarkStart w:id="886" w:name="_Toc6368"/>
      <w:bookmarkStart w:id="887" w:name="_Toc13653"/>
      <w:bookmarkStart w:id="888" w:name="_Toc31088"/>
      <w:bookmarkStart w:id="889" w:name="_Toc7999064"/>
      <w:bookmarkStart w:id="890" w:name="_Toc17709436"/>
      <w:r>
        <w:rPr>
          <w:rFonts w:hint="default" w:ascii="Times New Roman" w:hAnsi="Times New Roman" w:cs="Times New Roman"/>
          <w:color w:val="auto"/>
          <w:sz w:val="24"/>
        </w:rPr>
        <w:t>5.1.3施工期大气环境影响分析</w:t>
      </w:r>
      <w:bookmarkEnd w:id="884"/>
      <w:bookmarkEnd w:id="885"/>
      <w:bookmarkEnd w:id="886"/>
      <w:bookmarkEnd w:id="887"/>
      <w:bookmarkEnd w:id="888"/>
      <w:bookmarkEnd w:id="889"/>
      <w:bookmarkEnd w:id="890"/>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（1）扬尘来源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扬尘是施工过程中的一个重要污染因素，施工扬尘的大小，随施工季节、施工管理、土壤类别情况等不同而差异很大。主要来自以下几个方面：</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①场内运输道路基建和输水管网的开挖、工业场地的平整、清理施工现场过程中产生的地面扬尘；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②建筑材料、水泥、砂子等装卸、搅拌、堆放的扬尘；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③运输车辆与施工用车运行引起的扬尘；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④施工垃圾的堆放和清运过程造成的扬尘。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（2）扬尘影响分析及措施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扬尘的产生跟风力大小及气候有一定关系，项目区气候干燥，降雨不多，多风天气较多，项目扬尘的影响范围可能会大于150m。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施工和汽车通过矿区内部道路扬尘的源强大小与污染源的距离有关，根据类比资料显示：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无围档情况下，施工扬尘十分严重，扬尘范围在工地下风向200m内是对照点的1.87倍。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有围档施工扬尘有明显改善，扬尘污染范围在工地下风向200m内是对照点的1.4倍。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运输车辆在施工场地行使产生的扬尘占施工扬尘总量的60%，这与场地状况有很大关系。场地在自然风作用下产生的扬尘一般影响范围在100m以内。</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为了抑制施工期间的车辆行使扬尘，通常会在车辆行使的路面实施洒水抑尘，每天定时适量洒水，可使扬尘减少70%，扬尘污染可缩小至20～50m范围。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施工现场物料、弃土堆积等过程也会产生扬尘，经类比分析扬尘量约为 0.12kg/m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物料。若使用帆布遮盖等措施，排放量可降至10%。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间会有扬尘产生，周围1.5km范围内无集中或分散居住区居民点，其施工扬尘的影响主要集中在施工材料运输产生的运输道路扬尘的影响上。由于本项目施工量小(即所需施工材料少)，因此材料运输量小，其道路运输扬尘产生量小，故施工期只要加强环境管理，对运输道路和施工场地及时洒水，影响范围可控制在100m范围以内，即可有效的抑制扬尘的产生，对区域大气环境影响甚微，且扬尘影响将随着施工期结束而消失。</w:t>
      </w:r>
    </w:p>
    <w:p>
      <w:pPr>
        <w:pStyle w:val="32"/>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（3）施工车辆尾气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施工期运输车辆、施工机械所排放的废气中含有 CO、NOx、THC等污染物，但项目施工机械量不多，预计排放源强不大，尾气排放对环境影响较小。</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891" w:name="_Toc19441"/>
      <w:bookmarkStart w:id="892" w:name="_Toc18880"/>
      <w:bookmarkStart w:id="893" w:name="_Toc10874"/>
      <w:bookmarkStart w:id="894" w:name="_Toc18359"/>
      <w:bookmarkStart w:id="895" w:name="_Toc25972"/>
      <w:bookmarkStart w:id="896" w:name="_Toc7999065"/>
      <w:bookmarkStart w:id="897" w:name="_Toc17709437"/>
      <w:r>
        <w:rPr>
          <w:rFonts w:hint="default" w:ascii="Times New Roman" w:hAnsi="Times New Roman" w:cs="Times New Roman"/>
          <w:color w:val="auto"/>
          <w:sz w:val="24"/>
        </w:rPr>
        <w:t>5.1.4施工期水环境影响分析</w:t>
      </w:r>
      <w:bookmarkEnd w:id="891"/>
      <w:bookmarkEnd w:id="892"/>
      <w:bookmarkEnd w:id="893"/>
      <w:bookmarkEnd w:id="894"/>
      <w:bookmarkEnd w:id="895"/>
      <w:bookmarkEnd w:id="896"/>
      <w:bookmarkEnd w:id="89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（1）水环境影响分析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施工期废水主要来源为三部分：一是井巷工程掘进产生的矿井涌水。据开发利用方案和地质报告提供矿井涌水量为160m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/d；二是施工过程中产生的建筑废水；三是施工生活污水，主要包括盥洗废水和粪便污水等。项目施工人数为20人，施工人员生活污水排放量为 30~60L/d，则1.2m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（2）水环境防治措施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项目施工期间产生的废水量较大，但若不经处理或处理不当直接外排，对周围环境会造成一定影响。评价建议对施工废水采取以下污染控制措施：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①加强管理，注意施工废水和矿井涌水不可任意直接排放；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项目所在地气候炎热少雨，属于严重缺水干旱区。在井巷工程掘进过程中产生的矿井涌水，经集中收集于防渗沉淀池，部分用于项目周边洒水降尘、施工用水等；剩余的涌水由洒水车运至矿区附近用于绿化。这样既能使水资源得到合理的利用，避免水资源的浪费，同时又能减轻对项目区水环境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施工现场产生的建筑废水，主要来源于混凝土的搅拌、养护等，废水量不大，多为无机废水除悬浮物含量较高外，一般不含有毒有害物质，主要污染物为SS。建议施工单位应在施工现场设置一座临时废水沉淀池，收集施工中排放的各类废水，经沉淀后仍可作为项目施工生产用水，既可节约水资源，又可减轻对项目区水环境的污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（4）项目区施工生活污水经污水处理设施处理达标后，用于厂周边绿化。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废水量较大，水质成分简单，矿井涌水经沉淀澄清后回用于矿区降尘洒水、周边及附近绿化；施工废水经收集沉淀继续回用于生产，生活污水经污水处理设施处理达标后用于周边绿化及道路洒水降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综上，项目施工期的生产废水和生活污水，均得到合理的利用和处置，因此对周围环境影响较小。</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898" w:name="_Toc9627"/>
      <w:bookmarkStart w:id="899" w:name="_Toc15942"/>
      <w:bookmarkStart w:id="900" w:name="_Toc13578"/>
      <w:bookmarkStart w:id="901" w:name="_Toc5972"/>
      <w:bookmarkStart w:id="902" w:name="_Toc25012"/>
      <w:bookmarkStart w:id="903" w:name="_Toc7999066"/>
      <w:bookmarkStart w:id="904" w:name="_Toc17709438"/>
      <w:r>
        <w:rPr>
          <w:rFonts w:hint="default" w:ascii="Times New Roman" w:hAnsi="Times New Roman" w:cs="Times New Roman"/>
          <w:color w:val="auto"/>
          <w:sz w:val="24"/>
        </w:rPr>
        <w:t>5.1.5施工期噪声影响分析</w:t>
      </w:r>
      <w:bookmarkEnd w:id="898"/>
      <w:bookmarkEnd w:id="899"/>
      <w:bookmarkEnd w:id="900"/>
      <w:bookmarkEnd w:id="901"/>
      <w:bookmarkEnd w:id="902"/>
      <w:bookmarkEnd w:id="903"/>
      <w:bookmarkEnd w:id="904"/>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（1）施工期噪声评价标准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施工期噪声评价标准采用《建筑施工场界环境噪声排放标准》(GB12523-2011)，具体标准限值见表5.1-3。</w:t>
      </w:r>
    </w:p>
    <w:p>
      <w:pPr>
        <w:ind w:firstLine="2310" w:firstLineChars="11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表5.1-3    建筑施工场界环境噪声排放限值        Leq[dB(A)]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2610"/>
        <w:gridCol w:w="2410"/>
        <w:gridCol w:w="3508"/>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2610" w:type="dxa"/>
            <w:vMerge w:val="restart"/>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实施阶段</w:t>
            </w:r>
          </w:p>
        </w:tc>
        <w:tc>
          <w:tcPr>
            <w:tcW w:w="5918" w:type="dxa"/>
            <w:gridSpan w:val="2"/>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2610" w:type="dxa"/>
            <w:vMerge w:val="continue"/>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p>
        </w:tc>
        <w:tc>
          <w:tcPr>
            <w:tcW w:w="2410" w:type="dxa"/>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508" w:type="dxa"/>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2610" w:type="dxa"/>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w:t>
            </w:r>
          </w:p>
        </w:tc>
        <w:tc>
          <w:tcPr>
            <w:tcW w:w="2410" w:type="dxa"/>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3508" w:type="dxa"/>
            <w:tcBorders>
              <w:tl2br w:val="nil"/>
              <w:tr2bl w:val="nil"/>
            </w:tcBorders>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（2）施工期噪声污染源</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施工期噪声主要来自地面建(构)物的土建施工、设备安装调试、材料运输等过程。施工机械在运行中产生的噪声对区域声环境产生一定影响。这种影响是间歇性的、局部的和短期的，随着施工的结束而消失。</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各种施工活动声功率级见表5.1-4。</w:t>
      </w:r>
    </w:p>
    <w:p>
      <w:pPr>
        <w:overflowPunct w:val="0"/>
        <w:spacing w:line="360" w:lineRule="auto"/>
        <w:ind w:firstLine="480" w:firstLineChars="200"/>
        <w:rPr>
          <w:rFonts w:hint="default" w:ascii="Times New Roman" w:hAnsi="Times New Roman" w:cs="Times New Roman"/>
          <w:color w:val="auto"/>
          <w:sz w:val="24"/>
        </w:rPr>
      </w:pPr>
    </w:p>
    <w:p>
      <w:pPr>
        <w:overflowPunct w:val="0"/>
        <w:spacing w:line="360" w:lineRule="auto"/>
        <w:ind w:firstLine="480" w:firstLineChars="200"/>
        <w:rPr>
          <w:rFonts w:hint="default" w:ascii="Times New Roman" w:hAnsi="Times New Roman" w:cs="Times New Roman"/>
          <w:color w:val="auto"/>
          <w:sz w:val="24"/>
        </w:rPr>
      </w:pPr>
    </w:p>
    <w:p>
      <w:pPr>
        <w:overflowPunct w:val="0"/>
        <w:spacing w:line="360" w:lineRule="auto"/>
        <w:ind w:firstLine="480" w:firstLineChars="200"/>
        <w:rPr>
          <w:rFonts w:hint="default" w:ascii="Times New Roman" w:hAnsi="Times New Roman" w:cs="Times New Roman"/>
          <w:color w:val="auto"/>
          <w:sz w:val="24"/>
        </w:rPr>
      </w:pPr>
    </w:p>
    <w:p>
      <w:pPr>
        <w:ind w:firstLine="1995" w:firstLineChars="9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表5.1-4     施工期主要噪声源类比调查统计表        Leq[dB(A)]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1620"/>
        <w:gridCol w:w="1637"/>
        <w:gridCol w:w="1064"/>
        <w:gridCol w:w="1779"/>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声级dB(A)</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90-100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混凝土搅拌机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90-120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装载机</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90-100</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冲击打桩机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exact"/>
          <w:jc w:val="center"/>
        </w:trPr>
        <w:tc>
          <w:tcPr>
            <w:tcW w:w="100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20"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各种车辆</w:t>
            </w:r>
          </w:p>
        </w:tc>
        <w:tc>
          <w:tcPr>
            <w:tcW w:w="1637"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70-95</w:t>
            </w:r>
          </w:p>
        </w:tc>
        <w:tc>
          <w:tcPr>
            <w:tcW w:w="1064"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77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凿岩机</w:t>
            </w:r>
          </w:p>
        </w:tc>
        <w:tc>
          <w:tcPr>
            <w:tcW w:w="1419" w:type="dxa"/>
            <w:noWrap w:val="0"/>
            <w:vAlign w:val="center"/>
          </w:tcPr>
          <w:p>
            <w:pPr>
              <w:pStyle w:val="32"/>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95-105</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（3）施工期噪声影响预测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①预测内容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施工期噪声影响预测内容为：施工场地边界噪声。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②工程施工噪声特点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施工过程发生的噪声与其它重要的噪声源不同。其一是噪声由许多不同种类的设备发出的；其二是这些设备的运作是间歇性的，因此所发出的噪声也是间歇性和短暂的；其三是一般规定施工应在白天进行。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③施工过程噪声源强的确定</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项目施工噪声源强类比相近企业施工期间噪声源数据。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（4）施工期噪声预测模式</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a、项目施工过程场地的Leq</w:t>
      </w:r>
    </w:p>
    <w:p>
      <w:pPr>
        <w:spacing w:line="360" w:lineRule="auto"/>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项目施工过程场地的Leq预测模式如下：</w:t>
      </w:r>
    </w:p>
    <w:p>
      <w:pPr>
        <w:spacing w:line="360" w:lineRule="auto"/>
        <w:ind w:firstLine="1080" w:firstLineChars="450"/>
        <w:rPr>
          <w:rFonts w:hint="default" w:ascii="Times New Roman" w:hAnsi="Times New Roman" w:cs="Times New Roman"/>
          <w:color w:val="auto"/>
          <w:sz w:val="24"/>
        </w:rPr>
      </w:pPr>
      <w:r>
        <w:rPr>
          <w:rFonts w:hint="default" w:ascii="Times New Roman" w:hAnsi="Times New Roman" w:cs="Times New Roman"/>
          <w:bCs/>
          <w:color w:val="auto"/>
          <w:sz w:val="24"/>
        </w:rPr>
        <w:drawing>
          <wp:inline distT="0" distB="0" distL="114300" distR="114300">
            <wp:extent cx="2082800" cy="431800"/>
            <wp:effectExtent l="0" t="0" r="0" b="5715"/>
            <wp:docPr id="7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1"/>
                    <pic:cNvPicPr>
                      <a:picLocks noChangeAspect="1"/>
                    </pic:cNvPicPr>
                  </pic:nvPicPr>
                  <pic:blipFill>
                    <a:blip r:embed="rId22"/>
                    <a:stretch>
                      <a:fillRect/>
                    </a:stretch>
                  </pic:blipFill>
                  <pic:spPr>
                    <a:xfrm>
                      <a:off x="0" y="0"/>
                      <a:ext cx="2082800" cy="43180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 ——第 i 施工阶段的L(dB)</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Ti——第 I 阶段 延续的 总时间 ；</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  ——从开始阶段(i=1)到施工结束(i=2)的总延续时间；</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  ——施工阶段数。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b、在离施工场地x距离处的Leq(x)的修正系数。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在离施工场地x的距离处的Leq(x)的修正系数由下式计算：</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ADJ=-lg(x/0.328+250)+48</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式中：x—— 离场地边界的距离(m)，则：</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Leq(x)=Leq-ADJ</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c、点声源的几何发散衰减模式</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L(r)=L(r0)-20lg(r/r0)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式中：L(r)——距声源r米处的施工噪声预测值dB(A)；</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L(r0)——距声源r0米处的参考声级</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（5）施工期噪声预测结果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施工时间共需1a，本次预测选取噪声高、运行时段较长的设备进行噪声衰减预测，距各种施工设备不同距离噪声预测结果见表5.1-5。</w:t>
      </w:r>
    </w:p>
    <w:p>
      <w:pPr>
        <w:ind w:firstLine="1470" w:firstLineChars="7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表5.1-5       距各种施工机械不同距离的噪声值        单位：dB(A)</w:t>
      </w:r>
    </w:p>
    <w:tbl>
      <w:tblPr>
        <w:tblStyle w:val="7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53"/>
        <w:gridCol w:w="1394"/>
        <w:gridCol w:w="1394"/>
        <w:gridCol w:w="1314"/>
        <w:gridCol w:w="13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施工机械</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噪声强度</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50m</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150m</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推土机</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90～100</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61</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55</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51</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挖掘机</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85～100</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58</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52</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装载机</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90～100</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61</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55</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51</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混凝土搅拌机</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80～90</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51</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45</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41</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空压机</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90～95</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58</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52</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trPr>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各种运输车辆</w:t>
            </w:r>
          </w:p>
        </w:tc>
        <w:tc>
          <w:tcPr>
            <w:tcW w:w="1553"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80～95</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54</w:t>
            </w:r>
          </w:p>
        </w:tc>
        <w:tc>
          <w:tcPr>
            <w:tcW w:w="139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44</w:t>
            </w:r>
          </w:p>
        </w:tc>
        <w:tc>
          <w:tcPr>
            <w:tcW w:w="1314"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42</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施工期噪声经过距离衰减后，施工场界噪声可满足《建筑施工场界环境噪声排放标准》(GB12523-2011)要求，产生噪声均为间歇性噪声，对区域声环境影响较小，随着施工期结束而消失。</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由于项目区较为空旷，周围没有噪声环境敏感点，施工噪声影响对象主要为施工作业人员，随着施工期的结束而消失。</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905" w:name="_Toc6096"/>
      <w:bookmarkStart w:id="906" w:name="_Toc27298"/>
      <w:bookmarkStart w:id="907" w:name="_Toc28276"/>
      <w:bookmarkStart w:id="908" w:name="_Toc9251"/>
      <w:bookmarkStart w:id="909" w:name="_Toc13563"/>
      <w:bookmarkStart w:id="910" w:name="_Toc7999067"/>
      <w:bookmarkStart w:id="911" w:name="_Toc17709439"/>
      <w:r>
        <w:rPr>
          <w:rFonts w:hint="default" w:ascii="Times New Roman" w:hAnsi="Times New Roman" w:cs="Times New Roman"/>
          <w:color w:val="auto"/>
          <w:sz w:val="24"/>
        </w:rPr>
        <w:t>5.1.6施工期固体废物影响分析</w:t>
      </w:r>
      <w:bookmarkEnd w:id="905"/>
      <w:bookmarkEnd w:id="906"/>
      <w:bookmarkEnd w:id="907"/>
      <w:bookmarkEnd w:id="908"/>
      <w:bookmarkEnd w:id="909"/>
      <w:bookmarkEnd w:id="910"/>
      <w:bookmarkEnd w:id="91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（1）施工期固体废弃物影响</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形成240t/d的采矿生产能力，矿山必须完成提升运输、通风、排水、安全出口等开拓系统的基本建设工程，同时满足开拓、采准、备采等三级矿量的要求和场内道路的畅通。项目巷道开拓掘进废石、生活垃圾是施工期间产生的主要固体废弃物。</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生活垃圾主要包括废弃的各种生活用品以及饮食垃圾。若不能有效及时清运处理，则会腐烂变质、孳生苍蝇蚊虫、产生恶臭、传染疾病，从而给周围环境和作业人员健康带来不利影响。</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（2）施工期固体废物防治措施</w:t>
      </w:r>
    </w:p>
    <w:p>
      <w:pPr>
        <w:overflowPunct w:val="0"/>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①项目巷道开拓掘进废石，优先用于场地平整填方、道路建设等，剩余部分堆存在废石场内；</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②矿区周边植被覆盖较低，约为1%～5%。为了减少废石堆场基建对矿区占地及生态的影响，结合项目特点及开采顺序，建议建设单位对废石堆场及配套防护设施应分期建设，做到在</w:t>
      </w:r>
      <w:r>
        <w:rPr>
          <w:rFonts w:hint="default" w:ascii="Times New Roman" w:hAnsi="Times New Roman" w:cs="Times New Roman"/>
          <w:color w:val="auto"/>
          <w:sz w:val="24"/>
          <w:lang w:eastAsia="zh-CN"/>
        </w:rPr>
        <w:t>先开采</w:t>
      </w:r>
      <w:r>
        <w:rPr>
          <w:rFonts w:hint="default" w:ascii="Times New Roman" w:hAnsi="Times New Roman" w:cs="Times New Roman"/>
          <w:color w:val="auto"/>
          <w:sz w:val="24"/>
        </w:rPr>
        <w:t>矿体开采结束后，后面矿体开采产生的废石应送到硐内用于回填采空区，减少废石场堆存量和占地面积；</w:t>
      </w:r>
    </w:p>
    <w:p>
      <w:pPr>
        <w:overflowPunct w:val="0"/>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③生活垃圾不得随意丢弃，集中收集，设置垃圾收集装置，定期将生活垃圾运至达坂城区柴窝堡乡垃圾回收站。</w:t>
      </w:r>
    </w:p>
    <w:p>
      <w:pPr>
        <w:overflowPunct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经以上各项措施处理后，本项目施工产生的固体废物可得到妥善的处置，对周围环境影响较小。</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912" w:name="_Toc5698"/>
      <w:bookmarkStart w:id="913" w:name="_Toc19961"/>
      <w:bookmarkStart w:id="914" w:name="_Toc12626"/>
      <w:bookmarkStart w:id="915" w:name="_Toc6900"/>
      <w:bookmarkStart w:id="916" w:name="_Toc2113"/>
      <w:bookmarkStart w:id="917" w:name="_Toc7999068"/>
      <w:bookmarkStart w:id="918" w:name="_Toc17709440"/>
      <w:r>
        <w:rPr>
          <w:rFonts w:hint="default" w:ascii="Times New Roman" w:hAnsi="Times New Roman" w:cs="Times New Roman"/>
          <w:color w:val="auto"/>
          <w:sz w:val="24"/>
        </w:rPr>
        <w:t>5.1.7道路建设的影响分析</w:t>
      </w:r>
      <w:bookmarkEnd w:id="912"/>
      <w:bookmarkEnd w:id="913"/>
      <w:bookmarkEnd w:id="914"/>
      <w:bookmarkEnd w:id="915"/>
      <w:bookmarkEnd w:id="916"/>
      <w:bookmarkEnd w:id="917"/>
      <w:bookmarkEnd w:id="918"/>
    </w:p>
    <w:p>
      <w:pPr>
        <w:overflowPunct w:val="0"/>
        <w:adjustRightInd w:val="0"/>
        <w:snapToGrid w:val="0"/>
        <w:spacing w:line="360" w:lineRule="auto"/>
        <w:ind w:firstLine="480" w:firstLineChars="200"/>
        <w:rPr>
          <w:rFonts w:hint="default" w:ascii="Times New Roman" w:hAnsi="Times New Roman" w:cs="Times New Roman"/>
          <w:color w:val="auto"/>
          <w:sz w:val="24"/>
        </w:rPr>
      </w:pPr>
      <w:bookmarkStart w:id="919" w:name="_Toc7999069"/>
      <w:bookmarkStart w:id="920" w:name="_Toc8836377"/>
      <w:bookmarkStart w:id="921" w:name="_Toc371756980"/>
      <w:bookmarkStart w:id="922" w:name="_Toc20830"/>
      <w:bookmarkStart w:id="923" w:name="_Toc25689"/>
      <w:bookmarkStart w:id="924" w:name="_Toc27669"/>
      <w:bookmarkStart w:id="925" w:name="_Toc24305"/>
      <w:bookmarkStart w:id="926" w:name="_Toc15587"/>
      <w:bookmarkStart w:id="927" w:name="_Toc25514"/>
      <w:bookmarkStart w:id="928" w:name="_Toc6175"/>
      <w:r>
        <w:rPr>
          <w:rFonts w:hint="default" w:ascii="Times New Roman" w:hAnsi="Times New Roman" w:cs="Times New Roman"/>
          <w:color w:val="auto"/>
          <w:sz w:val="24"/>
        </w:rPr>
        <w:t>本项目不用修建道路，因此不分析道路建设影响分析。</w:t>
      </w:r>
    </w:p>
    <w:p>
      <w:pPr>
        <w:pStyle w:val="4"/>
        <w:keepLines/>
        <w:adjustRightInd w:val="0"/>
        <w:snapToGrid w:val="0"/>
        <w:spacing w:line="360" w:lineRule="auto"/>
        <w:ind w:left="565" w:hanging="565" w:hangingChars="201"/>
        <w:jc w:val="both"/>
        <w:rPr>
          <w:rFonts w:hint="default" w:ascii="Times New Roman" w:hAnsi="Times New Roman" w:cs="Times New Roman"/>
          <w:color w:val="auto"/>
          <w:sz w:val="28"/>
          <w:szCs w:val="28"/>
        </w:rPr>
      </w:pPr>
      <w:bookmarkStart w:id="929" w:name="_Toc17709304"/>
      <w:bookmarkStart w:id="930" w:name="_Toc17709441"/>
      <w:r>
        <w:rPr>
          <w:rFonts w:hint="default" w:ascii="Times New Roman" w:hAnsi="Times New Roman" w:cs="Times New Roman"/>
          <w:color w:val="auto"/>
          <w:sz w:val="28"/>
          <w:szCs w:val="28"/>
        </w:rPr>
        <w:t>5.2运营期环境影响分析与预测评价</w:t>
      </w:r>
      <w:bookmarkEnd w:id="919"/>
      <w:bookmarkEnd w:id="920"/>
      <w:bookmarkEnd w:id="929"/>
      <w:bookmarkEnd w:id="930"/>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931" w:name="_Toc7999070"/>
      <w:bookmarkStart w:id="932" w:name="_Toc17709442"/>
      <w:r>
        <w:rPr>
          <w:rFonts w:hint="default" w:ascii="Times New Roman" w:hAnsi="Times New Roman" w:cs="Times New Roman"/>
          <w:color w:val="auto"/>
          <w:sz w:val="24"/>
        </w:rPr>
        <w:t>5.2.1大气环境影响预测</w:t>
      </w:r>
      <w:bookmarkEnd w:id="921"/>
      <w:bookmarkEnd w:id="922"/>
      <w:bookmarkEnd w:id="923"/>
      <w:r>
        <w:rPr>
          <w:rFonts w:hint="default" w:ascii="Times New Roman" w:hAnsi="Times New Roman" w:cs="Times New Roman"/>
          <w:color w:val="auto"/>
          <w:sz w:val="24"/>
        </w:rPr>
        <w:t>与评价</w:t>
      </w:r>
      <w:bookmarkEnd w:id="924"/>
      <w:bookmarkEnd w:id="925"/>
      <w:bookmarkEnd w:id="926"/>
      <w:bookmarkEnd w:id="927"/>
      <w:bookmarkEnd w:id="928"/>
      <w:bookmarkEnd w:id="931"/>
      <w:bookmarkEnd w:id="932"/>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本次环评根据</w:t>
      </w:r>
      <w:r>
        <w:rPr>
          <w:rFonts w:hint="eastAsia" w:ascii="Times New Roman" w:hAnsi="Times New Roman" w:cs="Times New Roman"/>
          <w:color w:val="auto"/>
          <w:sz w:val="24"/>
          <w:lang w:eastAsia="zh-CN"/>
        </w:rPr>
        <w:t>乌鲁木齐市</w:t>
      </w:r>
      <w:r>
        <w:rPr>
          <w:rFonts w:hint="default" w:ascii="Times New Roman" w:hAnsi="Times New Roman" w:cs="Times New Roman"/>
          <w:color w:val="auto"/>
          <w:sz w:val="24"/>
        </w:rPr>
        <w:t>气象资料，分析区域污染气象特征。根据区域污染气象特征设计相应的大气环境影响预测方案，进行项目厂址区域的大气环境影响预测</w:t>
      </w:r>
    </w:p>
    <w:p>
      <w:pPr>
        <w:adjustRightInd w:val="0"/>
        <w:snapToGrid w:val="0"/>
        <w:spacing w:line="360" w:lineRule="auto"/>
        <w:outlineLvl w:val="3"/>
        <w:rPr>
          <w:rFonts w:hint="default" w:ascii="Times New Roman" w:hAnsi="Times New Roman" w:cs="Times New Roman"/>
          <w:color w:val="auto"/>
          <w:sz w:val="24"/>
          <w:szCs w:val="22"/>
        </w:rPr>
      </w:pPr>
      <w:bookmarkStart w:id="933" w:name="_Toc22566"/>
      <w:bookmarkStart w:id="934" w:name="_Toc1812"/>
      <w:bookmarkStart w:id="935" w:name="_Toc7999071"/>
      <w:r>
        <w:rPr>
          <w:rFonts w:hint="default" w:ascii="Times New Roman" w:hAnsi="Times New Roman" w:cs="Times New Roman"/>
          <w:color w:val="auto"/>
          <w:sz w:val="24"/>
          <w:szCs w:val="22"/>
        </w:rPr>
        <w:t>5.2.1.1气象气候分析</w:t>
      </w:r>
      <w:bookmarkEnd w:id="933"/>
      <w:bookmarkEnd w:id="934"/>
      <w:bookmarkEnd w:id="935"/>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本评价区域污染气象特征是根据</w:t>
      </w:r>
      <w:r>
        <w:rPr>
          <w:rFonts w:hint="eastAsia" w:ascii="Times New Roman" w:hAnsi="Times New Roman" w:cs="Times New Roman"/>
          <w:color w:val="auto"/>
          <w:sz w:val="24"/>
          <w:lang w:eastAsia="zh-CN"/>
        </w:rPr>
        <w:t>乌鲁木齐市</w:t>
      </w:r>
      <w:r>
        <w:rPr>
          <w:rFonts w:hint="default" w:ascii="Times New Roman" w:hAnsi="Times New Roman" w:cs="Times New Roman"/>
          <w:color w:val="auto"/>
          <w:sz w:val="24"/>
        </w:rPr>
        <w:t>气象站近20 年气象数据进行统计、归纳、计算、整理获得。根据</w:t>
      </w:r>
      <w:r>
        <w:rPr>
          <w:rFonts w:hint="eastAsia" w:ascii="Times New Roman" w:hAnsi="Times New Roman" w:cs="Times New Roman"/>
          <w:color w:val="auto"/>
          <w:sz w:val="24"/>
          <w:lang w:eastAsia="zh-CN"/>
        </w:rPr>
        <w:t>乌鲁木齐市</w:t>
      </w:r>
      <w:r>
        <w:rPr>
          <w:rFonts w:hint="default" w:ascii="Times New Roman" w:hAnsi="Times New Roman" w:cs="Times New Roman"/>
          <w:color w:val="auto"/>
          <w:sz w:val="24"/>
        </w:rPr>
        <w:t>气象站近20 年气象数据（云量、风向、风速、风频等观测资料）统计，</w:t>
      </w:r>
      <w:r>
        <w:rPr>
          <w:rFonts w:hint="eastAsia" w:ascii="Times New Roman" w:hAnsi="Times New Roman" w:cs="Times New Roman"/>
          <w:color w:val="auto"/>
          <w:sz w:val="24"/>
          <w:lang w:eastAsia="zh-CN"/>
        </w:rPr>
        <w:t>乌鲁木齐市</w:t>
      </w:r>
      <w:r>
        <w:rPr>
          <w:rFonts w:hint="default" w:ascii="Times New Roman" w:hAnsi="Times New Roman" w:cs="Times New Roman"/>
          <w:color w:val="auto"/>
          <w:sz w:val="24"/>
        </w:rPr>
        <w:t>盛行西北风（NW），冬季以西南风（SW）为主，风向频率为9.34%；夏季以西北侧偏西风（WNW）为主，风向频率为12.77%,</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静风出现频率较高，全年平均静风频率为11.82%，冬季出现频率最高，为15.93%；春季出现频率最低，为6.79%；多年平均风速2.3m/s, 春季、夏季平均风速最大，为2.3m/s 和2.01m/s，冬季平均风速最小，为1.33m/s。全年平均气温7.9℃，极端最高气温38℃，极端最低气温-35.2℃，全年总辐射6560.512 MJ/m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·a，全年可照时数4440.1 h，≥10℃积温为3401.2 ℃，无霜期平均175d，年平均降水量为38.4mm，年蒸发量为3164.2mm。</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（1）风速</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项目所在地区年季各风向平均风速统计结果见表5.2-1，年季各风向风速玫</w:t>
      </w:r>
      <w:r>
        <w:rPr>
          <w:rFonts w:hint="default" w:ascii="Times New Roman" w:hAnsi="Times New Roman" w:cs="Times New Roman"/>
          <w:color w:val="auto"/>
          <w:kern w:val="0"/>
          <w:sz w:val="24"/>
        </w:rPr>
        <w:t>瑰图详见图5.2-1。</w:t>
      </w:r>
    </w:p>
    <w:p>
      <w:pPr>
        <w:ind w:firstLine="720" w:firstLineChars="300"/>
        <w:rPr>
          <w:rFonts w:hint="default" w:ascii="Times New Roman" w:hAnsi="Times New Roman" w:cs="Times New Roman"/>
          <w:color w:val="auto"/>
          <w:kern w:val="0"/>
          <w:sz w:val="24"/>
        </w:rPr>
      </w:pPr>
    </w:p>
    <w:p>
      <w:pPr>
        <w:ind w:firstLine="720" w:firstLineChars="300"/>
        <w:rPr>
          <w:rFonts w:hint="default" w:ascii="Times New Roman" w:hAnsi="Times New Roman" w:cs="Times New Roman"/>
          <w:color w:val="auto"/>
          <w:kern w:val="0"/>
          <w:sz w:val="24"/>
        </w:rPr>
      </w:pPr>
    </w:p>
    <w:p>
      <w:pPr>
        <w:ind w:firstLine="720" w:firstLineChars="300"/>
        <w:rPr>
          <w:rFonts w:hint="default" w:ascii="Times New Roman" w:hAnsi="Times New Roman" w:cs="Times New Roman"/>
          <w:color w:val="auto"/>
          <w:kern w:val="0"/>
          <w:sz w:val="2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ind w:firstLine="5250" w:firstLineChars="25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表5.2-1       年季各风向平均风速（m/s）统计表</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8295005" cy="3876040"/>
            <wp:effectExtent l="0" t="0" r="10795" b="1016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23"/>
                    <a:stretch>
                      <a:fillRect/>
                    </a:stretch>
                  </pic:blipFill>
                  <pic:spPr>
                    <a:xfrm>
                      <a:off x="0" y="0"/>
                      <a:ext cx="8295005" cy="3876040"/>
                    </a:xfrm>
                    <a:prstGeom prst="rect">
                      <a:avLst/>
                    </a:prstGeom>
                    <a:noFill/>
                    <a:ln>
                      <a:noFill/>
                    </a:ln>
                  </pic:spPr>
                </pic:pic>
              </a:graphicData>
            </a:graphic>
          </wp:inline>
        </w:drawing>
      </w:r>
    </w:p>
    <w:p>
      <w:pPr>
        <w:adjustRightInd w:val="0"/>
        <w:snapToGrid w:val="0"/>
        <w:spacing w:line="360" w:lineRule="auto"/>
        <w:ind w:firstLine="464" w:firstLineChars="200"/>
        <w:rPr>
          <w:rFonts w:hint="default" w:ascii="Times New Roman" w:hAnsi="Times New Roman" w:cs="Times New Roman"/>
          <w:color w:val="auto"/>
          <w:spacing w:val="-4"/>
          <w:sz w:val="24"/>
        </w:rPr>
      </w:pPr>
    </w:p>
    <w:p>
      <w:pPr>
        <w:adjustRightInd w:val="0"/>
        <w:snapToGrid w:val="0"/>
        <w:spacing w:line="360" w:lineRule="auto"/>
        <w:ind w:firstLine="464" w:firstLineChars="200"/>
        <w:rPr>
          <w:rFonts w:hint="default" w:ascii="Times New Roman" w:hAnsi="Times New Roman" w:cs="Times New Roman"/>
          <w:color w:val="auto"/>
          <w:spacing w:val="-4"/>
          <w:sz w:val="24"/>
        </w:rPr>
      </w:pPr>
    </w:p>
    <w:p>
      <w:pPr>
        <w:adjustRightInd w:val="0"/>
        <w:snapToGrid w:val="0"/>
        <w:spacing w:line="360" w:lineRule="auto"/>
        <w:ind w:firstLine="464" w:firstLineChars="200"/>
        <w:rPr>
          <w:rFonts w:hint="default" w:ascii="Times New Roman" w:hAnsi="Times New Roman" w:cs="Times New Roman"/>
          <w:color w:val="auto"/>
          <w:spacing w:val="-4"/>
          <w:sz w:val="24"/>
        </w:rPr>
      </w:pPr>
    </w:p>
    <w:p>
      <w:pPr>
        <w:adjustRightInd w:val="0"/>
        <w:snapToGrid w:val="0"/>
        <w:spacing w:line="360" w:lineRule="auto"/>
        <w:ind w:firstLine="464" w:firstLineChars="200"/>
        <w:rPr>
          <w:rFonts w:hint="default" w:ascii="Times New Roman" w:hAnsi="Times New Roman" w:cs="Times New Roman"/>
          <w:color w:val="auto"/>
          <w:spacing w:val="-4"/>
          <w:sz w:val="24"/>
        </w:rPr>
      </w:pPr>
    </w:p>
    <w:p>
      <w:pPr>
        <w:adjustRightInd w:val="0"/>
        <w:snapToGrid w:val="0"/>
        <w:spacing w:line="360" w:lineRule="auto"/>
        <w:rPr>
          <w:rFonts w:hint="default" w:ascii="Times New Roman" w:hAnsi="Times New Roman" w:cs="Times New Roman"/>
          <w:color w:val="auto"/>
          <w:spacing w:val="-4"/>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p>
    <w:p>
      <w:pPr>
        <w:adjustRightInd w:val="0"/>
        <w:snapToGrid w:val="0"/>
        <w:spacing w:line="360" w:lineRule="auto"/>
        <w:ind w:firstLine="464"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drawing>
          <wp:inline distT="0" distB="0" distL="114300" distR="114300">
            <wp:extent cx="4312920" cy="6181725"/>
            <wp:effectExtent l="0" t="0" r="11430" b="9525"/>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24"/>
                    <a:stretch>
                      <a:fillRect/>
                    </a:stretch>
                  </pic:blipFill>
                  <pic:spPr>
                    <a:xfrm>
                      <a:off x="0" y="0"/>
                      <a:ext cx="4312920" cy="6181725"/>
                    </a:xfrm>
                    <a:prstGeom prst="rect">
                      <a:avLst/>
                    </a:prstGeom>
                    <a:noFill/>
                    <a:ln>
                      <a:noFill/>
                    </a:ln>
                  </pic:spPr>
                </pic:pic>
              </a:graphicData>
            </a:graphic>
          </wp:inline>
        </w:drawing>
      </w:r>
    </w:p>
    <w:p>
      <w:pPr>
        <w:spacing w:line="24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图5.2-1     风向风频玫瑰图</w:t>
      </w:r>
    </w:p>
    <w:p>
      <w:pPr>
        <w:adjustRightInd w:val="0"/>
        <w:snapToGrid w:val="0"/>
        <w:spacing w:line="360" w:lineRule="auto"/>
        <w:ind w:firstLine="464" w:firstLineChars="200"/>
        <w:rPr>
          <w:rFonts w:hint="default" w:ascii="Times New Roman" w:hAnsi="Times New Roman" w:cs="Times New Roman"/>
          <w:color w:val="auto"/>
          <w:spacing w:val="-4"/>
          <w:sz w:val="24"/>
        </w:rPr>
      </w:pPr>
    </w:p>
    <w:p>
      <w:pPr>
        <w:adjustRightInd w:val="0"/>
        <w:spacing w:line="360" w:lineRule="auto"/>
        <w:ind w:firstLine="480" w:firstLineChars="200"/>
        <w:rPr>
          <w:rFonts w:hint="default" w:ascii="Times New Roman" w:hAnsi="Times New Roman" w:cs="Times New Roman"/>
          <w:color w:val="auto"/>
          <w:sz w:val="24"/>
        </w:rPr>
      </w:pPr>
      <w:bookmarkStart w:id="936" w:name="_Toc30112"/>
      <w:bookmarkStart w:id="937" w:name="_Toc9722"/>
      <w:r>
        <w:rPr>
          <w:rFonts w:hint="default" w:ascii="Times New Roman" w:hAnsi="Times New Roman" w:cs="Times New Roman"/>
          <w:color w:val="auto"/>
          <w:sz w:val="24"/>
        </w:rPr>
        <w:t>（2）风向</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该区全年盛行西北风（NW），出现频率为8.2%。静风频率较高，全年达</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11.82%，其中冬季是静风频率最高的季节，频率为15.93%。详见表5.2-2。据此所绘项目区风向频率玫瑰图见图5.2-2。</w:t>
      </w:r>
      <w:bookmarkEnd w:id="936"/>
      <w:bookmarkEnd w:id="937"/>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ind w:firstLine="4095" w:firstLineChars="19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表5.2-2     年季各风向频率（％）统计表</w:t>
      </w:r>
    </w:p>
    <w:p>
      <w:pPr>
        <w:adjustRightIn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8877935" cy="3695700"/>
            <wp:effectExtent l="0" t="0" r="18415" b="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25"/>
                    <a:stretch>
                      <a:fillRect/>
                    </a:stretch>
                  </pic:blipFill>
                  <pic:spPr>
                    <a:xfrm>
                      <a:off x="0" y="0"/>
                      <a:ext cx="8877935" cy="3695700"/>
                    </a:xfrm>
                    <a:prstGeom prst="rect">
                      <a:avLst/>
                    </a:prstGeom>
                    <a:noFill/>
                    <a:ln>
                      <a:noFill/>
                    </a:ln>
                  </pic:spPr>
                </pic:pic>
              </a:graphicData>
            </a:graphic>
          </wp:inline>
        </w:drawing>
      </w:r>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pPr>
    </w:p>
    <w:p>
      <w:pPr>
        <w:adjustRightInd w:val="0"/>
        <w:spacing w:line="360" w:lineRule="auto"/>
        <w:ind w:firstLine="480" w:firstLineChars="200"/>
        <w:rPr>
          <w:rFonts w:hint="default" w:ascii="Times New Roman" w:hAnsi="Times New Roman" w:cs="Times New Roman"/>
          <w:color w:val="auto"/>
          <w:sz w:val="24"/>
        </w:rPr>
      </w:pPr>
    </w:p>
    <w:p>
      <w:pPr>
        <w:pStyle w:val="5"/>
        <w:keepLines w:val="0"/>
        <w:adjustRightInd w:val="0"/>
        <w:snapToGrid w:val="0"/>
        <w:spacing w:before="0" w:after="0" w:line="360" w:lineRule="auto"/>
        <w:rPr>
          <w:rFonts w:hint="default" w:ascii="Times New Roman" w:hAnsi="Times New Roman" w:cs="Times New Roman"/>
          <w:bCs w:val="0"/>
          <w:color w:val="auto"/>
          <w:sz w:val="24"/>
          <w:szCs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bookmarkStart w:id="938" w:name="_Toc27578"/>
      <w:bookmarkStart w:id="939" w:name="_Toc4473"/>
      <w:bookmarkStart w:id="940" w:name="_Toc10652"/>
      <w:bookmarkStart w:id="941" w:name="_Toc7751"/>
      <w:bookmarkStart w:id="942" w:name="_Toc799907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520565" cy="6183630"/>
            <wp:effectExtent l="0" t="0" r="13335" b="762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26"/>
                    <a:stretch>
                      <a:fillRect/>
                    </a:stretch>
                  </pic:blipFill>
                  <pic:spPr>
                    <a:xfrm>
                      <a:off x="0" y="0"/>
                      <a:ext cx="4520565" cy="6183630"/>
                    </a:xfrm>
                    <a:prstGeom prst="rect">
                      <a:avLst/>
                    </a:prstGeom>
                    <a:noFill/>
                    <a:ln>
                      <a:noFill/>
                    </a:ln>
                  </pic:spPr>
                </pic:pic>
              </a:graphicData>
            </a:graphic>
          </wp:inline>
        </w:drawing>
      </w:r>
    </w:p>
    <w:p>
      <w:pPr>
        <w:spacing w:line="24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图5.2-2       项目区风频玫瑰分布图</w:t>
      </w:r>
    </w:p>
    <w:p>
      <w:pPr>
        <w:spacing w:line="240" w:lineRule="exact"/>
        <w:jc w:val="center"/>
        <w:rPr>
          <w:rFonts w:hint="default" w:ascii="Times New Roman" w:hAnsi="Times New Roman" w:cs="Times New Roman"/>
          <w:b/>
          <w:color w:val="auto"/>
          <w:szCs w:val="21"/>
        </w:rPr>
      </w:pPr>
    </w:p>
    <w:p>
      <w:pPr>
        <w:adjustRightInd w:val="0"/>
        <w:snapToGrid w:val="0"/>
        <w:spacing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5.2.1.2大气环境影响分析</w:t>
      </w:r>
      <w:bookmarkEnd w:id="938"/>
      <w:bookmarkEnd w:id="939"/>
      <w:bookmarkEnd w:id="940"/>
      <w:bookmarkEnd w:id="941"/>
      <w:bookmarkEnd w:id="94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本项目矿区不设破碎和选矿设施，也不设采暖燃煤锅炉，矿区废气污染主要为采矿过程、矿石运输过程、废石堆放过程排放的粉尘以及柴油发动机排放的少量废气等。</w:t>
      </w:r>
    </w:p>
    <w:p>
      <w:pPr>
        <w:adjustRightInd w:val="0"/>
        <w:snapToGrid w:val="0"/>
        <w:spacing w:line="360" w:lineRule="auto"/>
        <w:ind w:firstLine="480" w:firstLineChars="200"/>
        <w:rPr>
          <w:rFonts w:hint="default" w:ascii="Times New Roman" w:hAnsi="Times New Roman" w:cs="Times New Roman"/>
          <w:color w:val="auto"/>
          <w:sz w:val="24"/>
        </w:rPr>
      </w:pPr>
      <w:bookmarkStart w:id="943" w:name="_Toc14453"/>
      <w:bookmarkStart w:id="944" w:name="_Toc10184"/>
      <w:r>
        <w:rPr>
          <w:rFonts w:hint="default" w:ascii="Times New Roman" w:hAnsi="Times New Roman" w:cs="Times New Roman"/>
          <w:color w:val="auto"/>
          <w:sz w:val="24"/>
        </w:rPr>
        <w:t>（1）矿井废气影响分析</w:t>
      </w:r>
      <w:bookmarkEnd w:id="943"/>
      <w:bookmarkEnd w:id="944"/>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采矿凿岩、爆破过程中粉尘浓度约为30～40mg/m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，最高可达1000mg/m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 对矿井空气有较大的污染。为使矿井内空气含尘量和有毒有害气体浓度达到国家标准，项目设计采用“风、水结合，以风为主”的综合防治措施。本工程除采用抽出式通风系统进行通风外，在掘进工作面和需要独立通风的硐室均采用局部通风。在凿岩时还采取湿式凿岩作业、巷道内采取洒水降尘等措施，坑道内粉尘平均含量≤1.0mg/ 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以下，满足《铜镍钴工业污染物排放标准》（GB25467-2010）矿石采选颗粒物排放限值要求。在采取上述措施净化后，矿井废气由风井排出，污染物的排放浓度低源强小，对外环境影响小。</w:t>
      </w:r>
    </w:p>
    <w:p>
      <w:pPr>
        <w:adjustRightInd w:val="0"/>
        <w:snapToGrid w:val="0"/>
        <w:spacing w:line="360" w:lineRule="auto"/>
        <w:ind w:firstLine="480" w:firstLineChars="200"/>
        <w:rPr>
          <w:rFonts w:hint="default" w:ascii="Times New Roman" w:hAnsi="Times New Roman" w:cs="Times New Roman"/>
          <w:color w:val="auto"/>
          <w:sz w:val="24"/>
        </w:rPr>
      </w:pPr>
      <w:bookmarkStart w:id="945" w:name="_Toc20761"/>
      <w:bookmarkStart w:id="946" w:name="_Toc18581"/>
      <w:r>
        <w:rPr>
          <w:rFonts w:hint="default" w:ascii="Times New Roman" w:hAnsi="Times New Roman" w:cs="Times New Roman"/>
          <w:color w:val="auto"/>
          <w:sz w:val="24"/>
        </w:rPr>
        <w:t>（2）矿区运输道路扬尘影响分析</w:t>
      </w:r>
      <w:bookmarkEnd w:id="945"/>
      <w:bookmarkEnd w:id="946"/>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项目建成后，将增加铜矿石和废石的运输，势必造成运输量增加。</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根据各矿体资源分布的情况，依次对矿区6个主要矿体敷设为简易矿山道路，泥结碎石路面单车道，全长</w:t>
      </w:r>
      <w:r>
        <w:rPr>
          <w:rFonts w:hint="eastAsia" w:ascii="Times New Roman" w:hAnsi="Times New Roman" w:cs="Times New Roman"/>
          <w:color w:val="auto"/>
          <w:sz w:val="24"/>
          <w:lang w:val="en-US" w:eastAsia="zh-CN"/>
        </w:rPr>
        <w:t>2.8</w:t>
      </w:r>
      <w:r>
        <w:rPr>
          <w:rFonts w:hint="default" w:ascii="Times New Roman" w:hAnsi="Times New Roman" w:cs="Times New Roman"/>
          <w:color w:val="auto"/>
          <w:sz w:val="24"/>
        </w:rPr>
        <w:t>km，路基宽4.5m，路面宽4m，最大纵坡8%，平均纵坡4%，最小转弯半径15m。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工业场地至废石场等运输道路，运输沿线无居民居住区等敏感目标，运输车辆产生的扬尘会对沿线区域内动植物及环境空气产生一定的不良影响，其道路运输扬尘为</w:t>
      </w:r>
      <w:r>
        <w:rPr>
          <w:rFonts w:hint="eastAsia" w:ascii="Times New Roman" w:hAnsi="Times New Roman" w:cs="Times New Roman"/>
          <w:color w:val="auto"/>
          <w:sz w:val="24"/>
          <w:lang w:val="en-US" w:eastAsia="zh-CN"/>
        </w:rPr>
        <w:t>0.41</w:t>
      </w:r>
      <w:r>
        <w:rPr>
          <w:rFonts w:hint="default" w:ascii="Times New Roman" w:hAnsi="Times New Roman" w:cs="Times New Roman"/>
          <w:color w:val="auto"/>
          <w:sz w:val="24"/>
        </w:rPr>
        <w:t>t/a。为了减轻项目道路扬尘对矿区及周边环境的影响，建议企业必须加强运输车辆管理，采取限制车速、严禁道外行驶、加强道路日常维护，及时对坑洼路面进行修复平整，尽可能减少道路影响；要求驾驶员在运输过程中做到文明驾驶，运料车辆必须加盖蓬布；对矿区道路，定时洒水降尘，将物料运输过程中产生的扬尘降低到最低程度，减轻物料运输对环境的影响。通过采取上述措施后，道路运输扬尘量为</w:t>
      </w:r>
      <w:r>
        <w:rPr>
          <w:rFonts w:hint="eastAsia" w:ascii="Times New Roman" w:hAnsi="Times New Roman" w:cs="Times New Roman"/>
          <w:color w:val="auto"/>
          <w:sz w:val="24"/>
          <w:lang w:val="en-US" w:eastAsia="zh-CN"/>
        </w:rPr>
        <w:t>0.062</w:t>
      </w:r>
      <w:r>
        <w:rPr>
          <w:rFonts w:hint="default" w:ascii="Times New Roman" w:hAnsi="Times New Roman" w:cs="Times New Roman"/>
          <w:color w:val="auto"/>
          <w:sz w:val="24"/>
        </w:rPr>
        <w:t>t/a，因此项目矿石运输道路扬尘对矿区及周边环境影响较小。</w:t>
      </w:r>
    </w:p>
    <w:p>
      <w:pPr>
        <w:spacing w:line="360" w:lineRule="auto"/>
        <w:ind w:firstLine="480" w:firstLineChars="200"/>
        <w:rPr>
          <w:rFonts w:hint="default" w:ascii="Times New Roman" w:hAnsi="Times New Roman" w:cs="Times New Roman"/>
          <w:color w:val="auto"/>
          <w:sz w:val="24"/>
        </w:rPr>
      </w:pPr>
      <w:bookmarkStart w:id="947" w:name="_Toc15201"/>
      <w:bookmarkStart w:id="948" w:name="_Toc20279"/>
      <w:r>
        <w:rPr>
          <w:rFonts w:hint="default" w:ascii="Times New Roman" w:hAnsi="Times New Roman" w:cs="Times New Roman"/>
          <w:color w:val="auto"/>
          <w:sz w:val="24"/>
        </w:rPr>
        <w:t>（3）废石场扬尘影响分析</w:t>
      </w:r>
      <w:bookmarkEnd w:id="947"/>
      <w:bookmarkEnd w:id="948"/>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废石场风蚀扬尘量是不断变化、非常复杂的 ，主要影响因素有：风向、风速、湿度等气象因素；废石粒级分布、表面湿度 、堆场几何形状、堆存标高、作业面大小等自然状态因素；作业机械种类、台数和工作强度等机械动力因素等。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石的颗粒较大、刚性较强、不易风化，颗粒沉降速度也较快，所以即使在大风条件下，废石场风面源扬尘也并不十分严重。对于废石场扬尘，采用洒水加湿的方法抑制粉尘，以阻止废石场的粉尘扩散。经采取治理措施后，可以抑制扬尘量约75%，有效的减少废石堆场扬尘，本项目有</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座废石场，</w:t>
      </w:r>
      <w:r>
        <w:rPr>
          <w:rFonts w:hint="eastAsia" w:ascii="Times New Roman" w:hAnsi="Times New Roman" w:cs="Times New Roman"/>
          <w:color w:val="auto"/>
          <w:sz w:val="24"/>
          <w:lang w:eastAsia="zh-CN"/>
        </w:rPr>
        <w:t>产生的粉尘为</w:t>
      </w:r>
      <w:r>
        <w:rPr>
          <w:rFonts w:hint="eastAsia" w:ascii="Times New Roman" w:hAnsi="Times New Roman" w:cs="Times New Roman"/>
          <w:color w:val="auto"/>
          <w:sz w:val="24"/>
          <w:lang w:val="en-US" w:eastAsia="zh-CN"/>
        </w:rPr>
        <w:t>0.64</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采取措施后矿体废石场扬尘量为</w:t>
      </w:r>
      <w:r>
        <w:rPr>
          <w:rFonts w:hint="eastAsia" w:ascii="Times New Roman" w:hAnsi="Times New Roman" w:cs="Times New Roman"/>
          <w:color w:val="auto"/>
          <w:sz w:val="24"/>
          <w:lang w:val="en-US" w:eastAsia="zh-CN"/>
        </w:rPr>
        <w:t>0.16</w:t>
      </w:r>
      <w:r>
        <w:rPr>
          <w:rFonts w:hint="default" w:ascii="Times New Roman" w:hAnsi="Times New Roman" w:cs="Times New Roman"/>
          <w:color w:val="auto"/>
          <w:sz w:val="24"/>
        </w:rPr>
        <w:t>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废石场无组织粉尘排放参数见表5.2-3。</w:t>
      </w:r>
    </w:p>
    <w:p>
      <w:pPr>
        <w:ind w:firstLine="525" w:firstLineChars="2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表5.2-3                   无组织粉尘排放参数    </w:t>
      </w:r>
    </w:p>
    <w:tbl>
      <w:tblPr>
        <w:tblStyle w:val="79"/>
        <w:tblW w:w="836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1276"/>
        <w:gridCol w:w="708"/>
        <w:gridCol w:w="705"/>
        <w:gridCol w:w="1222"/>
        <w:gridCol w:w="1222"/>
        <w:gridCol w:w="12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2013" w:type="dxa"/>
            <w:noWrap w:val="0"/>
            <w:tcMar>
              <w:left w:w="28" w:type="dxa"/>
              <w:right w:w="28" w:type="dxa"/>
            </w:tcMar>
            <w:vAlign w:val="top"/>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项目</w:t>
            </w:r>
          </w:p>
        </w:tc>
        <w:tc>
          <w:tcPr>
            <w:tcW w:w="1276"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面源面积</w:t>
            </w:r>
          </w:p>
        </w:tc>
        <w:tc>
          <w:tcPr>
            <w:tcW w:w="708"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面源长</w:t>
            </w:r>
          </w:p>
        </w:tc>
        <w:tc>
          <w:tcPr>
            <w:tcW w:w="705"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面源宽</w:t>
            </w:r>
          </w:p>
        </w:tc>
        <w:tc>
          <w:tcPr>
            <w:tcW w:w="1222"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排放量</w:t>
            </w:r>
          </w:p>
        </w:tc>
        <w:tc>
          <w:tcPr>
            <w:tcW w:w="1222"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源强</w:t>
            </w:r>
          </w:p>
        </w:tc>
        <w:tc>
          <w:tcPr>
            <w:tcW w:w="1222"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13" w:type="dxa"/>
            <w:noWrap w:val="0"/>
            <w:tcMar>
              <w:left w:w="28" w:type="dxa"/>
              <w:right w:w="28" w:type="dxa"/>
            </w:tcMar>
            <w:vAlign w:val="center"/>
          </w:tcPr>
          <w:p>
            <w:pPr>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矿体废石场</w:t>
            </w:r>
          </w:p>
        </w:tc>
        <w:tc>
          <w:tcPr>
            <w:tcW w:w="1276"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eastAsia" w:ascii="Times New Roman" w:hAnsi="Times New Roman" w:cs="Times New Roman"/>
                <w:color w:val="auto"/>
                <w:szCs w:val="21"/>
                <w:lang w:val="en-US" w:eastAsia="zh-CN"/>
              </w:rPr>
              <w:t>4000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708"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eastAsia" w:ascii="Times New Roman" w:hAnsi="Times New Roman" w:eastAsia="华文中宋" w:cs="Times New Roman"/>
                <w:color w:val="auto"/>
                <w:szCs w:val="21"/>
                <w:lang w:val="en-US" w:eastAsia="zh-CN"/>
              </w:rPr>
              <w:t>80</w:t>
            </w:r>
            <w:r>
              <w:rPr>
                <w:rFonts w:hint="default" w:ascii="Times New Roman" w:hAnsi="Times New Roman" w:cs="Times New Roman"/>
                <w:color w:val="auto"/>
                <w:szCs w:val="21"/>
              </w:rPr>
              <w:t>m</w:t>
            </w:r>
          </w:p>
        </w:tc>
        <w:tc>
          <w:tcPr>
            <w:tcW w:w="705"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eastAsia" w:ascii="Times New Roman" w:hAnsi="Times New Roman" w:eastAsia="华文中宋" w:cs="Times New Roman"/>
                <w:color w:val="auto"/>
                <w:szCs w:val="21"/>
                <w:lang w:val="en-US" w:eastAsia="zh-CN"/>
              </w:rPr>
              <w:t>50</w:t>
            </w:r>
            <w:r>
              <w:rPr>
                <w:rFonts w:hint="default" w:ascii="Times New Roman" w:hAnsi="Times New Roman" w:cs="Times New Roman"/>
                <w:color w:val="auto"/>
                <w:szCs w:val="21"/>
              </w:rPr>
              <w:t>m</w:t>
            </w:r>
          </w:p>
        </w:tc>
        <w:tc>
          <w:tcPr>
            <w:tcW w:w="1222" w:type="dxa"/>
            <w:noWrap w:val="0"/>
            <w:tcMar>
              <w:left w:w="28" w:type="dxa"/>
              <w:right w:w="28" w:type="dxa"/>
            </w:tcMar>
            <w:vAlign w:val="center"/>
          </w:tcPr>
          <w:p>
            <w:pPr>
              <w:adjustRightInd w:val="0"/>
              <w:snapToGrid w:val="0"/>
              <w:spacing w:line="240" w:lineRule="atLeast"/>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0.16</w:t>
            </w:r>
            <w:r>
              <w:rPr>
                <w:rFonts w:hint="default" w:ascii="Times New Roman" w:hAnsi="Times New Roman" w:eastAsia="宋体" w:cs="Times New Roman"/>
                <w:color w:val="auto"/>
                <w:szCs w:val="21"/>
              </w:rPr>
              <w:t>t/a</w:t>
            </w:r>
          </w:p>
        </w:tc>
        <w:tc>
          <w:tcPr>
            <w:tcW w:w="1222"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eastAsia" w:ascii="Times New Roman" w:hAnsi="Times New Roman" w:eastAsia="华文中宋" w:cs="Times New Roman"/>
                <w:color w:val="auto"/>
                <w:szCs w:val="21"/>
                <w:lang w:val="en-US" w:eastAsia="zh-CN"/>
              </w:rPr>
              <w:t>7.7</w:t>
            </w:r>
            <w:r>
              <w:rPr>
                <w:rFonts w:hint="default" w:ascii="Times New Roman" w:hAnsi="Times New Roman" w:eastAsia="华文中宋" w:cs="Times New Roman"/>
                <w:color w:val="auto"/>
                <w:szCs w:val="21"/>
              </w:rPr>
              <w:t xml:space="preserve"> g/s</w:t>
            </w:r>
          </w:p>
        </w:tc>
        <w:tc>
          <w:tcPr>
            <w:tcW w:w="1222" w:type="dxa"/>
            <w:noWrap w:val="0"/>
            <w:tcMar>
              <w:left w:w="28" w:type="dxa"/>
              <w:right w:w="28" w:type="dxa"/>
            </w:tcMar>
            <w:vAlign w:val="center"/>
          </w:tcPr>
          <w:p>
            <w:pPr>
              <w:snapToGrid w:val="0"/>
              <w:spacing w:after="60" w:line="360" w:lineRule="exact"/>
              <w:jc w:val="center"/>
              <w:rPr>
                <w:rFonts w:hint="default" w:ascii="Times New Roman" w:hAnsi="Times New Roman" w:eastAsia="华文中宋" w:cs="Times New Roman"/>
                <w:color w:val="auto"/>
                <w:szCs w:val="21"/>
              </w:rPr>
            </w:pPr>
            <w:r>
              <w:rPr>
                <w:rFonts w:hint="default" w:ascii="Times New Roman" w:hAnsi="Times New Roman" w:eastAsia="华文中宋" w:cs="Times New Roman"/>
                <w:color w:val="auto"/>
                <w:szCs w:val="21"/>
              </w:rPr>
              <w:t>按堆满核算</w:t>
            </w:r>
          </w:p>
        </w:tc>
      </w:tr>
    </w:tbl>
    <w:p>
      <w:pPr>
        <w:spacing w:line="360" w:lineRule="auto"/>
        <w:ind w:firstLine="525" w:firstLineChars="250"/>
        <w:rPr>
          <w:rFonts w:hint="default" w:ascii="Times New Roman" w:hAnsi="Times New Roman" w:cs="Times New Roman"/>
          <w:color w:val="auto"/>
          <w:sz w:val="24"/>
        </w:rPr>
      </w:pPr>
      <w:r>
        <w:rPr>
          <w:rFonts w:hint="default" w:ascii="Times New Roman" w:hAnsi="Times New Roman" w:cs="Times New Roman"/>
          <w:color w:val="auto"/>
        </w:rPr>
        <w:t>①</w:t>
      </w:r>
      <w:r>
        <w:rPr>
          <w:rFonts w:hint="default" w:ascii="Times New Roman" w:hAnsi="Times New Roman" w:cs="Times New Roman"/>
          <w:color w:val="auto"/>
          <w:sz w:val="24"/>
        </w:rPr>
        <w:t>预测因子、预测范围和评价点的选择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因子：根据项目区环境特点及项目主要污染因子，确定预测因子为TSP。根据项目位置及工程规模，大气预测范围综合考虑到评价等级、自然环境条件、环境敏感因素、主导风向、人群密集度等，确定评价范围以废石堆场为中心、边长5km 的矩形区域，预测范围内的网格点以及区域内最大地面浓度点的影响。</w:t>
      </w:r>
    </w:p>
    <w:p>
      <w:pPr>
        <w:spacing w:line="360" w:lineRule="auto"/>
        <w:ind w:firstLine="525" w:firstLineChars="250"/>
        <w:rPr>
          <w:rFonts w:hint="default" w:ascii="Times New Roman" w:hAnsi="Times New Roman" w:cs="Times New Roman"/>
          <w:color w:val="auto"/>
          <w:sz w:val="24"/>
        </w:rPr>
      </w:pPr>
      <w:r>
        <w:rPr>
          <w:rFonts w:hint="default" w:ascii="Times New Roman" w:hAnsi="Times New Roman" w:cs="Times New Roman"/>
          <w:color w:val="auto"/>
        </w:rPr>
        <w:t>②</w:t>
      </w:r>
      <w:r>
        <w:rPr>
          <w:rFonts w:hint="default" w:ascii="Times New Roman" w:hAnsi="Times New Roman" w:cs="Times New Roman"/>
          <w:color w:val="auto"/>
          <w:sz w:val="24"/>
        </w:rPr>
        <w:t>预测模式选取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本项目大气环境影响评价工作等级为二级，直接以估算模式进行大气环境预测工作。选取的模式为《环境影响评价技术导则   大气环境》(HJ2.2-2018)中推荐的 AERSCREEN环境空气质量模式-点源和面源，预测结果见表5.2-4。</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表5.2--4 </w:t>
      </w:r>
      <w:r>
        <w:rPr>
          <w:rFonts w:hint="eastAsia"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粉尘排放源大气环境影响估算结果</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74"/>
        <w:gridCol w:w="3433"/>
        <w:gridCol w:w="1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矿体废石场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978" w:type="pc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距离中心</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下风向距离D/m</w:t>
            </w:r>
          </w:p>
        </w:tc>
        <w:tc>
          <w:tcPr>
            <w:tcW w:w="2013" w:type="pct"/>
            <w:noWrap w:val="0"/>
            <w:vAlign w:val="center"/>
          </w:tcPr>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下风向预测浓度</w:t>
            </w:r>
          </w:p>
          <w:p>
            <w:pPr>
              <w:pStyle w:val="32"/>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color w:val="auto"/>
                <w:sz w:val="21"/>
                <w:szCs w:val="21"/>
              </w:rPr>
              <w:t>C</w:t>
            </w:r>
            <w:r>
              <w:rPr>
                <w:rFonts w:hint="default" w:ascii="Times New Roman" w:hAnsi="Times New Roman" w:eastAsia="宋体" w:cs="Times New Roman"/>
                <w:i/>
                <w:color w:val="auto"/>
                <w:sz w:val="21"/>
                <w:szCs w:val="21"/>
                <w:vertAlign w:val="subscript"/>
              </w:rPr>
              <w:t>i</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07" w:type="pct"/>
            <w:noWrap w:val="0"/>
            <w:vAlign w:val="center"/>
          </w:tcPr>
          <w:p>
            <w:pPr>
              <w:pStyle w:val="32"/>
              <w:spacing w:line="24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占标率</w:t>
            </w:r>
          </w:p>
          <w:p>
            <w:pPr>
              <w:pStyle w:val="32"/>
              <w:spacing w:line="240" w:lineRule="exact"/>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w:t>
            </w:r>
            <w:r>
              <w:rPr>
                <w:rFonts w:hint="eastAsia" w:ascii="Times New Roman" w:hAnsi="Times New Roman" w:eastAsia="宋体"/>
                <w:color w:val="auto"/>
              </w:rPr>
              <w:t>08383</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w:t>
            </w:r>
            <w:r>
              <w:rPr>
                <w:rFonts w:hint="eastAsia" w:ascii="Times New Roman" w:hAnsi="Times New Roman" w:eastAsia="宋体"/>
                <w:color w:val="auto"/>
              </w:rPr>
              <w:t>7275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8.08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0.05497</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6.10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0.03815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500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0.02975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600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0.02144</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700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0.01707</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800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0.01399</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900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0.01175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0.01005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2000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0.003772</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3000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0.002159</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4000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0.001495</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5000</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0.001133</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最大浓度</w:t>
            </w:r>
          </w:p>
        </w:tc>
        <w:tc>
          <w:tcPr>
            <w:tcW w:w="2013" w:type="pct"/>
            <w:noWrap w:val="0"/>
            <w:vAlign w:val="center"/>
          </w:tcPr>
          <w:p>
            <w:pPr>
              <w:pStyle w:val="136"/>
              <w:ind w:left="-36" w:leftChars="0" w:right="-105" w:rightChars="0" w:firstLine="420" w:firstLineChars="0"/>
              <w:jc w:val="center"/>
              <w:rPr>
                <w:rFonts w:hint="default" w:ascii="Times New Roman" w:hAnsi="Times New Roman" w:eastAsia="宋体"/>
                <w:color w:val="auto"/>
                <w:kern w:val="2"/>
                <w:sz w:val="21"/>
                <w:szCs w:val="21"/>
                <w:lang w:val="en-US" w:eastAsia="zh-CN" w:bidi="ar-SA"/>
              </w:rPr>
            </w:pPr>
            <w:r>
              <w:rPr>
                <w:rFonts w:ascii="Times New Roman" w:hAnsi="Times New Roman" w:eastAsia="宋体"/>
                <w:color w:val="auto"/>
              </w:rPr>
              <w:t>0.</w:t>
            </w:r>
            <w:r>
              <w:rPr>
                <w:rFonts w:hint="eastAsia" w:ascii="Times New Roman" w:hAnsi="Times New Roman" w:eastAsia="宋体"/>
                <w:color w:val="auto"/>
              </w:rPr>
              <w:t>08598</w:t>
            </w:r>
          </w:p>
        </w:tc>
        <w:tc>
          <w:tcPr>
            <w:tcW w:w="1007" w:type="pct"/>
            <w:noWrap w:val="0"/>
            <w:vAlign w:val="center"/>
          </w:tcPr>
          <w:p>
            <w:pPr>
              <w:pStyle w:val="136"/>
              <w:ind w:right="-105" w:rightChars="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rPr>
              <w:t>9.55</w:t>
            </w:r>
          </w:p>
        </w:tc>
      </w:tr>
    </w:tbl>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cs="Times New Roman"/>
          <w:color w:val="auto"/>
          <w:sz w:val="24"/>
        </w:rPr>
        <w:t>从表5.2-4可知，污</w:t>
      </w:r>
      <w:r>
        <w:rPr>
          <w:rFonts w:hint="default" w:ascii="Times New Roman" w:hAnsi="Times New Roman" w:eastAsia="宋体" w:cs="Times New Roman"/>
          <w:bCs/>
          <w:color w:val="auto"/>
          <w:sz w:val="24"/>
          <w:szCs w:val="24"/>
        </w:rPr>
        <w:t>本项目污染物排放对周围近距离环境有一定影响，无组织粉尘污染最大地面浓度出现距离排放源122m处（矿区范围内），颗粒物浓度达到0.08598mg/m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，占到相应标准限值的9.55%，小于10%，对区域大气环境质量贡献较小，影响相对较小。</w:t>
      </w:r>
    </w:p>
    <w:p>
      <w:pPr>
        <w:spacing w:line="360" w:lineRule="auto"/>
        <w:ind w:firstLine="480" w:firstLineChars="200"/>
        <w:rPr>
          <w:rFonts w:hint="default" w:ascii="Times New Roman" w:hAnsi="Times New Roman" w:cs="Times New Roman"/>
          <w:color w:val="auto"/>
          <w:sz w:val="24"/>
        </w:rPr>
      </w:pPr>
      <w:bookmarkStart w:id="949" w:name="_Toc3553"/>
      <w:bookmarkStart w:id="950" w:name="_Toc929"/>
      <w:r>
        <w:rPr>
          <w:rFonts w:hint="default" w:ascii="Times New Roman" w:hAnsi="Times New Roman" w:cs="Times New Roman"/>
          <w:color w:val="auto"/>
          <w:sz w:val="24"/>
        </w:rPr>
        <w:t>（4）燃油废气</w:t>
      </w:r>
      <w:bookmarkEnd w:id="949"/>
      <w:bookmarkEnd w:id="950"/>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矿区在停电情况下，自备的柴油发电机、柴油空压机等机械及运输车辆燃油，年用油量为</w:t>
      </w:r>
      <w:r>
        <w:rPr>
          <w:rFonts w:hint="eastAsia" w:ascii="Times New Roman" w:hAnsi="Times New Roman" w:cs="Times New Roman"/>
          <w:color w:val="auto"/>
          <w:sz w:val="24"/>
          <w:lang w:val="en-US" w:eastAsia="zh-CN"/>
        </w:rPr>
        <w:t>60</w:t>
      </w:r>
      <w:r>
        <w:rPr>
          <w:rFonts w:hint="default" w:ascii="Times New Roman" w:hAnsi="Times New Roman" w:cs="Times New Roman"/>
          <w:color w:val="auto"/>
          <w:sz w:val="24"/>
        </w:rPr>
        <w:t>t，燃油废气中排放SO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 xml:space="preserve"> 0.</w:t>
      </w:r>
      <w:r>
        <w:rPr>
          <w:rFonts w:hint="eastAsia" w:ascii="Times New Roman" w:hAnsi="Times New Roman" w:cs="Times New Roman"/>
          <w:color w:val="auto"/>
          <w:sz w:val="24"/>
          <w:lang w:val="en-US" w:eastAsia="zh-CN"/>
        </w:rPr>
        <w:t>0.13</w:t>
      </w:r>
      <w:r>
        <w:rPr>
          <w:rFonts w:hint="default" w:ascii="Times New Roman" w:hAnsi="Times New Roman" w:cs="Times New Roman"/>
          <w:color w:val="auto"/>
          <w:sz w:val="24"/>
        </w:rPr>
        <w:t xml:space="preserve">t/a、NOx </w:t>
      </w:r>
      <w:r>
        <w:rPr>
          <w:rFonts w:hint="eastAsia" w:ascii="Times New Roman" w:hAnsi="Times New Roman" w:cs="Times New Roman"/>
          <w:color w:val="auto"/>
          <w:sz w:val="24"/>
          <w:lang w:val="en-US" w:eastAsia="zh-CN"/>
        </w:rPr>
        <w:t>0.17</w:t>
      </w:r>
      <w:r>
        <w:rPr>
          <w:rFonts w:hint="default" w:ascii="Times New Roman" w:hAnsi="Times New Roman" w:cs="Times New Roman"/>
          <w:color w:val="auto"/>
          <w:sz w:val="24"/>
        </w:rPr>
        <w:t>t/a、CO</w:t>
      </w:r>
      <w:r>
        <w:rPr>
          <w:rFonts w:hint="eastAsia" w:ascii="Times New Roman" w:hAnsi="Times New Roman" w:cs="Times New Roman"/>
          <w:color w:val="auto"/>
          <w:sz w:val="24"/>
          <w:lang w:val="en-US" w:eastAsia="zh-CN"/>
        </w:rPr>
        <w:t>0.047</w:t>
      </w:r>
      <w:r>
        <w:rPr>
          <w:rFonts w:hint="default" w:ascii="Times New Roman" w:hAnsi="Times New Roman" w:cs="Times New Roman"/>
          <w:color w:val="auto"/>
          <w:sz w:val="24"/>
        </w:rPr>
        <w:t>t/a等，污染物排放量甚微，主要为地表无组织排放，项目所处区域空旷，环境容量较大，污染物较易扩散稀释，不会形成局部区域集中污染，即燃油废气对项目区环境空气质量不会形成明显的污染影响。</w:t>
      </w:r>
    </w:p>
    <w:p>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（5）</w:t>
      </w:r>
      <w:r>
        <w:rPr>
          <w:rFonts w:hint="eastAsia" w:ascii="Times New Roman" w:hAnsi="Times New Roman" w:cs="Times New Roman"/>
          <w:color w:val="auto"/>
          <w:sz w:val="24"/>
          <w:lang w:eastAsia="zh-CN"/>
        </w:rPr>
        <w:t>爆破</w:t>
      </w:r>
      <w:r>
        <w:rPr>
          <w:rFonts w:hint="default" w:ascii="Times New Roman" w:hAnsi="Times New Roman" w:cs="Times New Roman"/>
          <w:color w:val="auto"/>
          <w:sz w:val="24"/>
        </w:rPr>
        <w:t>气体的影响</w:t>
      </w:r>
      <w:r>
        <w:rPr>
          <w:rFonts w:hint="eastAsia" w:ascii="Times New Roman" w:hAnsi="Times New Roman" w:cs="Times New Roman"/>
          <w:color w:val="auto"/>
          <w:sz w:val="24"/>
          <w:lang w:eastAsia="zh-CN"/>
        </w:rPr>
        <w:t>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本项目产生的对人体有毒有害的气体主要是爆炸后所产生的烟气（含有CO、H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等）。但由于该矿山是井工开采，污风井下风向1.5km范围内无人群居住，加上当地的大气环境有较好的自净能力，爆破后炮烟能很快随风扩散消失，不会长时间存留在开采作业场所。</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按规定待到放炮60min后，气体残余浓度低于《工作场所有害因素职业接触限值 第1部分：化学有害因素》（GBZ2.1-2007）中对工作场所中先关污染限值规定，人员方可进入现场作业，必须保证现场作业人员的人身安全和健康。随着大气扩散、植被的吸附，有毒有害气体得到自然净化，对环境的影响甚微。</w:t>
      </w:r>
    </w:p>
    <w:p>
      <w:pPr>
        <w:spacing w:line="360" w:lineRule="auto"/>
        <w:ind w:firstLine="480" w:firstLineChars="200"/>
        <w:rPr>
          <w:rFonts w:hint="default" w:ascii="Times New Roman" w:hAnsi="Times New Roman" w:cs="Times New Roman"/>
          <w:color w:val="auto"/>
          <w:sz w:val="24"/>
        </w:rPr>
      </w:pPr>
      <w:bookmarkStart w:id="951" w:name="_Toc262547931"/>
      <w:r>
        <w:rPr>
          <w:rFonts w:hint="default" w:ascii="Times New Roman" w:hAnsi="Times New Roman" w:cs="Times New Roman"/>
          <w:color w:val="auto"/>
          <w:sz w:val="24"/>
        </w:rPr>
        <w:t>（6）</w:t>
      </w:r>
      <w:bookmarkEnd w:id="951"/>
      <w:r>
        <w:rPr>
          <w:rFonts w:hint="default" w:ascii="Times New Roman" w:hAnsi="Times New Roman" w:cs="Times New Roman"/>
          <w:color w:val="auto"/>
          <w:sz w:val="24"/>
        </w:rPr>
        <w:t>小结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综上所述，本工程在运营过程中主要大气污染源为采矿扬尘、废石堆场扬尘及运输汽车的扬尘等。通过分析预测，各污染物的排放对环境空气的影响较小，项目建成后，项目区及周边环境空气质量变化不大。</w:t>
      </w:r>
    </w:p>
    <w:p>
      <w:pPr>
        <w:spacing w:line="360" w:lineRule="auto"/>
        <w:ind w:firstLine="480"/>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（7）大气环境影响评价自查表</w:t>
      </w:r>
    </w:p>
    <w:p>
      <w:pPr>
        <w:spacing w:line="360" w:lineRule="auto"/>
        <w:ind w:firstLine="48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项目大气环境影响自查表见表</w:t>
      </w:r>
      <w:r>
        <w:rPr>
          <w:rFonts w:hint="eastAsia" w:ascii="Times New Roman" w:hAnsi="Times New Roman" w:cs="Times New Roman"/>
          <w:color w:val="auto"/>
          <w:kern w:val="2"/>
          <w:sz w:val="24"/>
          <w:szCs w:val="24"/>
          <w:lang w:val="en-US" w:eastAsia="zh-CN" w:bidi="ar-SA"/>
        </w:rPr>
        <w:t>5.2-5</w:t>
      </w:r>
      <w:r>
        <w:rPr>
          <w:rFonts w:hint="default" w:ascii="Times New Roman" w:hAnsi="Times New Roman" w:cs="Times New Roman"/>
          <w:color w:val="auto"/>
          <w:kern w:val="2"/>
          <w:sz w:val="24"/>
          <w:szCs w:val="24"/>
          <w:lang w:val="en-US" w:eastAsia="zh-CN" w:bidi="ar-SA"/>
        </w:rPr>
        <w:t>。</w:t>
      </w:r>
    </w:p>
    <w:p>
      <w:pPr>
        <w:pStyle w:val="20"/>
        <w:ind w:firstLine="402"/>
        <w:jc w:val="center"/>
        <w:rPr>
          <w:rFonts w:hint="eastAsia" w:ascii="Times New Roman" w:hAnsi="Times New Roman" w:eastAsia="宋体"/>
          <w:bCs w:val="0"/>
          <w:color w:val="auto"/>
          <w:sz w:val="20"/>
          <w:szCs w:val="22"/>
        </w:rPr>
      </w:pPr>
      <w:r>
        <w:rPr>
          <w:rFonts w:hint="eastAsia" w:ascii="Times New Roman" w:hAnsi="Times New Roman" w:eastAsia="宋体"/>
          <w:bCs w:val="0"/>
          <w:color w:val="auto"/>
          <w:sz w:val="20"/>
          <w:szCs w:val="22"/>
        </w:rPr>
        <w:t>表</w:t>
      </w:r>
      <w:r>
        <w:rPr>
          <w:rFonts w:hint="eastAsia" w:ascii="Times New Roman" w:hAnsi="Times New Roman" w:eastAsia="宋体"/>
          <w:bCs w:val="0"/>
          <w:color w:val="auto"/>
          <w:sz w:val="20"/>
          <w:szCs w:val="22"/>
          <w:lang w:val="en-US" w:eastAsia="zh-CN"/>
        </w:rPr>
        <w:t>5.2-5</w:t>
      </w:r>
      <w:r>
        <w:rPr>
          <w:rFonts w:hint="eastAsia" w:ascii="Times New Roman" w:hAnsi="Times New Roman" w:eastAsia="宋体"/>
          <w:bCs w:val="0"/>
          <w:color w:val="auto"/>
          <w:sz w:val="20"/>
          <w:szCs w:val="22"/>
        </w:rPr>
        <w:t>大气环境影响评价自查表</w:t>
      </w:r>
    </w:p>
    <w:tbl>
      <w:tblPr>
        <w:tblStyle w:val="7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13"/>
        <w:gridCol w:w="1504"/>
        <w:gridCol w:w="976"/>
        <w:gridCol w:w="708"/>
        <w:gridCol w:w="481"/>
        <w:gridCol w:w="493"/>
        <w:gridCol w:w="268"/>
        <w:gridCol w:w="201"/>
        <w:gridCol w:w="408"/>
        <w:gridCol w:w="203"/>
        <w:gridCol w:w="404"/>
        <w:gridCol w:w="416"/>
        <w:gridCol w:w="418"/>
        <w:gridCol w:w="143"/>
        <w:gridCol w:w="766"/>
        <w:gridCol w:w="3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1359" w:type="pct"/>
            <w:gridSpan w:val="2"/>
            <w:noWrap w:val="0"/>
            <w:vAlign w:val="center"/>
          </w:tcPr>
          <w:p>
            <w:pPr>
              <w:snapToGrid w:val="0"/>
              <w:spacing w:line="260" w:lineRule="exact"/>
              <w:ind w:firstLine="360"/>
              <w:jc w:val="center"/>
              <w:rPr>
                <w:color w:val="auto"/>
                <w:sz w:val="18"/>
                <w:szCs w:val="18"/>
              </w:rPr>
            </w:pPr>
            <w:r>
              <w:rPr>
                <w:rFonts w:hint="eastAsia"/>
                <w:color w:val="auto"/>
                <w:sz w:val="18"/>
                <w:szCs w:val="18"/>
              </w:rPr>
              <w:t>工作</w:t>
            </w:r>
            <w:r>
              <w:rPr>
                <w:color w:val="auto"/>
                <w:sz w:val="18"/>
                <w:szCs w:val="18"/>
              </w:rPr>
              <w:t>内容</w:t>
            </w:r>
          </w:p>
        </w:tc>
        <w:tc>
          <w:tcPr>
            <w:tcW w:w="3640" w:type="pct"/>
            <w:gridSpan w:val="14"/>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自查</w:t>
            </w:r>
            <w:r>
              <w:rPr>
                <w:rFonts w:cs="Times New Roman"/>
                <w:color w:val="auto"/>
                <w:sz w:val="18"/>
                <w:szCs w:val="18"/>
              </w:rPr>
              <w:t>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477" w:type="pct"/>
            <w:vMerge w:val="restar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评价</w:t>
            </w:r>
            <w:r>
              <w:rPr>
                <w:rFonts w:cs="Times New Roman"/>
                <w:color w:val="auto"/>
                <w:sz w:val="18"/>
                <w:szCs w:val="18"/>
              </w:rPr>
              <w:t>等级与范围</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评价</w:t>
            </w:r>
            <w:r>
              <w:rPr>
                <w:color w:val="auto"/>
                <w:sz w:val="18"/>
                <w:szCs w:val="18"/>
              </w:rPr>
              <w:t>等级</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hAnsi="宋体" w:cs="Times New Roman"/>
                <w:color w:val="auto"/>
                <w:sz w:val="18"/>
                <w:szCs w:val="18"/>
              </w:rPr>
              <w:sym w:font="Wingdings 2" w:char="00A3"/>
            </w:r>
            <w:r>
              <w:rPr>
                <w:rFonts w:hint="eastAsia" w:cs="Times New Roman"/>
                <w:color w:val="auto"/>
                <w:sz w:val="18"/>
                <w:szCs w:val="18"/>
              </w:rPr>
              <w:t>一级</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二级</w:t>
            </w:r>
            <w:r>
              <w:rPr>
                <w:rFonts w:hint="eastAsia" w:hAnsi="宋体" w:cs="Times New Roman"/>
                <w:color w:val="auto"/>
                <w:sz w:val="18"/>
                <w:szCs w:val="18"/>
              </w:rPr>
              <w:sym w:font="Wingdings 2" w:char="0052"/>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三级</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评价</w:t>
            </w:r>
            <w:r>
              <w:rPr>
                <w:color w:val="auto"/>
                <w:sz w:val="18"/>
                <w:szCs w:val="18"/>
              </w:rPr>
              <w:t>范围</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边长</w:t>
            </w:r>
            <w:r>
              <w:rPr>
                <w:rFonts w:cs="Times New Roman"/>
                <w:color w:val="auto"/>
                <w:sz w:val="18"/>
                <w:szCs w:val="18"/>
              </w:rPr>
              <w:t>=50km</w:t>
            </w:r>
            <w:r>
              <w:rPr>
                <w:rFonts w:hint="eastAsia" w:hAnsi="宋体" w:cs="Times New Roman"/>
                <w:color w:val="auto"/>
                <w:sz w:val="18"/>
                <w:szCs w:val="18"/>
              </w:rPr>
              <w:t>□</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边长</w:t>
            </w:r>
            <w:r>
              <w:rPr>
                <w:rFonts w:cs="Times New Roman"/>
                <w:color w:val="auto"/>
                <w:sz w:val="18"/>
                <w:szCs w:val="18"/>
              </w:rPr>
              <w:t>5~50km</w:t>
            </w:r>
            <w:r>
              <w:rPr>
                <w:rFonts w:hint="eastAsia" w:hAnsi="宋体" w:cs="Times New Roman"/>
                <w:color w:val="auto"/>
                <w:sz w:val="18"/>
                <w:szCs w:val="18"/>
              </w:rPr>
              <w:sym w:font="Wingdings 2" w:char="00A3"/>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边长</w:t>
            </w:r>
            <w:r>
              <w:rPr>
                <w:rFonts w:cs="Times New Roman"/>
                <w:color w:val="auto"/>
                <w:sz w:val="18"/>
                <w:szCs w:val="18"/>
              </w:rPr>
              <w:t>=5km</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restar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评价</w:t>
            </w:r>
            <w:r>
              <w:rPr>
                <w:rFonts w:cs="Times New Roman"/>
                <w:color w:val="auto"/>
                <w:sz w:val="18"/>
                <w:szCs w:val="18"/>
              </w:rPr>
              <w:t>因子</w:t>
            </w:r>
          </w:p>
        </w:tc>
        <w:tc>
          <w:tcPr>
            <w:tcW w:w="881" w:type="pct"/>
            <w:noWrap w:val="0"/>
            <w:vAlign w:val="center"/>
          </w:tcPr>
          <w:p>
            <w:pPr>
              <w:snapToGrid w:val="0"/>
              <w:spacing w:line="260" w:lineRule="exact"/>
              <w:ind w:firstLine="0" w:firstLineChars="0"/>
              <w:rPr>
                <w:color w:val="auto"/>
                <w:sz w:val="18"/>
                <w:szCs w:val="18"/>
                <w:vertAlign w:val="subscript"/>
              </w:rPr>
            </w:pPr>
            <w:r>
              <w:rPr>
                <w:rFonts w:hint="eastAsia"/>
                <w:color w:val="auto"/>
                <w:sz w:val="18"/>
                <w:szCs w:val="18"/>
              </w:rPr>
              <w:t>PM</w:t>
            </w:r>
            <w:r>
              <w:rPr>
                <w:rFonts w:hint="eastAsia"/>
                <w:color w:val="auto"/>
                <w:sz w:val="18"/>
                <w:szCs w:val="18"/>
                <w:vertAlign w:val="subscript"/>
              </w:rPr>
              <w:t>10</w:t>
            </w:r>
            <w:r>
              <w:rPr>
                <w:rFonts w:hint="eastAsia"/>
                <w:color w:val="auto"/>
                <w:sz w:val="18"/>
                <w:szCs w:val="18"/>
              </w:rPr>
              <w:t>排放量</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≥2000</w:t>
            </w:r>
            <w:r>
              <w:rPr>
                <w:rFonts w:cs="Times New Roman"/>
                <w:color w:val="auto"/>
                <w:sz w:val="18"/>
                <w:szCs w:val="18"/>
              </w:rPr>
              <w:t>t/a</w:t>
            </w:r>
            <w:r>
              <w:rPr>
                <w:rFonts w:hint="eastAsia" w:hAnsi="宋体" w:cs="Times New Roman"/>
                <w:color w:val="auto"/>
                <w:sz w:val="18"/>
                <w:szCs w:val="18"/>
              </w:rPr>
              <w:t>□</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5</w:t>
            </w:r>
            <w:r>
              <w:rPr>
                <w:rFonts w:cs="Times New Roman"/>
                <w:color w:val="auto"/>
                <w:sz w:val="18"/>
                <w:szCs w:val="18"/>
              </w:rPr>
              <w:t>00~</w:t>
            </w:r>
            <w:r>
              <w:rPr>
                <w:rFonts w:hint="eastAsia" w:cs="Times New Roman"/>
                <w:color w:val="auto"/>
                <w:sz w:val="18"/>
                <w:szCs w:val="18"/>
              </w:rPr>
              <w:t>2000</w:t>
            </w:r>
            <w:r>
              <w:rPr>
                <w:rFonts w:cs="Times New Roman"/>
                <w:color w:val="auto"/>
                <w:sz w:val="18"/>
                <w:szCs w:val="18"/>
              </w:rPr>
              <w:t>t/a</w:t>
            </w:r>
            <w:r>
              <w:rPr>
                <w:rFonts w:hint="eastAsia" w:hAnsi="宋体" w:cs="Times New Roman"/>
                <w:color w:val="auto"/>
                <w:sz w:val="18"/>
                <w:szCs w:val="18"/>
              </w:rPr>
              <w:t>□</w:t>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w:t>
            </w:r>
            <w:r>
              <w:rPr>
                <w:rFonts w:cs="Times New Roman"/>
                <w:color w:val="auto"/>
                <w:sz w:val="18"/>
                <w:szCs w:val="18"/>
              </w:rPr>
              <w:t>5</w:t>
            </w:r>
            <w:r>
              <w:rPr>
                <w:rFonts w:hint="eastAsia" w:cs="Times New Roman"/>
                <w:color w:val="auto"/>
                <w:sz w:val="18"/>
                <w:szCs w:val="18"/>
              </w:rPr>
              <w:t>00</w:t>
            </w:r>
            <w:r>
              <w:rPr>
                <w:rFonts w:cs="Times New Roman"/>
                <w:color w:val="auto"/>
                <w:sz w:val="18"/>
                <w:szCs w:val="18"/>
              </w:rPr>
              <w:t>t/a</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评价</w:t>
            </w:r>
            <w:r>
              <w:rPr>
                <w:color w:val="auto"/>
                <w:sz w:val="18"/>
                <w:szCs w:val="18"/>
              </w:rPr>
              <w:t>因子</w:t>
            </w:r>
          </w:p>
        </w:tc>
        <w:tc>
          <w:tcPr>
            <w:tcW w:w="2072" w:type="pct"/>
            <w:gridSpan w:val="7"/>
            <w:noWrap w:val="0"/>
            <w:vAlign w:val="center"/>
          </w:tcPr>
          <w:p>
            <w:pPr>
              <w:pStyle w:val="239"/>
              <w:spacing w:line="260" w:lineRule="exact"/>
              <w:ind w:firstLine="0" w:firstLineChars="0"/>
              <w:jc w:val="center"/>
              <w:rPr>
                <w:rFonts w:hint="eastAsia" w:cs="Times New Roman"/>
                <w:color w:val="auto"/>
                <w:sz w:val="18"/>
                <w:szCs w:val="18"/>
              </w:rPr>
            </w:pPr>
            <w:r>
              <w:rPr>
                <w:rFonts w:hint="eastAsia" w:cs="Times New Roman"/>
                <w:color w:val="auto"/>
                <w:sz w:val="18"/>
                <w:szCs w:val="18"/>
              </w:rPr>
              <w:t>基本</w:t>
            </w:r>
            <w:r>
              <w:rPr>
                <w:rFonts w:cs="Times New Roman"/>
                <w:color w:val="auto"/>
                <w:sz w:val="18"/>
                <w:szCs w:val="18"/>
              </w:rPr>
              <w:t>污染物</w:t>
            </w:r>
            <w:r>
              <w:rPr>
                <w:rFonts w:hint="eastAsia" w:cs="Times New Roman"/>
                <w:color w:val="auto"/>
                <w:sz w:val="18"/>
                <w:szCs w:val="18"/>
              </w:rPr>
              <w:t>颗粒物</w:t>
            </w:r>
          </w:p>
        </w:tc>
        <w:tc>
          <w:tcPr>
            <w:tcW w:w="1567" w:type="pct"/>
            <w:gridSpan w:val="7"/>
            <w:noWrap w:val="0"/>
            <w:vAlign w:val="center"/>
          </w:tcPr>
          <w:p>
            <w:pPr>
              <w:pStyle w:val="239"/>
              <w:spacing w:line="260" w:lineRule="exact"/>
              <w:ind w:firstLine="0" w:firstLineChars="0"/>
              <w:jc w:val="center"/>
              <w:rPr>
                <w:rFonts w:hAnsi="宋体" w:cs="Times New Roman"/>
                <w:color w:val="auto"/>
                <w:sz w:val="18"/>
                <w:szCs w:val="18"/>
              </w:rPr>
            </w:pPr>
            <w:r>
              <w:rPr>
                <w:rFonts w:hint="eastAsia" w:cs="Times New Roman"/>
                <w:color w:val="auto"/>
                <w:sz w:val="18"/>
                <w:szCs w:val="18"/>
              </w:rPr>
              <w:t>包括</w:t>
            </w:r>
            <w:r>
              <w:rPr>
                <w:rFonts w:cs="Times New Roman"/>
                <w:color w:val="auto"/>
                <w:sz w:val="18"/>
                <w:szCs w:val="18"/>
              </w:rPr>
              <w:t>二次</w:t>
            </w:r>
            <w:r>
              <w:rPr>
                <w:rFonts w:hint="eastAsia" w:cs="Times New Roman"/>
                <w:color w:val="auto"/>
                <w:sz w:val="18"/>
                <w:szCs w:val="18"/>
              </w:rPr>
              <w:t>PM</w:t>
            </w:r>
            <w:r>
              <w:rPr>
                <w:rFonts w:hint="eastAsia" w:cs="Times New Roman"/>
                <w:color w:val="auto"/>
                <w:sz w:val="18"/>
                <w:szCs w:val="18"/>
                <w:vertAlign w:val="subscript"/>
              </w:rPr>
              <w:t>2.5</w:t>
            </w:r>
            <w:r>
              <w:rPr>
                <w:rFonts w:hint="eastAsia" w:hAnsi="宋体" w:cs="Times New Roman"/>
                <w:color w:val="auto"/>
                <w:sz w:val="18"/>
                <w:szCs w:val="18"/>
              </w:rPr>
              <w:sym w:font="Wingdings 2" w:char="00A3"/>
            </w:r>
          </w:p>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不包括</w:t>
            </w:r>
            <w:r>
              <w:rPr>
                <w:rFonts w:cs="Times New Roman"/>
                <w:color w:val="auto"/>
                <w:sz w:val="18"/>
                <w:szCs w:val="18"/>
              </w:rPr>
              <w:t>二次</w:t>
            </w:r>
            <w:r>
              <w:rPr>
                <w:rFonts w:hint="eastAsia" w:cs="Times New Roman"/>
                <w:color w:val="auto"/>
                <w:sz w:val="18"/>
                <w:szCs w:val="18"/>
              </w:rPr>
              <w:t>PM</w:t>
            </w:r>
            <w:r>
              <w:rPr>
                <w:rFonts w:hint="eastAsia" w:cs="Times New Roman"/>
                <w:color w:val="auto"/>
                <w:sz w:val="18"/>
                <w:szCs w:val="18"/>
                <w:vertAlign w:val="subscript"/>
              </w:rPr>
              <w:t>2.5</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noWrap w:val="0"/>
            <w:vAlign w:val="center"/>
          </w:tcPr>
          <w:p>
            <w:pPr>
              <w:pStyle w:val="239"/>
              <w:spacing w:line="260" w:lineRule="exact"/>
              <w:ind w:firstLine="0" w:firstLineChars="0"/>
              <w:jc w:val="center"/>
              <w:rPr>
                <w:rFonts w:hint="eastAsia" w:cs="Times New Roman"/>
                <w:color w:val="auto"/>
                <w:sz w:val="18"/>
                <w:szCs w:val="18"/>
              </w:rPr>
            </w:pPr>
            <w:r>
              <w:rPr>
                <w:rFonts w:hint="eastAsia" w:cs="Times New Roman"/>
                <w:color w:val="auto"/>
                <w:sz w:val="18"/>
                <w:szCs w:val="18"/>
              </w:rPr>
              <w:t>评价</w:t>
            </w:r>
          </w:p>
          <w:p>
            <w:pPr>
              <w:pStyle w:val="239"/>
              <w:spacing w:line="260" w:lineRule="exact"/>
              <w:ind w:firstLine="0" w:firstLineChars="0"/>
              <w:jc w:val="center"/>
              <w:rPr>
                <w:rFonts w:cs="Times New Roman"/>
                <w:color w:val="auto"/>
                <w:sz w:val="18"/>
                <w:szCs w:val="18"/>
              </w:rPr>
            </w:pPr>
            <w:r>
              <w:rPr>
                <w:rFonts w:cs="Times New Roman"/>
                <w:color w:val="auto"/>
                <w:sz w:val="18"/>
                <w:szCs w:val="18"/>
              </w:rPr>
              <w:t>标准</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评价</w:t>
            </w:r>
            <w:r>
              <w:rPr>
                <w:color w:val="auto"/>
                <w:sz w:val="18"/>
                <w:szCs w:val="18"/>
              </w:rPr>
              <w:t>标准</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国家</w:t>
            </w:r>
            <w:r>
              <w:rPr>
                <w:rFonts w:cs="Times New Roman"/>
                <w:color w:val="auto"/>
                <w:sz w:val="18"/>
                <w:szCs w:val="18"/>
              </w:rPr>
              <w:t>标准</w:t>
            </w:r>
            <w:r>
              <w:rPr>
                <w:rFonts w:hint="eastAsia" w:hAnsi="宋体" w:cs="Times New Roman"/>
                <w:color w:val="auto"/>
                <w:sz w:val="18"/>
                <w:szCs w:val="18"/>
              </w:rPr>
              <w:sym w:font="Wingdings 2" w:char="0052"/>
            </w:r>
          </w:p>
        </w:tc>
        <w:tc>
          <w:tcPr>
            <w:tcW w:w="1085" w:type="pct"/>
            <w:gridSpan w:val="5"/>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地方</w:t>
            </w:r>
            <w:r>
              <w:rPr>
                <w:rFonts w:cs="Times New Roman"/>
                <w:color w:val="auto"/>
                <w:sz w:val="18"/>
                <w:szCs w:val="18"/>
              </w:rPr>
              <w:t>标准</w:t>
            </w:r>
            <w:r>
              <w:rPr>
                <w:rFonts w:hint="eastAsia" w:hAnsi="宋体" w:cs="Times New Roman"/>
                <w:color w:val="auto"/>
                <w:sz w:val="18"/>
                <w:szCs w:val="18"/>
              </w:rPr>
              <w:t>□</w:t>
            </w:r>
          </w:p>
        </w:tc>
        <w:tc>
          <w:tcPr>
            <w:tcW w:w="929" w:type="pct"/>
            <w:gridSpan w:val="5"/>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附录D</w:t>
            </w:r>
            <w:r>
              <w:rPr>
                <w:rFonts w:hint="eastAsia" w:hAnsi="宋体" w:cs="Times New Roman"/>
                <w:color w:val="auto"/>
                <w:sz w:val="18"/>
                <w:szCs w:val="18"/>
              </w:rPr>
              <w:sym w:font="Wingdings 2" w:char="0052"/>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其他</w:t>
            </w:r>
            <w:r>
              <w:rPr>
                <w:rFonts w:cs="Times New Roman"/>
                <w:color w:val="auto"/>
                <w:sz w:val="18"/>
                <w:szCs w:val="18"/>
              </w:rPr>
              <w:t>标准</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restart"/>
            <w:noWrap w:val="0"/>
            <w:vAlign w:val="center"/>
          </w:tcPr>
          <w:p>
            <w:pPr>
              <w:pStyle w:val="239"/>
              <w:spacing w:line="260" w:lineRule="exact"/>
              <w:ind w:firstLine="0" w:firstLineChars="0"/>
              <w:jc w:val="center"/>
              <w:rPr>
                <w:rFonts w:hint="eastAsia" w:cs="Times New Roman"/>
                <w:color w:val="auto"/>
                <w:sz w:val="18"/>
                <w:szCs w:val="18"/>
              </w:rPr>
            </w:pPr>
            <w:r>
              <w:rPr>
                <w:rFonts w:hint="eastAsia" w:cs="Times New Roman"/>
                <w:color w:val="auto"/>
                <w:sz w:val="18"/>
                <w:szCs w:val="18"/>
              </w:rPr>
              <w:t>现状</w:t>
            </w:r>
          </w:p>
          <w:p>
            <w:pPr>
              <w:pStyle w:val="239"/>
              <w:spacing w:line="260" w:lineRule="exact"/>
              <w:ind w:firstLine="0" w:firstLineChars="0"/>
              <w:jc w:val="center"/>
              <w:rPr>
                <w:rFonts w:cs="Times New Roman"/>
                <w:color w:val="auto"/>
                <w:sz w:val="18"/>
                <w:szCs w:val="18"/>
              </w:rPr>
            </w:pPr>
            <w:r>
              <w:rPr>
                <w:rFonts w:cs="Times New Roman"/>
                <w:color w:val="auto"/>
                <w:sz w:val="18"/>
                <w:szCs w:val="18"/>
              </w:rPr>
              <w:t>评价</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环境</w:t>
            </w:r>
            <w:r>
              <w:rPr>
                <w:color w:val="auto"/>
                <w:sz w:val="18"/>
                <w:szCs w:val="18"/>
              </w:rPr>
              <w:t>功能区</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一类区</w:t>
            </w:r>
            <w:r>
              <w:rPr>
                <w:rFonts w:hint="eastAsia" w:hAnsi="宋体" w:cs="Times New Roman"/>
                <w:color w:val="auto"/>
                <w:sz w:val="18"/>
                <w:szCs w:val="18"/>
              </w:rPr>
              <w:t>□</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二类区</w:t>
            </w:r>
            <w:r>
              <w:rPr>
                <w:rFonts w:hint="eastAsia" w:hAnsi="宋体" w:cs="Times New Roman"/>
                <w:color w:val="auto"/>
                <w:sz w:val="18"/>
                <w:szCs w:val="18"/>
              </w:rPr>
              <w:sym w:font="Wingdings 2" w:char="0052"/>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一类</w:t>
            </w:r>
            <w:r>
              <w:rPr>
                <w:rFonts w:cs="Times New Roman"/>
                <w:color w:val="auto"/>
                <w:sz w:val="18"/>
                <w:szCs w:val="18"/>
              </w:rPr>
              <w:t>区和二类区</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评价</w:t>
            </w:r>
            <w:r>
              <w:rPr>
                <w:color w:val="auto"/>
                <w:sz w:val="18"/>
                <w:szCs w:val="18"/>
              </w:rPr>
              <w:t>基准年</w:t>
            </w:r>
          </w:p>
        </w:tc>
        <w:tc>
          <w:tcPr>
            <w:tcW w:w="3640" w:type="pct"/>
            <w:gridSpan w:val="14"/>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（2017）年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环境</w:t>
            </w:r>
            <w:r>
              <w:rPr>
                <w:color w:val="auto"/>
                <w:sz w:val="18"/>
                <w:szCs w:val="18"/>
              </w:rPr>
              <w:t>空气质量现状调查数据来源</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长期</w:t>
            </w:r>
            <w:r>
              <w:rPr>
                <w:rFonts w:cs="Times New Roman"/>
                <w:color w:val="auto"/>
                <w:sz w:val="18"/>
                <w:szCs w:val="18"/>
              </w:rPr>
              <w:t>例行监测数据</w:t>
            </w:r>
            <w:r>
              <w:rPr>
                <w:rFonts w:hint="eastAsia" w:hAnsi="宋体" w:cs="Times New Roman"/>
                <w:color w:val="auto"/>
                <w:sz w:val="18"/>
                <w:szCs w:val="18"/>
              </w:rPr>
              <w:t>□</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主管</w:t>
            </w:r>
            <w:r>
              <w:rPr>
                <w:rFonts w:cs="Times New Roman"/>
                <w:color w:val="auto"/>
                <w:sz w:val="18"/>
                <w:szCs w:val="18"/>
              </w:rPr>
              <w:t>部门发布的数据</w:t>
            </w:r>
            <w:r>
              <w:rPr>
                <w:rFonts w:hint="eastAsia" w:hAnsi="宋体" w:cs="Times New Roman"/>
                <w:color w:val="auto"/>
                <w:sz w:val="18"/>
                <w:szCs w:val="18"/>
              </w:rPr>
              <w:sym w:font="Wingdings 2" w:char="0052"/>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现状补充</w:t>
            </w:r>
            <w:r>
              <w:rPr>
                <w:rFonts w:cs="Times New Roman"/>
                <w:color w:val="auto"/>
                <w:sz w:val="18"/>
                <w:szCs w:val="18"/>
              </w:rPr>
              <w:t>监测</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360"/>
              <w:jc w:val="center"/>
              <w:rPr>
                <w:color w:val="auto"/>
                <w:sz w:val="18"/>
                <w:szCs w:val="18"/>
              </w:rPr>
            </w:pPr>
            <w:r>
              <w:rPr>
                <w:rFonts w:hint="eastAsia"/>
                <w:color w:val="auto"/>
                <w:sz w:val="18"/>
                <w:szCs w:val="18"/>
              </w:rPr>
              <w:t>现状</w:t>
            </w:r>
            <w:r>
              <w:rPr>
                <w:color w:val="auto"/>
                <w:sz w:val="18"/>
                <w:szCs w:val="18"/>
              </w:rPr>
              <w:t>评价</w:t>
            </w:r>
          </w:p>
        </w:tc>
        <w:tc>
          <w:tcPr>
            <w:tcW w:w="2191" w:type="pct"/>
            <w:gridSpan w:val="8"/>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达标区</w:t>
            </w:r>
            <w:r>
              <w:rPr>
                <w:rFonts w:hint="eastAsia" w:hAnsi="宋体" w:cs="Times New Roman"/>
                <w:color w:val="auto"/>
                <w:sz w:val="18"/>
                <w:szCs w:val="18"/>
              </w:rPr>
              <w:t>□</w:t>
            </w:r>
          </w:p>
        </w:tc>
        <w:tc>
          <w:tcPr>
            <w:tcW w:w="1449" w:type="pct"/>
            <w:gridSpan w:val="6"/>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不达标区</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污染源</w:t>
            </w:r>
          </w:p>
          <w:p>
            <w:pPr>
              <w:pStyle w:val="239"/>
              <w:spacing w:line="260" w:lineRule="exact"/>
              <w:ind w:firstLine="0" w:firstLineChars="0"/>
              <w:jc w:val="center"/>
              <w:rPr>
                <w:rFonts w:cs="Times New Roman"/>
                <w:color w:val="auto"/>
                <w:sz w:val="18"/>
                <w:szCs w:val="18"/>
              </w:rPr>
            </w:pPr>
            <w:r>
              <w:rPr>
                <w:rFonts w:cs="Times New Roman"/>
                <w:color w:val="auto"/>
                <w:sz w:val="18"/>
                <w:szCs w:val="18"/>
              </w:rPr>
              <w:t>调查</w:t>
            </w:r>
          </w:p>
        </w:tc>
        <w:tc>
          <w:tcPr>
            <w:tcW w:w="881" w:type="pct"/>
            <w:noWrap w:val="0"/>
            <w:vAlign w:val="center"/>
          </w:tcPr>
          <w:p>
            <w:pPr>
              <w:snapToGrid w:val="0"/>
              <w:spacing w:line="260" w:lineRule="exact"/>
              <w:ind w:firstLine="360"/>
              <w:jc w:val="center"/>
              <w:rPr>
                <w:color w:val="auto"/>
                <w:sz w:val="18"/>
                <w:szCs w:val="18"/>
              </w:rPr>
            </w:pPr>
            <w:r>
              <w:rPr>
                <w:rFonts w:hint="eastAsia"/>
                <w:color w:val="auto"/>
                <w:sz w:val="18"/>
                <w:szCs w:val="18"/>
              </w:rPr>
              <w:t>调查</w:t>
            </w:r>
            <w:r>
              <w:rPr>
                <w:color w:val="auto"/>
                <w:sz w:val="18"/>
                <w:szCs w:val="18"/>
              </w:rPr>
              <w:t>内容</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本项目</w:t>
            </w:r>
            <w:r>
              <w:rPr>
                <w:rFonts w:cs="Times New Roman"/>
                <w:color w:val="auto"/>
                <w:sz w:val="18"/>
                <w:szCs w:val="18"/>
              </w:rPr>
              <w:t>正常排放源</w:t>
            </w:r>
            <w:r>
              <w:rPr>
                <w:rFonts w:hint="eastAsia" w:hAnsi="宋体" w:cs="Times New Roman"/>
                <w:color w:val="auto"/>
                <w:sz w:val="18"/>
                <w:szCs w:val="18"/>
              </w:rPr>
              <w:sym w:font="Wingdings 2" w:char="0052"/>
            </w:r>
          </w:p>
          <w:p>
            <w:pPr>
              <w:pStyle w:val="239"/>
              <w:spacing w:line="260" w:lineRule="exact"/>
              <w:ind w:firstLine="0" w:firstLineChars="0"/>
              <w:jc w:val="center"/>
              <w:rPr>
                <w:rFonts w:hAnsi="宋体" w:cs="Times New Roman"/>
                <w:color w:val="auto"/>
                <w:sz w:val="18"/>
                <w:szCs w:val="18"/>
              </w:rPr>
            </w:pPr>
            <w:r>
              <w:rPr>
                <w:rFonts w:hint="eastAsia" w:cs="Times New Roman"/>
                <w:color w:val="auto"/>
                <w:sz w:val="18"/>
                <w:szCs w:val="18"/>
              </w:rPr>
              <w:t>本项目非</w:t>
            </w:r>
            <w:r>
              <w:rPr>
                <w:rFonts w:cs="Times New Roman"/>
                <w:color w:val="auto"/>
                <w:sz w:val="18"/>
                <w:szCs w:val="18"/>
              </w:rPr>
              <w:t>正常排放源</w:t>
            </w:r>
            <w:r>
              <w:rPr>
                <w:rFonts w:hint="eastAsia" w:hAnsi="宋体" w:cs="Times New Roman"/>
                <w:color w:val="auto"/>
                <w:sz w:val="18"/>
                <w:szCs w:val="18"/>
              </w:rPr>
              <w:sym w:font="Wingdings 2" w:char="00A3"/>
            </w:r>
          </w:p>
          <w:p>
            <w:pPr>
              <w:pStyle w:val="239"/>
              <w:spacing w:line="260" w:lineRule="exact"/>
              <w:ind w:firstLine="0" w:firstLineChars="0"/>
              <w:jc w:val="center"/>
              <w:rPr>
                <w:rFonts w:cs="Times New Roman"/>
                <w:color w:val="auto"/>
                <w:sz w:val="18"/>
                <w:szCs w:val="18"/>
              </w:rPr>
            </w:pPr>
            <w:r>
              <w:rPr>
                <w:rFonts w:hint="eastAsia" w:hAnsi="宋体" w:cs="Times New Roman"/>
                <w:color w:val="auto"/>
                <w:sz w:val="18"/>
                <w:szCs w:val="18"/>
              </w:rPr>
              <w:t>现有</w:t>
            </w:r>
            <w:r>
              <w:rPr>
                <w:rFonts w:hAnsi="宋体" w:cs="Times New Roman"/>
                <w:color w:val="auto"/>
                <w:sz w:val="18"/>
                <w:szCs w:val="18"/>
              </w:rPr>
              <w:t>污染源</w:t>
            </w:r>
            <w:r>
              <w:rPr>
                <w:rFonts w:hint="eastAsia" w:hAnsi="宋体" w:cs="Times New Roman"/>
                <w:color w:val="auto"/>
                <w:sz w:val="18"/>
                <w:szCs w:val="18"/>
              </w:rPr>
              <w:t>□</w:t>
            </w:r>
          </w:p>
        </w:tc>
        <w:tc>
          <w:tcPr>
            <w:tcW w:w="1203" w:type="pct"/>
            <w:gridSpan w:val="6"/>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拟替代</w:t>
            </w:r>
            <w:r>
              <w:rPr>
                <w:rFonts w:cs="Times New Roman"/>
                <w:color w:val="auto"/>
                <w:sz w:val="18"/>
                <w:szCs w:val="18"/>
              </w:rPr>
              <w:t>的污染源</w:t>
            </w:r>
            <w:r>
              <w:rPr>
                <w:rFonts w:hint="eastAsia" w:hAnsi="宋体" w:cs="Times New Roman"/>
                <w:color w:val="auto"/>
                <w:sz w:val="18"/>
                <w:szCs w:val="18"/>
              </w:rPr>
              <w:t>□</w:t>
            </w:r>
          </w:p>
        </w:tc>
        <w:tc>
          <w:tcPr>
            <w:tcW w:w="810" w:type="pct"/>
            <w:gridSpan w:val="4"/>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其他在建</w:t>
            </w:r>
            <w:r>
              <w:rPr>
                <w:rFonts w:cs="Times New Roman"/>
                <w:color w:val="auto"/>
                <w:sz w:val="18"/>
                <w:szCs w:val="18"/>
              </w:rPr>
              <w:t>、拟建项目污染源</w:t>
            </w:r>
            <w:r>
              <w:rPr>
                <w:rFonts w:hint="eastAsia" w:hAnsi="宋体" w:cs="Times New Roman"/>
                <w:color w:val="auto"/>
                <w:sz w:val="18"/>
                <w:szCs w:val="18"/>
              </w:rPr>
              <w:t>□</w:t>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区域</w:t>
            </w:r>
            <w:r>
              <w:rPr>
                <w:rFonts w:cs="Times New Roman"/>
                <w:color w:val="auto"/>
                <w:sz w:val="18"/>
                <w:szCs w:val="18"/>
              </w:rPr>
              <w:t>污染源</w:t>
            </w:r>
            <w:r>
              <w:rPr>
                <w:rFonts w:hint="eastAsia" w:hAnsi="宋体" w:cs="Times New Roman"/>
                <w:color w:val="auto"/>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restar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大气</w:t>
            </w:r>
            <w:r>
              <w:rPr>
                <w:rFonts w:cs="Times New Roman"/>
                <w:color w:val="auto"/>
                <w:sz w:val="18"/>
                <w:szCs w:val="18"/>
              </w:rPr>
              <w:t>环境影响预测与评价</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预测</w:t>
            </w:r>
            <w:r>
              <w:rPr>
                <w:color w:val="auto"/>
                <w:sz w:val="18"/>
                <w:szCs w:val="18"/>
              </w:rPr>
              <w:t>模型</w:t>
            </w:r>
          </w:p>
        </w:tc>
        <w:tc>
          <w:tcPr>
            <w:tcW w:w="572" w:type="pct"/>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AERMOD</w:t>
            </w:r>
            <w:r>
              <w:rPr>
                <w:rFonts w:hint="eastAsia" w:hAnsi="宋体" w:cs="Times New Roman"/>
                <w:color w:val="auto"/>
                <w:sz w:val="18"/>
                <w:szCs w:val="18"/>
              </w:rPr>
              <w:sym w:font="Wingdings 2" w:char="0052"/>
            </w:r>
          </w:p>
        </w:tc>
        <w:tc>
          <w:tcPr>
            <w:tcW w:w="414" w:type="pct"/>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ADMS</w:t>
            </w:r>
            <w:r>
              <w:rPr>
                <w:rFonts w:hint="eastAsia" w:hAnsi="宋体" w:cs="Times New Roman"/>
                <w:color w:val="auto"/>
                <w:sz w:val="18"/>
                <w:szCs w:val="18"/>
              </w:rPr>
              <w:t>□</w:t>
            </w:r>
          </w:p>
        </w:tc>
        <w:tc>
          <w:tcPr>
            <w:tcW w:w="728" w:type="pct"/>
            <w:gridSpan w:val="3"/>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AUST</w:t>
            </w:r>
            <w:r>
              <w:rPr>
                <w:rFonts w:cs="Times New Roman"/>
                <w:color w:val="auto"/>
                <w:sz w:val="18"/>
                <w:szCs w:val="18"/>
              </w:rPr>
              <w:t>AL2000</w:t>
            </w:r>
            <w:r>
              <w:rPr>
                <w:rFonts w:hint="eastAsia" w:hAnsi="宋体" w:cs="Times New Roman"/>
                <w:color w:val="auto"/>
                <w:sz w:val="18"/>
                <w:szCs w:val="18"/>
              </w:rPr>
              <w:t>□</w:t>
            </w:r>
          </w:p>
        </w:tc>
        <w:tc>
          <w:tcPr>
            <w:tcW w:w="712" w:type="pct"/>
            <w:gridSpan w:val="4"/>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EDMS/</w:t>
            </w:r>
            <w:r>
              <w:rPr>
                <w:rFonts w:cs="Times New Roman"/>
                <w:color w:val="auto"/>
                <w:sz w:val="18"/>
                <w:szCs w:val="18"/>
              </w:rPr>
              <w:t>AEDT</w:t>
            </w:r>
            <w:r>
              <w:rPr>
                <w:rFonts w:hint="eastAsia" w:hAnsi="宋体" w:cs="Times New Roman"/>
                <w:color w:val="auto"/>
                <w:sz w:val="18"/>
                <w:szCs w:val="18"/>
              </w:rPr>
              <w:t>□</w:t>
            </w:r>
          </w:p>
        </w:tc>
        <w:tc>
          <w:tcPr>
            <w:tcW w:w="573" w:type="pct"/>
            <w:gridSpan w:val="3"/>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CALPUFF</w:t>
            </w:r>
            <w:r>
              <w:rPr>
                <w:rFonts w:hint="eastAsia" w:hAnsi="宋体" w:cs="Times New Roman"/>
                <w:color w:val="auto"/>
                <w:sz w:val="18"/>
                <w:szCs w:val="18"/>
              </w:rPr>
              <w:t>□</w:t>
            </w:r>
          </w:p>
        </w:tc>
        <w:tc>
          <w:tcPr>
            <w:tcW w:w="449" w:type="pct"/>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网格</w:t>
            </w:r>
            <w:r>
              <w:rPr>
                <w:rFonts w:cs="Times New Roman"/>
                <w:color w:val="auto"/>
                <w:sz w:val="18"/>
                <w:szCs w:val="18"/>
              </w:rPr>
              <w:t>模型</w:t>
            </w:r>
            <w:r>
              <w:rPr>
                <w:rFonts w:hint="eastAsia" w:hAnsi="宋体" w:cs="Times New Roman"/>
                <w:color w:val="auto"/>
                <w:sz w:val="18"/>
                <w:szCs w:val="18"/>
              </w:rPr>
              <w:t>□</w:t>
            </w:r>
          </w:p>
        </w:tc>
        <w:tc>
          <w:tcPr>
            <w:tcW w:w="189" w:type="pct"/>
            <w:noWrap w:val="0"/>
            <w:vAlign w:val="center"/>
          </w:tcPr>
          <w:p>
            <w:pPr>
              <w:pStyle w:val="239"/>
              <w:spacing w:line="260" w:lineRule="exact"/>
              <w:ind w:left="-105" w:leftChars="-50" w:right="-105" w:rightChars="-50" w:firstLine="0" w:firstLineChars="0"/>
              <w:jc w:val="center"/>
              <w:rPr>
                <w:rFonts w:cs="Times New Roman"/>
                <w:color w:val="auto"/>
                <w:sz w:val="18"/>
                <w:szCs w:val="18"/>
              </w:rPr>
            </w:pPr>
            <w:r>
              <w:rPr>
                <w:rFonts w:hint="eastAsia" w:cs="Times New Roman"/>
                <w:color w:val="auto"/>
                <w:sz w:val="18"/>
                <w:szCs w:val="18"/>
              </w:rPr>
              <w:t>其他</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预测</w:t>
            </w:r>
            <w:r>
              <w:rPr>
                <w:color w:val="auto"/>
                <w:sz w:val="18"/>
                <w:szCs w:val="18"/>
              </w:rPr>
              <w:t>范围</w:t>
            </w:r>
          </w:p>
        </w:tc>
        <w:tc>
          <w:tcPr>
            <w:tcW w:w="987" w:type="pct"/>
            <w:gridSpan w:val="2"/>
            <w:noWrap w:val="0"/>
            <w:vAlign w:val="center"/>
          </w:tcPr>
          <w:p>
            <w:pPr>
              <w:pStyle w:val="239"/>
              <w:spacing w:line="260" w:lineRule="exact"/>
              <w:ind w:firstLine="0" w:firstLineChars="0"/>
              <w:jc w:val="center"/>
              <w:rPr>
                <w:rFonts w:hAnsi="宋体" w:cs="Times New Roman"/>
                <w:color w:val="auto"/>
                <w:sz w:val="18"/>
                <w:szCs w:val="18"/>
              </w:rPr>
            </w:pPr>
            <w:r>
              <w:rPr>
                <w:rFonts w:hint="eastAsia" w:hAnsi="宋体" w:cs="Times New Roman"/>
                <w:color w:val="auto"/>
                <w:sz w:val="18"/>
                <w:szCs w:val="18"/>
              </w:rPr>
              <w:t>边长</w:t>
            </w:r>
            <w:r>
              <w:rPr>
                <w:rFonts w:hAnsi="宋体" w:cs="Times New Roman"/>
                <w:color w:val="auto"/>
                <w:sz w:val="18"/>
                <w:szCs w:val="18"/>
              </w:rPr>
              <w:t>≥</w:t>
            </w:r>
            <w:r>
              <w:rPr>
                <w:rFonts w:cs="Times New Roman"/>
                <w:color w:val="auto"/>
                <w:sz w:val="18"/>
                <w:szCs w:val="18"/>
              </w:rPr>
              <w:t>50km</w:t>
            </w:r>
            <w:r>
              <w:rPr>
                <w:rFonts w:hAnsi="宋体" w:cs="Times New Roman"/>
                <w:color w:val="auto"/>
                <w:sz w:val="18"/>
                <w:szCs w:val="18"/>
              </w:rPr>
              <w:t>□</w:t>
            </w:r>
          </w:p>
        </w:tc>
        <w:tc>
          <w:tcPr>
            <w:tcW w:w="2014" w:type="pct"/>
            <w:gridSpan w:val="10"/>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边长</w:t>
            </w:r>
            <w:r>
              <w:rPr>
                <w:rFonts w:cs="Times New Roman"/>
                <w:color w:val="auto"/>
                <w:sz w:val="18"/>
                <w:szCs w:val="18"/>
              </w:rPr>
              <w:t>5~50km</w:t>
            </w:r>
            <w:r>
              <w:rPr>
                <w:rFonts w:hint="eastAsia" w:hAnsi="宋体" w:cs="Times New Roman"/>
                <w:color w:val="auto"/>
                <w:sz w:val="18"/>
                <w:szCs w:val="18"/>
              </w:rPr>
              <w:t>□</w:t>
            </w:r>
          </w:p>
        </w:tc>
        <w:tc>
          <w:tcPr>
            <w:tcW w:w="638"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边长</w:t>
            </w:r>
            <w:r>
              <w:rPr>
                <w:rFonts w:cs="Times New Roman"/>
                <w:color w:val="auto"/>
                <w:sz w:val="18"/>
                <w:szCs w:val="18"/>
              </w:rPr>
              <w:t>=5km</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预测</w:t>
            </w:r>
            <w:r>
              <w:rPr>
                <w:color w:val="auto"/>
                <w:sz w:val="18"/>
                <w:szCs w:val="18"/>
              </w:rPr>
              <w:t>因子</w:t>
            </w:r>
          </w:p>
        </w:tc>
        <w:tc>
          <w:tcPr>
            <w:tcW w:w="2428" w:type="pct"/>
            <w:gridSpan w:val="9"/>
            <w:noWrap w:val="0"/>
            <w:vAlign w:val="center"/>
          </w:tcPr>
          <w:p>
            <w:pPr>
              <w:pStyle w:val="239"/>
              <w:spacing w:line="260" w:lineRule="exact"/>
              <w:ind w:firstLine="0" w:firstLineChars="0"/>
              <w:jc w:val="center"/>
              <w:rPr>
                <w:rFonts w:hint="eastAsia" w:cs="Times New Roman"/>
                <w:color w:val="auto"/>
                <w:sz w:val="18"/>
                <w:szCs w:val="18"/>
              </w:rPr>
            </w:pPr>
            <w:r>
              <w:rPr>
                <w:rFonts w:hint="eastAsia" w:cs="Times New Roman"/>
                <w:color w:val="auto"/>
                <w:sz w:val="18"/>
                <w:szCs w:val="18"/>
              </w:rPr>
              <w:t>预测</w:t>
            </w:r>
            <w:r>
              <w:rPr>
                <w:rFonts w:cs="Times New Roman"/>
                <w:color w:val="auto"/>
                <w:sz w:val="18"/>
                <w:szCs w:val="18"/>
              </w:rPr>
              <w:t>因子</w:t>
            </w:r>
            <w:r>
              <w:rPr>
                <w:rFonts w:hint="eastAsia" w:cs="Times New Roman"/>
                <w:color w:val="auto"/>
                <w:sz w:val="18"/>
                <w:szCs w:val="18"/>
              </w:rPr>
              <w:t>颗粒物</w:t>
            </w:r>
          </w:p>
        </w:tc>
        <w:tc>
          <w:tcPr>
            <w:tcW w:w="1211" w:type="pct"/>
            <w:gridSpan w:val="5"/>
            <w:noWrap w:val="0"/>
            <w:vAlign w:val="center"/>
          </w:tcPr>
          <w:p>
            <w:pPr>
              <w:pStyle w:val="239"/>
              <w:spacing w:line="260" w:lineRule="exact"/>
              <w:ind w:firstLine="0" w:firstLineChars="0"/>
              <w:jc w:val="center"/>
              <w:rPr>
                <w:rFonts w:hAnsi="宋体" w:cs="Times New Roman"/>
                <w:color w:val="auto"/>
                <w:sz w:val="18"/>
                <w:szCs w:val="18"/>
              </w:rPr>
            </w:pPr>
            <w:r>
              <w:rPr>
                <w:rFonts w:hint="eastAsia" w:cs="Times New Roman"/>
                <w:color w:val="auto"/>
                <w:sz w:val="18"/>
                <w:szCs w:val="18"/>
              </w:rPr>
              <w:t>包括</w:t>
            </w:r>
            <w:r>
              <w:rPr>
                <w:rFonts w:cs="Times New Roman"/>
                <w:color w:val="auto"/>
                <w:sz w:val="18"/>
                <w:szCs w:val="18"/>
              </w:rPr>
              <w:t>二次</w:t>
            </w:r>
            <w:r>
              <w:rPr>
                <w:rFonts w:hint="eastAsia" w:cs="Times New Roman"/>
                <w:color w:val="auto"/>
                <w:sz w:val="18"/>
                <w:szCs w:val="18"/>
              </w:rPr>
              <w:t>PM</w:t>
            </w:r>
            <w:r>
              <w:rPr>
                <w:rFonts w:hint="eastAsia" w:cs="Times New Roman"/>
                <w:color w:val="auto"/>
                <w:sz w:val="18"/>
                <w:szCs w:val="18"/>
                <w:vertAlign w:val="subscript"/>
              </w:rPr>
              <w:t>2.5</w:t>
            </w:r>
            <w:r>
              <w:rPr>
                <w:rFonts w:hint="eastAsia" w:hAnsi="宋体" w:cs="Times New Roman"/>
                <w:color w:val="auto"/>
                <w:sz w:val="18"/>
                <w:szCs w:val="18"/>
              </w:rPr>
              <w:t>□</w:t>
            </w:r>
          </w:p>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不包括</w:t>
            </w:r>
            <w:r>
              <w:rPr>
                <w:rFonts w:cs="Times New Roman"/>
                <w:color w:val="auto"/>
                <w:sz w:val="18"/>
                <w:szCs w:val="18"/>
              </w:rPr>
              <w:t>二次</w:t>
            </w:r>
            <w:r>
              <w:rPr>
                <w:rFonts w:hint="eastAsia" w:cs="Times New Roman"/>
                <w:color w:val="auto"/>
                <w:sz w:val="18"/>
                <w:szCs w:val="18"/>
              </w:rPr>
              <w:t>PM</w:t>
            </w:r>
            <w:r>
              <w:rPr>
                <w:rFonts w:hint="eastAsia" w:cs="Times New Roman"/>
                <w:color w:val="auto"/>
                <w:sz w:val="18"/>
                <w:szCs w:val="18"/>
                <w:vertAlign w:val="subscript"/>
              </w:rPr>
              <w:t>2.5</w:t>
            </w:r>
            <w:r>
              <w:rPr>
                <w:rFonts w:hint="eastAsia" w:hAnsi="宋体" w:cs="Times New Roman"/>
                <w:color w:val="auto"/>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left="-105" w:leftChars="-50" w:right="-105" w:rightChars="-50" w:firstLine="0" w:firstLineChars="0"/>
              <w:jc w:val="center"/>
              <w:rPr>
                <w:color w:val="auto"/>
                <w:sz w:val="18"/>
                <w:szCs w:val="18"/>
              </w:rPr>
            </w:pPr>
            <w:r>
              <w:rPr>
                <w:rFonts w:hint="eastAsia"/>
                <w:color w:val="auto"/>
                <w:sz w:val="18"/>
                <w:szCs w:val="18"/>
              </w:rPr>
              <w:t>正常</w:t>
            </w:r>
            <w:r>
              <w:rPr>
                <w:color w:val="auto"/>
                <w:sz w:val="18"/>
                <w:szCs w:val="18"/>
              </w:rPr>
              <w:t>排放短期浓度贡献值</w:t>
            </w:r>
          </w:p>
        </w:tc>
        <w:tc>
          <w:tcPr>
            <w:tcW w:w="2428" w:type="pct"/>
            <w:gridSpan w:val="9"/>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Ansi="宋体" w:cs="Times New Roman"/>
                <w:color w:val="auto"/>
                <w:sz w:val="18"/>
                <w:szCs w:val="18"/>
              </w:rPr>
              <w:t>≤</w:t>
            </w:r>
            <w:r>
              <w:rPr>
                <w:rFonts w:cs="Times New Roman"/>
                <w:color w:val="auto"/>
                <w:sz w:val="18"/>
                <w:szCs w:val="18"/>
              </w:rPr>
              <w:t>100%</w:t>
            </w:r>
            <w:r>
              <w:rPr>
                <w:rFonts w:hint="eastAsia" w:hAnsi="宋体" w:cs="Times New Roman"/>
                <w:color w:val="auto"/>
                <w:sz w:val="18"/>
                <w:szCs w:val="18"/>
              </w:rPr>
              <w:sym w:font="Wingdings 2" w:char="0052"/>
            </w:r>
          </w:p>
        </w:tc>
        <w:tc>
          <w:tcPr>
            <w:tcW w:w="1211" w:type="pct"/>
            <w:gridSpan w:val="5"/>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int="eastAsia" w:cs="Times New Roman"/>
                <w:color w:val="auto"/>
                <w:sz w:val="18"/>
                <w:szCs w:val="18"/>
              </w:rPr>
              <w:t>＞</w:t>
            </w:r>
            <w:r>
              <w:rPr>
                <w:rFonts w:cs="Times New Roman"/>
                <w:color w:val="auto"/>
                <w:sz w:val="18"/>
                <w:szCs w:val="18"/>
              </w:rPr>
              <w:t>100%</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vMerge w:val="restart"/>
            <w:noWrap w:val="0"/>
            <w:vAlign w:val="center"/>
          </w:tcPr>
          <w:p>
            <w:pPr>
              <w:snapToGrid w:val="0"/>
              <w:spacing w:line="260" w:lineRule="exact"/>
              <w:ind w:left="-105" w:leftChars="-50" w:right="-105" w:rightChars="-50" w:firstLine="0" w:firstLineChars="0"/>
              <w:jc w:val="center"/>
              <w:rPr>
                <w:color w:val="auto"/>
                <w:sz w:val="18"/>
                <w:szCs w:val="18"/>
              </w:rPr>
            </w:pPr>
            <w:r>
              <w:rPr>
                <w:rFonts w:hint="eastAsia"/>
                <w:color w:val="auto"/>
                <w:sz w:val="18"/>
                <w:szCs w:val="18"/>
              </w:rPr>
              <w:t>正常</w:t>
            </w:r>
            <w:r>
              <w:rPr>
                <w:color w:val="auto"/>
                <w:sz w:val="18"/>
                <w:szCs w:val="18"/>
              </w:rPr>
              <w:t>排放年均浓度贡献值</w:t>
            </w: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一类区</w:t>
            </w:r>
          </w:p>
        </w:tc>
        <w:tc>
          <w:tcPr>
            <w:tcW w:w="1441" w:type="pct"/>
            <w:gridSpan w:val="7"/>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Ansi="宋体" w:cs="Times New Roman"/>
                <w:color w:val="auto"/>
                <w:sz w:val="18"/>
                <w:szCs w:val="18"/>
              </w:rPr>
              <w:t>≤</w:t>
            </w:r>
            <w:r>
              <w:rPr>
                <w:rFonts w:cs="Times New Roman"/>
                <w:color w:val="auto"/>
                <w:sz w:val="18"/>
                <w:szCs w:val="18"/>
              </w:rPr>
              <w:t>10%</w:t>
            </w:r>
            <w:r>
              <w:rPr>
                <w:rFonts w:hint="eastAsia" w:hAnsi="宋体" w:cs="Times New Roman"/>
                <w:color w:val="auto"/>
                <w:sz w:val="18"/>
                <w:szCs w:val="18"/>
              </w:rPr>
              <w:t>□</w:t>
            </w:r>
          </w:p>
        </w:tc>
        <w:tc>
          <w:tcPr>
            <w:tcW w:w="1211" w:type="pct"/>
            <w:gridSpan w:val="5"/>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int="eastAsia" w:cs="Times New Roman"/>
                <w:color w:val="auto"/>
                <w:sz w:val="18"/>
                <w:szCs w:val="18"/>
              </w:rPr>
              <w:t>＞</w:t>
            </w:r>
            <w:r>
              <w:rPr>
                <w:rFonts w:cs="Times New Roman"/>
                <w:color w:val="auto"/>
                <w:sz w:val="18"/>
                <w:szCs w:val="18"/>
              </w:rPr>
              <w:t>10%</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vMerge w:val="continue"/>
            <w:noWrap w:val="0"/>
            <w:vAlign w:val="center"/>
          </w:tcPr>
          <w:p>
            <w:pPr>
              <w:snapToGrid w:val="0"/>
              <w:spacing w:line="260" w:lineRule="exact"/>
              <w:ind w:left="-105" w:leftChars="-50" w:right="-105" w:rightChars="-50" w:firstLine="360"/>
              <w:jc w:val="center"/>
              <w:rPr>
                <w:color w:val="auto"/>
                <w:sz w:val="18"/>
                <w:szCs w:val="18"/>
              </w:rPr>
            </w:pPr>
          </w:p>
        </w:tc>
        <w:tc>
          <w:tcPr>
            <w:tcW w:w="987" w:type="pct"/>
            <w:gridSpan w:val="2"/>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二类区</w:t>
            </w:r>
          </w:p>
        </w:tc>
        <w:tc>
          <w:tcPr>
            <w:tcW w:w="1441" w:type="pct"/>
            <w:gridSpan w:val="7"/>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Ansi="宋体" w:cs="Times New Roman"/>
                <w:color w:val="auto"/>
                <w:sz w:val="18"/>
                <w:szCs w:val="18"/>
              </w:rPr>
              <w:t>≤</w:t>
            </w:r>
            <w:r>
              <w:rPr>
                <w:rFonts w:cs="Times New Roman"/>
                <w:color w:val="auto"/>
                <w:sz w:val="18"/>
                <w:szCs w:val="18"/>
              </w:rPr>
              <w:t>30%</w:t>
            </w:r>
            <w:r>
              <w:rPr>
                <w:rFonts w:hint="eastAsia" w:hAnsi="宋体" w:cs="Times New Roman"/>
                <w:color w:val="auto"/>
                <w:sz w:val="18"/>
                <w:szCs w:val="18"/>
              </w:rPr>
              <w:sym w:font="Wingdings 2" w:char="0052"/>
            </w:r>
          </w:p>
        </w:tc>
        <w:tc>
          <w:tcPr>
            <w:tcW w:w="1211" w:type="pct"/>
            <w:gridSpan w:val="5"/>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本项目</w:t>
            </w:r>
            <w:r>
              <w:rPr>
                <w:rFonts w:hint="eastAsia" w:cs="Times New Roman"/>
                <w:color w:val="auto"/>
                <w:sz w:val="18"/>
                <w:szCs w:val="18"/>
              </w:rPr>
              <w:t>最大</w:t>
            </w:r>
            <w:r>
              <w:rPr>
                <w:rFonts w:cs="Times New Roman"/>
                <w:color w:val="auto"/>
                <w:sz w:val="18"/>
                <w:szCs w:val="18"/>
              </w:rPr>
              <w:t>占标率</w:t>
            </w:r>
            <w:r>
              <w:rPr>
                <w:rFonts w:hint="eastAsia" w:cs="Times New Roman"/>
                <w:color w:val="auto"/>
                <w:sz w:val="18"/>
                <w:szCs w:val="18"/>
              </w:rPr>
              <w:t>＞</w:t>
            </w:r>
            <w:r>
              <w:rPr>
                <w:rFonts w:cs="Times New Roman"/>
                <w:color w:val="auto"/>
                <w:sz w:val="18"/>
                <w:szCs w:val="18"/>
              </w:rPr>
              <w:t>30%</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left="-105" w:leftChars="-50" w:right="-105" w:rightChars="-50" w:firstLine="0" w:firstLineChars="0"/>
              <w:jc w:val="center"/>
              <w:rPr>
                <w:color w:val="auto"/>
                <w:sz w:val="18"/>
                <w:szCs w:val="18"/>
              </w:rPr>
            </w:pPr>
            <w:r>
              <w:rPr>
                <w:rFonts w:hint="eastAsia"/>
                <w:color w:val="auto"/>
                <w:sz w:val="18"/>
                <w:szCs w:val="18"/>
              </w:rPr>
              <w:t>非正常</w:t>
            </w:r>
            <w:r>
              <w:rPr>
                <w:color w:val="auto"/>
                <w:sz w:val="18"/>
                <w:szCs w:val="18"/>
              </w:rPr>
              <w:t>排放</w:t>
            </w:r>
            <w:r>
              <w:rPr>
                <w:rFonts w:hint="eastAsia"/>
                <w:color w:val="auto"/>
                <w:sz w:val="18"/>
                <w:szCs w:val="18"/>
              </w:rPr>
              <w:t>1</w:t>
            </w:r>
            <w:r>
              <w:rPr>
                <w:color w:val="auto"/>
                <w:sz w:val="18"/>
                <w:szCs w:val="18"/>
              </w:rPr>
              <w:t>h浓度贡献值</w:t>
            </w:r>
          </w:p>
        </w:tc>
        <w:tc>
          <w:tcPr>
            <w:tcW w:w="1269" w:type="pct"/>
            <w:gridSpan w:val="3"/>
            <w:noWrap w:val="0"/>
            <w:vAlign w:val="center"/>
          </w:tcPr>
          <w:p>
            <w:pPr>
              <w:pStyle w:val="239"/>
              <w:spacing w:line="260" w:lineRule="exact"/>
              <w:ind w:firstLine="0" w:firstLineChars="0"/>
              <w:jc w:val="center"/>
              <w:rPr>
                <w:rFonts w:hint="eastAsia" w:eastAsia="宋体" w:cs="Times New Roman"/>
                <w:color w:val="auto"/>
                <w:sz w:val="18"/>
                <w:szCs w:val="18"/>
                <w:lang w:eastAsia="zh-CN"/>
              </w:rPr>
            </w:pPr>
            <w:r>
              <w:rPr>
                <w:rFonts w:hint="eastAsia" w:cs="Times New Roman"/>
                <w:color w:val="auto"/>
                <w:sz w:val="18"/>
                <w:szCs w:val="18"/>
                <w:lang w:val="en-US" w:eastAsia="zh-CN"/>
              </w:rPr>
              <w:t>/</w:t>
            </w:r>
          </w:p>
        </w:tc>
        <w:tc>
          <w:tcPr>
            <w:tcW w:w="1403" w:type="pct"/>
            <w:gridSpan w:val="7"/>
            <w:noWrap w:val="0"/>
            <w:vAlign w:val="center"/>
          </w:tcPr>
          <w:p>
            <w:pPr>
              <w:pStyle w:val="239"/>
              <w:spacing w:line="260" w:lineRule="exact"/>
              <w:ind w:firstLine="0" w:firstLineChars="0"/>
              <w:jc w:val="center"/>
              <w:rPr>
                <w:rFonts w:hint="eastAsia" w:eastAsia="宋体" w:cs="Times New Roman"/>
                <w:color w:val="auto"/>
                <w:sz w:val="18"/>
                <w:szCs w:val="18"/>
                <w:lang w:val="en-US" w:eastAsia="zh-CN"/>
              </w:rPr>
            </w:pPr>
            <w:r>
              <w:rPr>
                <w:rFonts w:hint="eastAsia" w:cs="Times New Roman"/>
                <w:color w:val="auto"/>
                <w:sz w:val="18"/>
                <w:szCs w:val="18"/>
                <w:lang w:val="en-US" w:eastAsia="zh-CN"/>
              </w:rPr>
              <w:t>/</w:t>
            </w:r>
          </w:p>
        </w:tc>
        <w:tc>
          <w:tcPr>
            <w:tcW w:w="967" w:type="pct"/>
            <w:gridSpan w:val="4"/>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非正常</w:t>
            </w:r>
            <w:r>
              <w:rPr>
                <w:rFonts w:cs="Times New Roman"/>
                <w:color w:val="auto"/>
                <w:sz w:val="18"/>
                <w:szCs w:val="18"/>
              </w:rPr>
              <w:t>占标率</w:t>
            </w:r>
            <w:r>
              <w:rPr>
                <w:rFonts w:hint="eastAsia" w:hAnsi="宋体" w:cs="Times New Roman"/>
                <w:color w:val="auto"/>
                <w:sz w:val="18"/>
                <w:szCs w:val="18"/>
              </w:rPr>
              <w:t>＞</w:t>
            </w:r>
            <w:r>
              <w:rPr>
                <w:rFonts w:cs="Times New Roman"/>
                <w:color w:val="auto"/>
                <w:sz w:val="18"/>
                <w:szCs w:val="18"/>
              </w:rPr>
              <w:t>100%</w:t>
            </w:r>
            <w:r>
              <w:rPr>
                <w:rFonts w:hint="eastAsia" w:hAnsi="宋体" w:cs="Times New Roman"/>
                <w:color w:val="auto"/>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保证率</w:t>
            </w:r>
            <w:r>
              <w:rPr>
                <w:color w:val="auto"/>
                <w:sz w:val="18"/>
                <w:szCs w:val="18"/>
              </w:rPr>
              <w:t>日平均浓度和年平均浓度</w:t>
            </w:r>
            <w:r>
              <w:rPr>
                <w:rFonts w:hint="eastAsia"/>
                <w:color w:val="auto"/>
                <w:sz w:val="18"/>
                <w:szCs w:val="18"/>
              </w:rPr>
              <w:t>叠加值</w:t>
            </w:r>
          </w:p>
        </w:tc>
        <w:tc>
          <w:tcPr>
            <w:tcW w:w="1833" w:type="pct"/>
            <w:gridSpan w:val="6"/>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叠加</w:t>
            </w:r>
            <w:r>
              <w:rPr>
                <w:rFonts w:hint="eastAsia" w:cs="Times New Roman"/>
                <w:color w:val="auto"/>
                <w:sz w:val="18"/>
                <w:szCs w:val="18"/>
              </w:rPr>
              <w:t>达标</w:t>
            </w:r>
            <w:r>
              <w:rPr>
                <w:rFonts w:hint="eastAsia" w:hAnsi="宋体" w:cs="Times New Roman"/>
                <w:color w:val="auto"/>
                <w:sz w:val="18"/>
                <w:szCs w:val="18"/>
              </w:rPr>
              <w:sym w:font="Wingdings 2" w:char="00A3"/>
            </w:r>
          </w:p>
        </w:tc>
        <w:tc>
          <w:tcPr>
            <w:tcW w:w="1806" w:type="pct"/>
            <w:gridSpan w:val="8"/>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C</w:t>
            </w:r>
            <w:r>
              <w:rPr>
                <w:rFonts w:hint="eastAsia" w:cs="Times New Roman"/>
                <w:color w:val="auto"/>
                <w:sz w:val="18"/>
                <w:szCs w:val="18"/>
                <w:vertAlign w:val="subscript"/>
              </w:rPr>
              <w:t>叠加</w:t>
            </w:r>
            <w:r>
              <w:rPr>
                <w:rFonts w:hint="eastAsia" w:cs="Times New Roman"/>
                <w:color w:val="auto"/>
                <w:sz w:val="18"/>
                <w:szCs w:val="18"/>
              </w:rPr>
              <w:t>不达标</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区域</w:t>
            </w:r>
            <w:r>
              <w:rPr>
                <w:color w:val="auto"/>
                <w:sz w:val="18"/>
                <w:szCs w:val="18"/>
              </w:rPr>
              <w:t>环境质量的整体变化情况</w:t>
            </w:r>
          </w:p>
        </w:tc>
        <w:tc>
          <w:tcPr>
            <w:tcW w:w="1833" w:type="pct"/>
            <w:gridSpan w:val="6"/>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k</w:t>
            </w:r>
            <w:r>
              <w:rPr>
                <w:rFonts w:hAnsi="宋体" w:cs="Times New Roman"/>
                <w:color w:val="auto"/>
                <w:sz w:val="18"/>
                <w:szCs w:val="18"/>
              </w:rPr>
              <w:t>≤-</w:t>
            </w:r>
            <w:r>
              <w:rPr>
                <w:rFonts w:cs="Times New Roman"/>
                <w:color w:val="auto"/>
                <w:sz w:val="18"/>
                <w:szCs w:val="18"/>
              </w:rPr>
              <w:t>20%</w:t>
            </w:r>
            <w:r>
              <w:rPr>
                <w:rFonts w:hint="eastAsia" w:hAnsi="宋体" w:cs="Times New Roman"/>
                <w:color w:val="auto"/>
                <w:sz w:val="18"/>
                <w:szCs w:val="18"/>
              </w:rPr>
              <w:sym w:font="Wingdings 2" w:char="0052"/>
            </w:r>
          </w:p>
        </w:tc>
        <w:tc>
          <w:tcPr>
            <w:tcW w:w="1806" w:type="pct"/>
            <w:gridSpan w:val="8"/>
            <w:noWrap w:val="0"/>
            <w:vAlign w:val="center"/>
          </w:tcPr>
          <w:p>
            <w:pPr>
              <w:pStyle w:val="239"/>
              <w:spacing w:line="260" w:lineRule="exact"/>
              <w:ind w:firstLine="0" w:firstLineChars="0"/>
              <w:jc w:val="center"/>
              <w:rPr>
                <w:rFonts w:cs="Times New Roman"/>
                <w:color w:val="auto"/>
                <w:sz w:val="18"/>
                <w:szCs w:val="18"/>
              </w:rPr>
            </w:pPr>
            <w:r>
              <w:rPr>
                <w:rFonts w:cs="Times New Roman"/>
                <w:color w:val="auto"/>
                <w:sz w:val="18"/>
                <w:szCs w:val="18"/>
              </w:rPr>
              <w:t>K</w:t>
            </w:r>
            <w:r>
              <w:rPr>
                <w:rFonts w:hint="eastAsia" w:hAnsi="宋体" w:cs="Times New Roman"/>
                <w:color w:val="auto"/>
                <w:sz w:val="18"/>
                <w:szCs w:val="18"/>
              </w:rPr>
              <w:t>＞</w:t>
            </w:r>
            <w:r>
              <w:rPr>
                <w:rFonts w:hAnsi="宋体" w:cs="Times New Roman"/>
                <w:color w:val="auto"/>
                <w:sz w:val="18"/>
                <w:szCs w:val="18"/>
              </w:rPr>
              <w:t>-</w:t>
            </w:r>
            <w:r>
              <w:rPr>
                <w:rFonts w:cs="Times New Roman"/>
                <w:color w:val="auto"/>
                <w:sz w:val="18"/>
                <w:szCs w:val="18"/>
              </w:rPr>
              <w:t>20%</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477" w:type="pct"/>
            <w:vMerge w:val="restar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环境</w:t>
            </w:r>
            <w:r>
              <w:rPr>
                <w:rFonts w:cs="Times New Roman"/>
                <w:color w:val="auto"/>
                <w:sz w:val="18"/>
                <w:szCs w:val="18"/>
              </w:rPr>
              <w:t>监测计划</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污染源</w:t>
            </w:r>
            <w:r>
              <w:rPr>
                <w:color w:val="auto"/>
                <w:sz w:val="18"/>
                <w:szCs w:val="18"/>
              </w:rPr>
              <w:t>监测</w:t>
            </w:r>
          </w:p>
        </w:tc>
        <w:tc>
          <w:tcPr>
            <w:tcW w:w="1558" w:type="pct"/>
            <w:gridSpan w:val="4"/>
            <w:noWrap w:val="0"/>
            <w:vAlign w:val="center"/>
          </w:tcPr>
          <w:p>
            <w:pPr>
              <w:pStyle w:val="239"/>
              <w:spacing w:line="260" w:lineRule="exact"/>
              <w:ind w:firstLine="0" w:firstLineChars="0"/>
              <w:jc w:val="both"/>
              <w:rPr>
                <w:rFonts w:hint="eastAsia" w:cs="Times New Roman"/>
                <w:color w:val="auto"/>
                <w:sz w:val="18"/>
                <w:szCs w:val="18"/>
              </w:rPr>
            </w:pPr>
          </w:p>
        </w:tc>
        <w:tc>
          <w:tcPr>
            <w:tcW w:w="1359" w:type="pct"/>
            <w:gridSpan w:val="7"/>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有组织</w:t>
            </w:r>
            <w:r>
              <w:rPr>
                <w:rFonts w:cs="Times New Roman"/>
                <w:color w:val="auto"/>
                <w:sz w:val="18"/>
                <w:szCs w:val="18"/>
              </w:rPr>
              <w:t>废气监测</w:t>
            </w:r>
            <w:r>
              <w:rPr>
                <w:rFonts w:hint="eastAsia" w:hAnsi="宋体" w:cs="Times New Roman"/>
                <w:color w:val="auto"/>
                <w:sz w:val="18"/>
                <w:szCs w:val="18"/>
              </w:rPr>
              <w:sym w:font="Wingdings 2" w:char="00A3"/>
            </w:r>
          </w:p>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无组织</w:t>
            </w:r>
            <w:r>
              <w:rPr>
                <w:rFonts w:cs="Times New Roman"/>
                <w:color w:val="auto"/>
                <w:sz w:val="18"/>
                <w:szCs w:val="18"/>
              </w:rPr>
              <w:t>废气监测</w:t>
            </w:r>
            <w:r>
              <w:rPr>
                <w:rFonts w:hint="eastAsia" w:hAnsi="宋体" w:cs="Times New Roman"/>
                <w:color w:val="auto"/>
                <w:sz w:val="18"/>
                <w:szCs w:val="18"/>
              </w:rPr>
              <w:sym w:font="Wingdings 2" w:char="00A3"/>
            </w:r>
          </w:p>
        </w:tc>
        <w:tc>
          <w:tcPr>
            <w:tcW w:w="722" w:type="pct"/>
            <w:gridSpan w:val="3"/>
            <w:noWrap w:val="0"/>
            <w:vAlign w:val="center"/>
          </w:tcPr>
          <w:p>
            <w:pPr>
              <w:pStyle w:val="239"/>
              <w:spacing w:line="260" w:lineRule="exact"/>
              <w:ind w:firstLine="0" w:firstLineChars="0"/>
              <w:jc w:val="center"/>
              <w:rPr>
                <w:rFonts w:cs="Times New Roman"/>
                <w:color w:val="auto"/>
                <w:sz w:val="18"/>
                <w:szCs w:val="18"/>
              </w:rPr>
            </w:pPr>
            <w:r>
              <w:rPr>
                <w:rFonts w:hint="eastAsia" w:hAnsi="宋体" w:cs="Times New Roman"/>
                <w:color w:val="auto"/>
                <w:sz w:val="18"/>
                <w:szCs w:val="18"/>
              </w:rPr>
              <w:t>无监测</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环境</w:t>
            </w:r>
            <w:r>
              <w:rPr>
                <w:color w:val="auto"/>
                <w:sz w:val="18"/>
                <w:szCs w:val="18"/>
              </w:rPr>
              <w:t>质量监测</w:t>
            </w:r>
          </w:p>
        </w:tc>
        <w:tc>
          <w:tcPr>
            <w:tcW w:w="1558" w:type="pct"/>
            <w:gridSpan w:val="4"/>
            <w:noWrap w:val="0"/>
            <w:vAlign w:val="center"/>
          </w:tcPr>
          <w:p>
            <w:pPr>
              <w:pStyle w:val="239"/>
              <w:spacing w:line="260" w:lineRule="exact"/>
              <w:ind w:firstLine="0" w:firstLineChars="0"/>
              <w:jc w:val="center"/>
              <w:rPr>
                <w:rFonts w:hint="eastAsia" w:cs="Times New Roman"/>
                <w:color w:val="auto"/>
                <w:sz w:val="18"/>
                <w:szCs w:val="18"/>
              </w:rPr>
            </w:pPr>
            <w:r>
              <w:rPr>
                <w:rFonts w:hint="eastAsia" w:cs="Times New Roman"/>
                <w:color w:val="auto"/>
                <w:sz w:val="18"/>
                <w:szCs w:val="18"/>
              </w:rPr>
              <w:t>监测</w:t>
            </w:r>
            <w:r>
              <w:rPr>
                <w:rFonts w:cs="Times New Roman"/>
                <w:color w:val="auto"/>
                <w:sz w:val="18"/>
                <w:szCs w:val="18"/>
              </w:rPr>
              <w:t>因子：</w:t>
            </w:r>
            <w:r>
              <w:rPr>
                <w:rFonts w:hint="eastAsia" w:cs="Times New Roman"/>
                <w:color w:val="auto"/>
                <w:sz w:val="18"/>
                <w:szCs w:val="18"/>
              </w:rPr>
              <w:t>颗粒物</w:t>
            </w:r>
          </w:p>
        </w:tc>
        <w:tc>
          <w:tcPr>
            <w:tcW w:w="1359" w:type="pct"/>
            <w:gridSpan w:val="7"/>
            <w:noWrap w:val="0"/>
            <w:vAlign w:val="center"/>
          </w:tcPr>
          <w:p>
            <w:pPr>
              <w:pStyle w:val="239"/>
              <w:spacing w:line="260" w:lineRule="exact"/>
              <w:ind w:firstLine="0" w:firstLineChars="0"/>
              <w:jc w:val="center"/>
              <w:rPr>
                <w:rFonts w:cs="Times New Roman"/>
                <w:color w:val="auto"/>
                <w:sz w:val="18"/>
                <w:szCs w:val="18"/>
              </w:rPr>
            </w:pPr>
            <w:r>
              <w:rPr>
                <w:rFonts w:hint="eastAsia" w:hAnsi="宋体" w:cs="Times New Roman"/>
                <w:color w:val="auto"/>
                <w:sz w:val="18"/>
                <w:szCs w:val="18"/>
              </w:rPr>
              <w:t>监测</w:t>
            </w:r>
            <w:r>
              <w:rPr>
                <w:rFonts w:hAnsi="宋体" w:cs="Times New Roman"/>
                <w:color w:val="auto"/>
                <w:sz w:val="18"/>
                <w:szCs w:val="18"/>
              </w:rPr>
              <w:t>点位数</w:t>
            </w:r>
          </w:p>
        </w:tc>
        <w:tc>
          <w:tcPr>
            <w:tcW w:w="722" w:type="pct"/>
            <w:gridSpan w:val="3"/>
            <w:noWrap w:val="0"/>
            <w:vAlign w:val="center"/>
          </w:tcPr>
          <w:p>
            <w:pPr>
              <w:pStyle w:val="239"/>
              <w:spacing w:line="260" w:lineRule="exact"/>
              <w:ind w:firstLine="0" w:firstLineChars="0"/>
              <w:jc w:val="center"/>
              <w:rPr>
                <w:rFonts w:cs="Times New Roman"/>
                <w:color w:val="auto"/>
                <w:sz w:val="18"/>
                <w:szCs w:val="18"/>
              </w:rPr>
            </w:pPr>
            <w:r>
              <w:rPr>
                <w:rFonts w:hint="eastAsia" w:hAnsi="宋体" w:cs="Times New Roman"/>
                <w:color w:val="auto"/>
                <w:sz w:val="18"/>
                <w:szCs w:val="18"/>
              </w:rPr>
              <w:t>无监测</w:t>
            </w:r>
            <w:r>
              <w:rPr>
                <w:rFonts w:hint="eastAsia" w:hAnsi="宋体" w:cs="Times New Roman"/>
                <w:color w:val="auto"/>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1" w:hRule="atLeast"/>
        </w:trPr>
        <w:tc>
          <w:tcPr>
            <w:tcW w:w="477" w:type="pct"/>
            <w:vMerge w:val="restart"/>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评价</w:t>
            </w:r>
            <w:r>
              <w:rPr>
                <w:rFonts w:cs="Times New Roman"/>
                <w:color w:val="auto"/>
                <w:sz w:val="18"/>
                <w:szCs w:val="18"/>
              </w:rPr>
              <w:t>结论</w:t>
            </w:r>
          </w:p>
        </w:tc>
        <w:tc>
          <w:tcPr>
            <w:tcW w:w="881" w:type="pct"/>
            <w:noWrap w:val="0"/>
            <w:vAlign w:val="center"/>
          </w:tcPr>
          <w:p>
            <w:pPr>
              <w:snapToGrid w:val="0"/>
              <w:spacing w:line="260" w:lineRule="exact"/>
              <w:ind w:firstLine="0" w:firstLineChars="0"/>
              <w:jc w:val="center"/>
              <w:rPr>
                <w:color w:val="auto"/>
                <w:sz w:val="18"/>
                <w:szCs w:val="18"/>
              </w:rPr>
            </w:pPr>
            <w:r>
              <w:rPr>
                <w:rFonts w:hint="eastAsia"/>
                <w:color w:val="auto"/>
                <w:sz w:val="18"/>
                <w:szCs w:val="18"/>
              </w:rPr>
              <w:t>环境</w:t>
            </w:r>
            <w:r>
              <w:rPr>
                <w:color w:val="auto"/>
                <w:sz w:val="18"/>
                <w:szCs w:val="18"/>
              </w:rPr>
              <w:t>影响</w:t>
            </w:r>
          </w:p>
        </w:tc>
        <w:tc>
          <w:tcPr>
            <w:tcW w:w="3640" w:type="pct"/>
            <w:gridSpan w:val="14"/>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可以</w:t>
            </w:r>
            <w:r>
              <w:rPr>
                <w:rFonts w:cs="Times New Roman"/>
                <w:color w:val="auto"/>
                <w:sz w:val="18"/>
                <w:szCs w:val="18"/>
              </w:rPr>
              <w:t>接受</w:t>
            </w:r>
            <w:r>
              <w:rPr>
                <w:rFonts w:hint="eastAsia" w:hAnsi="宋体" w:cs="Times New Roman"/>
                <w:color w:val="auto"/>
                <w:sz w:val="18"/>
                <w:szCs w:val="18"/>
              </w:rPr>
              <w:sym w:font="Wingdings 2" w:char="0052"/>
            </w:r>
            <w:r>
              <w:rPr>
                <w:rFonts w:hint="eastAsia" w:hAnsi="宋体" w:cs="Times New Roman"/>
                <w:color w:val="auto"/>
                <w:sz w:val="18"/>
                <w:szCs w:val="18"/>
              </w:rPr>
              <w:t xml:space="preserve">         </w:t>
            </w:r>
            <w:r>
              <w:rPr>
                <w:rFonts w:cs="Times New Roman"/>
                <w:color w:val="auto"/>
                <w:sz w:val="18"/>
                <w:szCs w:val="18"/>
              </w:rPr>
              <w:t>不可以接受</w:t>
            </w:r>
            <w:r>
              <w:rPr>
                <w:rFonts w:hint="eastAsia" w:hAnsi="宋体" w:cs="Times New Roman"/>
                <w:color w:val="auto"/>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rPr>
                <w:color w:val="auto"/>
                <w:sz w:val="18"/>
                <w:szCs w:val="18"/>
              </w:rPr>
            </w:pPr>
            <w:r>
              <w:rPr>
                <w:rFonts w:hint="eastAsia"/>
                <w:color w:val="auto"/>
                <w:sz w:val="18"/>
                <w:szCs w:val="18"/>
              </w:rPr>
              <w:t>大气</w:t>
            </w:r>
            <w:r>
              <w:rPr>
                <w:color w:val="auto"/>
                <w:sz w:val="18"/>
                <w:szCs w:val="18"/>
              </w:rPr>
              <w:t>环境防护距离</w:t>
            </w:r>
          </w:p>
        </w:tc>
        <w:tc>
          <w:tcPr>
            <w:tcW w:w="3640" w:type="pct"/>
            <w:gridSpan w:val="14"/>
            <w:noWrap w:val="0"/>
            <w:vAlign w:val="center"/>
          </w:tcPr>
          <w:p>
            <w:pPr>
              <w:pStyle w:val="239"/>
              <w:spacing w:line="260" w:lineRule="exact"/>
              <w:ind w:firstLine="0" w:firstLineChars="0"/>
              <w:jc w:val="center"/>
              <w:rPr>
                <w:rFonts w:cs="Times New Roman"/>
                <w:color w:val="auto"/>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7" w:type="pct"/>
            <w:vMerge w:val="continue"/>
            <w:noWrap w:val="0"/>
            <w:vAlign w:val="center"/>
          </w:tcPr>
          <w:p>
            <w:pPr>
              <w:pStyle w:val="239"/>
              <w:spacing w:line="260" w:lineRule="exact"/>
              <w:ind w:firstLine="0" w:firstLineChars="0"/>
              <w:jc w:val="center"/>
              <w:rPr>
                <w:rFonts w:cs="Times New Roman"/>
                <w:color w:val="auto"/>
                <w:sz w:val="18"/>
                <w:szCs w:val="18"/>
              </w:rPr>
            </w:pPr>
          </w:p>
        </w:tc>
        <w:tc>
          <w:tcPr>
            <w:tcW w:w="881" w:type="pct"/>
            <w:noWrap w:val="0"/>
            <w:vAlign w:val="center"/>
          </w:tcPr>
          <w:p>
            <w:pPr>
              <w:snapToGrid w:val="0"/>
              <w:spacing w:line="260" w:lineRule="exact"/>
              <w:ind w:firstLine="0" w:firstLineChars="0"/>
              <w:rPr>
                <w:color w:val="auto"/>
                <w:sz w:val="18"/>
                <w:szCs w:val="18"/>
              </w:rPr>
            </w:pPr>
            <w:r>
              <w:rPr>
                <w:rFonts w:hint="eastAsia"/>
                <w:color w:val="auto"/>
                <w:sz w:val="18"/>
                <w:szCs w:val="18"/>
              </w:rPr>
              <w:t>污染源</w:t>
            </w:r>
            <w:r>
              <w:rPr>
                <w:color w:val="auto"/>
                <w:sz w:val="18"/>
                <w:szCs w:val="18"/>
              </w:rPr>
              <w:t>年排放量</w:t>
            </w:r>
          </w:p>
        </w:tc>
        <w:tc>
          <w:tcPr>
            <w:tcW w:w="3640" w:type="pct"/>
            <w:gridSpan w:val="14"/>
            <w:noWrap w:val="0"/>
            <w:vAlign w:val="center"/>
          </w:tcPr>
          <w:p>
            <w:pPr>
              <w:pStyle w:val="239"/>
              <w:spacing w:line="260" w:lineRule="exact"/>
              <w:ind w:firstLine="0" w:firstLineChars="0"/>
              <w:rPr>
                <w:rFonts w:cs="Times New Roman"/>
                <w:color w:val="auto"/>
                <w:sz w:val="18"/>
                <w:szCs w:val="18"/>
              </w:rPr>
            </w:pPr>
            <w:r>
              <w:rPr>
                <w:rFonts w:hint="eastAsia" w:cs="Times New Roman"/>
                <w:color w:val="auto"/>
                <w:sz w:val="18"/>
                <w:szCs w:val="18"/>
              </w:rPr>
              <w:t>颗粒物：0.1</w:t>
            </w:r>
            <w:r>
              <w:rPr>
                <w:rFonts w:hint="eastAsia" w:cs="Times New Roman"/>
                <w:color w:val="auto"/>
                <w:sz w:val="18"/>
                <w:szCs w:val="18"/>
                <w:lang w:val="en-US" w:eastAsia="zh-CN"/>
              </w:rPr>
              <w:t>6</w:t>
            </w:r>
            <w:r>
              <w:rPr>
                <w:rFonts w:hint="eastAsia" w:cs="Times New Roman"/>
                <w:color w:val="auto"/>
                <w:sz w:val="18"/>
                <w:szCs w:val="18"/>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6"/>
            <w:noWrap w:val="0"/>
            <w:vAlign w:val="center"/>
          </w:tcPr>
          <w:p>
            <w:pPr>
              <w:pStyle w:val="239"/>
              <w:spacing w:line="260" w:lineRule="exact"/>
              <w:ind w:firstLine="0" w:firstLineChars="0"/>
              <w:jc w:val="center"/>
              <w:rPr>
                <w:rFonts w:cs="Times New Roman"/>
                <w:color w:val="auto"/>
                <w:sz w:val="18"/>
                <w:szCs w:val="18"/>
              </w:rPr>
            </w:pPr>
            <w:r>
              <w:rPr>
                <w:rFonts w:hint="eastAsia" w:cs="Times New Roman"/>
                <w:color w:val="auto"/>
                <w:sz w:val="18"/>
                <w:szCs w:val="18"/>
              </w:rPr>
              <w:t>注</w:t>
            </w:r>
            <w:r>
              <w:rPr>
                <w:rFonts w:cs="Times New Roman"/>
                <w:color w:val="auto"/>
                <w:sz w:val="18"/>
                <w:szCs w:val="18"/>
              </w:rPr>
              <w:t>：</w:t>
            </w:r>
            <w:r>
              <w:rPr>
                <w:rFonts w:hint="eastAsia" w:cs="Times New Roman"/>
                <w:color w:val="auto"/>
                <w:sz w:val="18"/>
                <w:szCs w:val="18"/>
              </w:rPr>
              <w:t>“</w:t>
            </w:r>
            <w:r>
              <w:rPr>
                <w:rFonts w:hint="eastAsia" w:hAnsi="宋体" w:cs="Times New Roman"/>
                <w:color w:val="auto"/>
                <w:sz w:val="18"/>
                <w:szCs w:val="18"/>
              </w:rPr>
              <w:t>□</w:t>
            </w:r>
            <w:r>
              <w:rPr>
                <w:rFonts w:hint="eastAsia" w:cs="Times New Roman"/>
                <w:color w:val="auto"/>
                <w:sz w:val="18"/>
                <w:szCs w:val="18"/>
              </w:rPr>
              <w:t>”为</w:t>
            </w:r>
            <w:r>
              <w:rPr>
                <w:rFonts w:cs="Times New Roman"/>
                <w:color w:val="auto"/>
                <w:sz w:val="18"/>
                <w:szCs w:val="18"/>
              </w:rPr>
              <w:t>勾选项</w:t>
            </w:r>
            <w:r>
              <w:rPr>
                <w:rFonts w:hint="eastAsia" w:cs="Times New Roman"/>
                <w:color w:val="auto"/>
                <w:sz w:val="18"/>
                <w:szCs w:val="18"/>
              </w:rPr>
              <w:t>，</w:t>
            </w:r>
            <w:r>
              <w:rPr>
                <w:rFonts w:hint="eastAsia" w:hAnsi="宋体" w:cs="Times New Roman"/>
                <w:color w:val="auto"/>
                <w:sz w:val="18"/>
                <w:szCs w:val="18"/>
              </w:rPr>
              <w:t>填</w:t>
            </w:r>
            <w:r>
              <w:rPr>
                <w:rFonts w:hAnsi="宋体" w:cs="Times New Roman"/>
                <w:color w:val="auto"/>
                <w:sz w:val="18"/>
                <w:szCs w:val="18"/>
              </w:rPr>
              <w:t>“√”</w:t>
            </w:r>
            <w:r>
              <w:rPr>
                <w:rFonts w:hint="eastAsia" w:hAnsi="宋体" w:cs="Times New Roman"/>
                <w:color w:val="auto"/>
                <w:sz w:val="18"/>
                <w:szCs w:val="18"/>
              </w:rPr>
              <w:t>；</w:t>
            </w:r>
            <w:r>
              <w:rPr>
                <w:rFonts w:hAnsi="宋体" w:cs="Times New Roman"/>
                <w:color w:val="auto"/>
                <w:sz w:val="18"/>
                <w:szCs w:val="18"/>
              </w:rPr>
              <w:t>“</w:t>
            </w:r>
            <w:r>
              <w:rPr>
                <w:rFonts w:hint="eastAsia" w:hAnsi="宋体" w:cs="Times New Roman"/>
                <w:color w:val="auto"/>
                <w:sz w:val="18"/>
                <w:szCs w:val="18"/>
              </w:rPr>
              <w:t>（）</w:t>
            </w:r>
            <w:r>
              <w:rPr>
                <w:rFonts w:hAnsi="宋体" w:cs="Times New Roman"/>
                <w:color w:val="auto"/>
                <w:sz w:val="18"/>
                <w:szCs w:val="18"/>
              </w:rPr>
              <w:t>”</w:t>
            </w:r>
            <w:r>
              <w:rPr>
                <w:rFonts w:hint="eastAsia" w:hAnsi="宋体" w:cs="Times New Roman"/>
                <w:color w:val="auto"/>
                <w:sz w:val="18"/>
                <w:szCs w:val="18"/>
              </w:rPr>
              <w:t>为</w:t>
            </w:r>
            <w:r>
              <w:rPr>
                <w:rFonts w:hAnsi="宋体" w:cs="Times New Roman"/>
                <w:color w:val="auto"/>
                <w:sz w:val="18"/>
                <w:szCs w:val="18"/>
              </w:rPr>
              <w:t>内容填写项</w:t>
            </w:r>
          </w:p>
        </w:tc>
      </w:tr>
    </w:tbl>
    <w:p>
      <w:pPr>
        <w:pStyle w:val="2"/>
        <w:rPr>
          <w:rFonts w:hint="default"/>
          <w:color w:val="auto"/>
        </w:rPr>
      </w:pP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952" w:name="_Toc6282"/>
      <w:bookmarkStart w:id="953" w:name="_Toc17183"/>
      <w:bookmarkStart w:id="954" w:name="_Toc24680"/>
      <w:bookmarkStart w:id="955" w:name="_Toc13458"/>
      <w:bookmarkStart w:id="956" w:name="_Toc16146_WPSOffice_Level2"/>
      <w:bookmarkStart w:id="957" w:name="_Toc7999073"/>
      <w:bookmarkStart w:id="958" w:name="_Toc17709443"/>
      <w:r>
        <w:rPr>
          <w:rFonts w:hint="default" w:ascii="Times New Roman" w:hAnsi="Times New Roman" w:cs="Times New Roman"/>
          <w:color w:val="auto"/>
          <w:sz w:val="24"/>
        </w:rPr>
        <w:t>5.2.2水环境影响分析</w:t>
      </w:r>
      <w:bookmarkEnd w:id="952"/>
      <w:bookmarkEnd w:id="953"/>
      <w:bookmarkEnd w:id="954"/>
      <w:bookmarkEnd w:id="955"/>
      <w:bookmarkEnd w:id="956"/>
      <w:bookmarkEnd w:id="957"/>
      <w:bookmarkEnd w:id="958"/>
    </w:p>
    <w:p>
      <w:pPr>
        <w:adjustRightInd w:val="0"/>
        <w:snapToGrid w:val="0"/>
        <w:spacing w:line="360" w:lineRule="auto"/>
        <w:outlineLvl w:val="3"/>
        <w:rPr>
          <w:rFonts w:hint="default" w:ascii="Times New Roman" w:hAnsi="Times New Roman" w:cs="Times New Roman"/>
          <w:color w:val="auto"/>
          <w:sz w:val="24"/>
          <w:szCs w:val="22"/>
        </w:rPr>
      </w:pPr>
      <w:bookmarkStart w:id="959" w:name="_Toc17709444"/>
      <w:bookmarkStart w:id="960" w:name="_Toc3428"/>
      <w:bookmarkStart w:id="961" w:name="_Toc3973"/>
      <w:r>
        <w:rPr>
          <w:rFonts w:hint="default" w:ascii="Times New Roman" w:hAnsi="Times New Roman" w:cs="Times New Roman"/>
          <w:color w:val="auto"/>
          <w:sz w:val="24"/>
          <w:szCs w:val="22"/>
        </w:rPr>
        <w:t>5.2.2.1水文地质情况</w:t>
      </w:r>
      <w:bookmarkEnd w:id="959"/>
    </w:p>
    <w:p>
      <w:pPr>
        <w:snapToGrid w:val="0"/>
        <w:spacing w:line="360" w:lineRule="auto"/>
        <w:ind w:right="-86" w:rightChars="-41"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lang w:val="en-US" w:eastAsia="zh-CN"/>
        </w:rPr>
        <w:t>项目区水位地质图详见附图5.2-1。</w:t>
      </w:r>
    </w:p>
    <w:p>
      <w:pPr>
        <w:snapToGrid w:val="0"/>
        <w:spacing w:line="360" w:lineRule="auto"/>
        <w:ind w:right="-86" w:rightChars="-41" w:firstLine="480" w:firstLineChars="200"/>
        <w:jc w:val="left"/>
        <w:rPr>
          <w:rFonts w:hint="default" w:ascii="Times New Roman" w:hAnsi="Times New Roman" w:cs="Times New Roman"/>
          <w:color w:val="auto"/>
          <w:sz w:val="24"/>
        </w:rPr>
      </w:pPr>
      <w:bookmarkStart w:id="962" w:name="_Toc288728551"/>
      <w:r>
        <w:rPr>
          <w:rFonts w:hint="default" w:ascii="Times New Roman" w:hAnsi="Times New Roman" w:cs="Times New Roman"/>
          <w:color w:val="auto"/>
          <w:sz w:val="24"/>
        </w:rPr>
        <w:t>（1）矿区水文地质条件</w:t>
      </w:r>
    </w:p>
    <w:p>
      <w:pPr>
        <w:snapToGrid w:val="0"/>
        <w:spacing w:line="360" w:lineRule="auto"/>
        <w:ind w:right="-86" w:rightChars="-41"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杏树沟铜矿位于海拔高程1880-2170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rPr>
        <w:t>的天山带南坡，区内年降雨量甚少＜100mm，而蒸发量远远大于降水量。岩石裸露，基本无植被。矿区地层为二迭系的沉积砂岩、泥岩、砂质泥岩的交互沉积，略有变质，含水甚微，应属于砂岩裂隙水的类型。无地表泾流水，仅在降雨时产生山谷汇集的泾流水。</w:t>
      </w:r>
    </w:p>
    <w:p>
      <w:pPr>
        <w:snapToGrid w:val="0"/>
        <w:spacing w:line="360" w:lineRule="auto"/>
        <w:ind w:right="-86" w:rightChars="-41"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从已开采的08＃矿体及多条探矿坑道看，1982水平(7号平硐)坑道内基本无水，仅局部地段见有3-5cm的积水。1966水平坑道内略有增加，但无需排水。1944水平坑道内，需隔日定时排水。1923水平坑道，在开采过程中，渗水明显增加，需定时排水。</w:t>
      </w:r>
    </w:p>
    <w:p>
      <w:pPr>
        <w:snapToGrid w:val="0"/>
        <w:spacing w:line="360" w:lineRule="auto"/>
        <w:ind w:right="-86" w:rightChars="-4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1923水平布置的5个钻孔，在施工中，有3个钻孔出现孔内涌水。ZK-2钻孔在30.90M-32.40M处遇孔内涌水，下钻时，钻杆内涌水水头高度5cm。ZK-3钻孔在37.90M-38.50M回次迂第一次孔内涌水，下钻时钻杆内涌水水头高度5cm，第二次涌水在122.50M-123.50M，下钻时钻杆内涌水水头高度为20cm，涌水量较大。ZK-4钻孔在54.90M-56.00M迂孔内涌水，下钻时钻杆内涌水水头高度5cm。</w:t>
      </w:r>
    </w:p>
    <w:p>
      <w:pPr>
        <w:snapToGrid w:val="0"/>
        <w:spacing w:line="360" w:lineRule="auto"/>
        <w:ind w:right="-86" w:rightChars="-4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在对1923水平的坑道积水进行排水时，开始时排在7号平硐口附近的一处洼坑内，2天后，1923水平的水量反见增加，而洼坑内自一开始就不见水量增加，说明从1923水平排出的积水，又从地表沿裂隙回流至1923水平。</w:t>
      </w:r>
    </w:p>
    <w:p>
      <w:pPr>
        <w:snapToGrid w:val="0"/>
        <w:spacing w:line="360" w:lineRule="auto"/>
        <w:ind w:right="-86" w:rightChars="-4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基于上述现象，可以确定：</w:t>
      </w:r>
    </w:p>
    <w:p>
      <w:pPr>
        <w:snapToGrid w:val="0"/>
        <w:spacing w:line="360" w:lineRule="auto"/>
        <w:ind w:right="-86" w:rightChars="-4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1、大气降水可以沿裂隙渗入矿井，且渗透较快，渗透量亦较大。</w:t>
      </w:r>
    </w:p>
    <w:p>
      <w:pPr>
        <w:snapToGrid w:val="0"/>
        <w:spacing w:line="360" w:lineRule="auto"/>
        <w:ind w:right="-86" w:rightChars="-4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2、影响矿山开采的水文地质条件主要为沿裂隙运移的地下裂隙水。由于矿区内小型断裂发育，推断裂隙已交织成网，相互联通。</w:t>
      </w:r>
    </w:p>
    <w:p>
      <w:pPr>
        <w:snapToGrid w:val="0"/>
        <w:spacing w:line="360" w:lineRule="auto"/>
        <w:ind w:right="-86" w:rightChars="-41" w:firstLine="480" w:firstLineChars="200"/>
        <w:rPr>
          <w:rFonts w:hint="default"/>
          <w:color w:val="auto"/>
        </w:rPr>
      </w:pPr>
      <w:r>
        <w:rPr>
          <w:rFonts w:hint="default" w:ascii="Times New Roman" w:hAnsi="Times New Roman" w:cs="Times New Roman"/>
          <w:color w:val="auto"/>
          <w:sz w:val="24"/>
        </w:rPr>
        <w:t>3、随深度的增加，裂隙水在深部成为承压水，故能从钻孔中溢出。因而在矿山开采中，随开采中段的下移，应考虑增加排水方案及设备，保证不因地下水的原因而影响矿山安全和开采的顺利进行。</w:t>
      </w:r>
    </w:p>
    <w:p>
      <w:pPr>
        <w:adjustRightInd w:val="0"/>
        <w:snapToGrid w:val="0"/>
        <w:spacing w:line="360" w:lineRule="auto"/>
        <w:outlineLvl w:val="3"/>
        <w:rPr>
          <w:rFonts w:hint="default" w:ascii="Times New Roman" w:hAnsi="Times New Roman" w:cs="Times New Roman"/>
          <w:color w:val="auto"/>
          <w:sz w:val="24"/>
          <w:szCs w:val="22"/>
        </w:rPr>
      </w:pPr>
      <w:r>
        <w:rPr>
          <w:rFonts w:hint="eastAsia" w:ascii="Times New Roman" w:hAnsi="Times New Roman" w:cs="Times New Roman"/>
          <w:color w:val="auto"/>
          <w:sz w:val="24"/>
          <w:szCs w:val="22"/>
          <w:lang w:val="en-US" w:eastAsia="zh-CN"/>
        </w:rPr>
        <w:t>5.2.2.2</w:t>
      </w:r>
      <w:r>
        <w:rPr>
          <w:rFonts w:hint="default" w:ascii="Times New Roman" w:hAnsi="Times New Roman" w:cs="Times New Roman"/>
          <w:color w:val="auto"/>
          <w:sz w:val="24"/>
          <w:szCs w:val="22"/>
        </w:rPr>
        <w:t>预测范围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据《环境影响评价技术导则—地下水环境》（HJ610-2016）附录A，本项目为铜矿开采项目，同时结合其开采特点，确定本项目废石场属于Ⅰ类项目，其余场地属于Ⅲ类，</w:t>
      </w:r>
      <w:r>
        <w:rPr>
          <w:rFonts w:hint="default" w:ascii="Times New Roman" w:hAnsi="Times New Roman" w:cs="Times New Roman"/>
          <w:color w:val="auto"/>
          <w:sz w:val="24"/>
          <w:lang w:val="en-US" w:eastAsia="zh-CN"/>
        </w:rPr>
        <w:t>根据《环境影响评价技术导则—地下水环境》（HJ610-2016）6.2.2.3 当同一建设项目涉及两个或两个以上场地时，各场地应分别判定评价工作等级，并按相应等级开展评价工作。故本次报告书开展排土场及采矿区地下水评价等级划分及环境影响分析。本项目中排土场即为 废石堆场，为防止混淆，报告书均称为“废石堆场”。</w:t>
      </w:r>
      <w:r>
        <w:rPr>
          <w:rFonts w:hint="default" w:ascii="Times New Roman" w:hAnsi="Times New Roman" w:cs="Times New Roman"/>
          <w:color w:val="auto"/>
          <w:sz w:val="24"/>
        </w:rPr>
        <w:t>该项目</w:t>
      </w:r>
      <w:r>
        <w:rPr>
          <w:rFonts w:hint="default" w:ascii="Times New Roman" w:hAnsi="Times New Roman" w:cs="Times New Roman"/>
          <w:color w:val="auto"/>
          <w:sz w:val="24"/>
          <w:lang w:eastAsia="zh-CN"/>
        </w:rPr>
        <w:t>废石场</w:t>
      </w:r>
      <w:r>
        <w:rPr>
          <w:rFonts w:hint="default" w:ascii="Times New Roman" w:hAnsi="Times New Roman" w:cs="Times New Roman"/>
          <w:color w:val="auto"/>
          <w:sz w:val="24"/>
        </w:rPr>
        <w:t>地下水评价等级为二级</w:t>
      </w:r>
      <w:r>
        <w:rPr>
          <w:rFonts w:hint="default" w:ascii="Times New Roman" w:hAnsi="Times New Roman" w:cs="Times New Roman"/>
          <w:color w:val="auto"/>
          <w:sz w:val="24"/>
          <w:lang w:eastAsia="zh-CN"/>
        </w:rPr>
        <w:t>，采矿区及工业广场</w:t>
      </w:r>
      <w:r>
        <w:rPr>
          <w:rFonts w:hint="default" w:ascii="Times New Roman" w:hAnsi="Times New Roman" w:cs="Times New Roman"/>
          <w:color w:val="auto"/>
          <w:sz w:val="24"/>
        </w:rPr>
        <w:t>地下水评价等级为</w:t>
      </w:r>
      <w:r>
        <w:rPr>
          <w:rFonts w:hint="default" w:ascii="Times New Roman" w:hAnsi="Times New Roman" w:cs="Times New Roman"/>
          <w:color w:val="auto"/>
          <w:sz w:val="24"/>
          <w:lang w:eastAsia="zh-CN"/>
        </w:rPr>
        <w:t>三</w:t>
      </w:r>
      <w:r>
        <w:rPr>
          <w:rFonts w:hint="default" w:ascii="Times New Roman" w:hAnsi="Times New Roman" w:cs="Times New Roman"/>
          <w:color w:val="auto"/>
          <w:sz w:val="24"/>
        </w:rPr>
        <w:t>级。</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环评选取废石场为预测范围，废石场在暴雨条件下淋溶水可能对地下水影响分析。</w:t>
      </w:r>
    </w:p>
    <w:p>
      <w:pPr>
        <w:adjustRightInd w:val="0"/>
        <w:snapToGrid w:val="0"/>
        <w:spacing w:line="360" w:lineRule="auto"/>
        <w:outlineLvl w:val="3"/>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5.2.2.3预测因子及预测思路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本项目采用地下水溶质运移解析法中的一维稳定流动一维水动力弥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散模式进行预测及评价，预测模型如下：</w:t>
      </w:r>
    </w:p>
    <w:p>
      <w:pPr>
        <w:ind w:left="1588" w:right="10447"/>
        <w:rPr>
          <w:rFonts w:hint="default" w:ascii="Times New Roman" w:hAnsi="Times New Roman" w:eastAsia="宋体" w:cs="Times New Roman"/>
          <w:color w:val="auto"/>
          <w:sz w:val="24"/>
          <w:lang w:eastAsia="en-US"/>
        </w:rPr>
      </w:pPr>
      <w:r>
        <w:rPr>
          <w:rFonts w:hint="default" w:ascii="Times New Roman" w:hAnsi="Times New Roman" w:eastAsia="宋体" w:cs="Times New Roman"/>
          <w:color w:val="auto"/>
          <w:sz w:val="24"/>
        </w:rPr>
        <w:drawing>
          <wp:inline distT="0" distB="0" distL="114300" distR="114300">
            <wp:extent cx="3390900" cy="639445"/>
            <wp:effectExtent l="0" t="0" r="0" b="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3390900" cy="639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式中：x—预测点至污染源强距离（m）；</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C—t时 x处的地下水浓度（mg/L）；</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C0—废水浓度（mg/L）；</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D—纵向弥散系数（m2/d）；</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t—预测时段（d）； </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u—地下水流速（m/d）；</w:t>
      </w:r>
    </w:p>
    <w:p>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erfc（）—余误差函数。</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5.2.2.4废石场地下水环境影响预测与评价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（1）影响途径</w:t>
      </w:r>
    </w:p>
    <w:p>
      <w:pPr>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本项目生产过程中有可能存在废水池发生渗漏等状况造成对项目区地下水的污染影响。本次评价仅对非正常状况下生产废水对地下水环境影响进行预测。</w:t>
      </w:r>
    </w:p>
    <w:p>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（2）污染因子及浓度确定</w:t>
      </w:r>
    </w:p>
    <w:p>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本次评价取废石样实测，其浸出试验结果见表</w:t>
      </w:r>
      <w:r>
        <w:rPr>
          <w:rFonts w:hint="eastAsia" w:ascii="Times New Roman" w:hAnsi="Times New Roman" w:eastAsia="宋体" w:cs="Times New Roman"/>
          <w:color w:val="auto"/>
          <w:sz w:val="24"/>
          <w:lang w:val="en-US" w:eastAsia="zh-CN"/>
        </w:rPr>
        <w:t>3.6-1</w:t>
      </w:r>
      <w:r>
        <w:rPr>
          <w:rFonts w:hint="default" w:ascii="Times New Roman" w:hAnsi="Times New Roman" w:eastAsia="宋体" w:cs="Times New Roman"/>
          <w:color w:val="auto"/>
          <w:sz w:val="24"/>
        </w:rPr>
        <w:t>。从表</w:t>
      </w:r>
      <w:r>
        <w:rPr>
          <w:rFonts w:hint="eastAsia" w:ascii="Times New Roman" w:hAnsi="Times New Roman" w:eastAsia="宋体" w:cs="Times New Roman"/>
          <w:color w:val="auto"/>
          <w:sz w:val="24"/>
          <w:lang w:val="en-US" w:eastAsia="zh-CN"/>
        </w:rPr>
        <w:t>3.6-1</w:t>
      </w:r>
      <w:r>
        <w:rPr>
          <w:rFonts w:hint="default" w:ascii="Times New Roman" w:hAnsi="Times New Roman" w:eastAsia="宋体" w:cs="Times New Roman"/>
          <w:color w:val="auto"/>
          <w:sz w:val="24"/>
        </w:rPr>
        <w:t>中可知，废石浸泡液中各种重金属的浓度不仅远低于《危险废物鉴别标准-浸出毒性鉴别》（GB5085.3-2007）中的浸出毒性鉴别标准值，而且pH值符合《危险废物鉴别标准-腐蚀性鉴别》（GB5085.1-2007）中的规定即pH值＞2.0、＜12.5，不具腐蚀性，且废石不在《国家危险废物名录》（2016版）中，因此，不属危险固废。根据《一般工业固体废物贮存、处置场污染控制标准》（GB18599-2001）及修改单（环保部公告2013年第36号）中的规定，按照GB5086.1～2-1997规定方法进行浸出试验而获得的浸出液中任何一种污染物的浓度均未超过GB8978-1996最高允许排放浓度，且pH值在6～9范围之内的一般工业固体废物即为第I类一般固体废物。从表</w:t>
      </w:r>
      <w:r>
        <w:rPr>
          <w:rFonts w:hint="eastAsia" w:ascii="Times New Roman" w:hAnsi="Times New Roman" w:eastAsia="宋体" w:cs="Times New Roman"/>
          <w:color w:val="auto"/>
          <w:sz w:val="24"/>
          <w:lang w:val="en-US" w:eastAsia="zh-CN"/>
        </w:rPr>
        <w:t>5.2-6</w:t>
      </w:r>
      <w:r>
        <w:rPr>
          <w:rFonts w:hint="default" w:ascii="Times New Roman" w:hAnsi="Times New Roman" w:eastAsia="宋体" w:cs="Times New Roman"/>
          <w:color w:val="auto"/>
          <w:sz w:val="24"/>
        </w:rPr>
        <w:t>中给出的数据可知，废石的浸液浓度符合一般固废的Ⅰ类固废要求，因此属一般固废的Ⅰ类固废。按Ⅰ类固废的处置方式，可以不做人工防渗直接集中堆存。</w:t>
      </w:r>
    </w:p>
    <w:p>
      <w:pPr>
        <w:pStyle w:val="20"/>
        <w:ind w:firstLine="402"/>
        <w:jc w:val="center"/>
        <w:rPr>
          <w:rFonts w:hint="eastAsia" w:ascii="Times New Roman" w:hAnsi="Times New Roman" w:eastAsia="宋体" w:cs="Arial"/>
          <w:bCs w:val="0"/>
          <w:color w:val="auto"/>
          <w:sz w:val="20"/>
          <w:szCs w:val="22"/>
        </w:rPr>
      </w:pPr>
      <w:r>
        <w:rPr>
          <w:rFonts w:hint="eastAsia" w:ascii="Times New Roman" w:hAnsi="Times New Roman" w:eastAsia="宋体" w:cs="Arial"/>
          <w:bCs w:val="0"/>
          <w:color w:val="auto"/>
          <w:sz w:val="20"/>
          <w:szCs w:val="22"/>
        </w:rPr>
        <w:t>表</w:t>
      </w:r>
      <w:r>
        <w:rPr>
          <w:rFonts w:hint="eastAsia" w:ascii="Times New Roman" w:hAnsi="Times New Roman" w:eastAsia="宋体" w:cs="Arial"/>
          <w:bCs w:val="0"/>
          <w:color w:val="auto"/>
          <w:sz w:val="20"/>
          <w:szCs w:val="22"/>
          <w:lang w:val="en-US" w:eastAsia="zh-CN"/>
        </w:rPr>
        <w:t>5.2-6</w:t>
      </w:r>
      <w:r>
        <w:rPr>
          <w:rFonts w:hint="eastAsia" w:ascii="Times New Roman" w:hAnsi="Times New Roman" w:eastAsia="宋体" w:cs="Arial"/>
          <w:bCs w:val="0"/>
          <w:color w:val="auto"/>
          <w:sz w:val="20"/>
          <w:szCs w:val="22"/>
        </w:rPr>
        <w:t xml:space="preserve">   浸出试验结果统计   单位：mg/L（pH除外）</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834"/>
        <w:gridCol w:w="1974"/>
        <w:gridCol w:w="2131"/>
        <w:gridCol w:w="1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0" w:type="dxa"/>
            <w:vMerge w:val="restart"/>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1834" w:type="dxa"/>
            <w:vMerge w:val="restart"/>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分析项目</w:t>
            </w:r>
          </w:p>
        </w:tc>
        <w:tc>
          <w:tcPr>
            <w:tcW w:w="1974" w:type="dxa"/>
            <w:vMerge w:val="restart"/>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试验结果</w:t>
            </w:r>
          </w:p>
        </w:tc>
        <w:tc>
          <w:tcPr>
            <w:tcW w:w="3800" w:type="dxa"/>
            <w:gridSpan w:val="2"/>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0" w:type="dxa"/>
            <w:vMerge w:val="continue"/>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p>
        </w:tc>
        <w:tc>
          <w:tcPr>
            <w:tcW w:w="1834" w:type="dxa"/>
            <w:vMerge w:val="continue"/>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p>
        </w:tc>
        <w:tc>
          <w:tcPr>
            <w:tcW w:w="1974" w:type="dxa"/>
            <w:vMerge w:val="continue"/>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X</w:t>
            </w:r>
          </w:p>
        </w:tc>
        <w:tc>
          <w:tcPr>
            <w:tcW w:w="1669" w:type="dxa"/>
            <w:tcBorders>
              <w:tl2br w:val="nil"/>
              <w:tr2bl w:val="nil"/>
            </w:tcBorders>
            <w:noWrap w:val="0"/>
            <w:vAlign w:val="center"/>
          </w:tcPr>
          <w:p>
            <w:pPr>
              <w:tabs>
                <w:tab w:val="left" w:pos="4214"/>
              </w:tabs>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Y</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六价铬</w:t>
            </w:r>
          </w:p>
        </w:tc>
        <w:tc>
          <w:tcPr>
            <w:tcW w:w="197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Cs w:val="21"/>
              </w:rPr>
              <w:t>&lt;0.004</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镉</w:t>
            </w:r>
          </w:p>
        </w:tc>
        <w:tc>
          <w:tcPr>
            <w:tcW w:w="19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en-US" w:bidi="en-US"/>
              </w:rPr>
            </w:pPr>
            <w:r>
              <w:rPr>
                <w:rFonts w:hint="default" w:ascii="Times New Roman" w:hAnsi="Times New Roman" w:eastAsia="宋体" w:cs="Times New Roman"/>
                <w:bCs/>
                <w:color w:val="auto"/>
                <w:szCs w:val="21"/>
              </w:rPr>
              <w:t>&lt;0.0002</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砷</w:t>
            </w:r>
          </w:p>
        </w:tc>
        <w:tc>
          <w:tcPr>
            <w:tcW w:w="197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Cs w:val="21"/>
              </w:rPr>
              <w:t>&lt;0.0002</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汞</w:t>
            </w:r>
          </w:p>
        </w:tc>
        <w:tc>
          <w:tcPr>
            <w:tcW w:w="197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rPr>
              <w:t>0.00005</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0.1</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铜</w:t>
            </w:r>
          </w:p>
        </w:tc>
        <w:tc>
          <w:tcPr>
            <w:tcW w:w="197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＜0.02</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铅</w:t>
            </w:r>
          </w:p>
        </w:tc>
        <w:tc>
          <w:tcPr>
            <w:tcW w:w="19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en-US" w:bidi="en-US"/>
              </w:rPr>
            </w:pPr>
            <w:r>
              <w:rPr>
                <w:rFonts w:hint="default" w:ascii="Times New Roman" w:hAnsi="Times New Roman" w:eastAsia="宋体" w:cs="Times New Roman"/>
                <w:bCs/>
                <w:color w:val="auto"/>
                <w:szCs w:val="21"/>
              </w:rPr>
              <w:t>&lt;0.001</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1834"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锌</w:t>
            </w:r>
          </w:p>
        </w:tc>
        <w:tc>
          <w:tcPr>
            <w:tcW w:w="19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en-US" w:bidi="en-US"/>
              </w:rPr>
            </w:pPr>
            <w:r>
              <w:rPr>
                <w:rFonts w:hint="default" w:ascii="Times New Roman" w:hAnsi="Times New Roman" w:eastAsia="宋体" w:cs="Times New Roman"/>
                <w:bCs/>
                <w:color w:val="auto"/>
                <w:szCs w:val="21"/>
              </w:rPr>
              <w:t>0.005</w:t>
            </w:r>
          </w:p>
        </w:tc>
        <w:tc>
          <w:tcPr>
            <w:tcW w:w="2131"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1834" w:type="dxa"/>
            <w:tcBorders>
              <w:tl2br w:val="nil"/>
              <w:tr2bl w:val="nil"/>
            </w:tcBorders>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总铬</w:t>
            </w:r>
          </w:p>
        </w:tc>
        <w:tc>
          <w:tcPr>
            <w:tcW w:w="1974"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&lt;0.02</w:t>
            </w:r>
          </w:p>
        </w:tc>
        <w:tc>
          <w:tcPr>
            <w:tcW w:w="2131"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w:t>
            </w:r>
          </w:p>
        </w:tc>
        <w:tc>
          <w:tcPr>
            <w:tcW w:w="1834" w:type="dxa"/>
            <w:tcBorders>
              <w:tl2br w:val="nil"/>
              <w:tr2bl w:val="nil"/>
            </w:tcBorders>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铜</w:t>
            </w:r>
          </w:p>
        </w:tc>
        <w:tc>
          <w:tcPr>
            <w:tcW w:w="1974"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&lt;0.02</w:t>
            </w:r>
          </w:p>
        </w:tc>
        <w:tc>
          <w:tcPr>
            <w:tcW w:w="2131"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kern w:val="0"/>
                <w:szCs w:val="21"/>
              </w:rPr>
              <w:t>100</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c>
          <w:tcPr>
            <w:tcW w:w="1834" w:type="dxa"/>
            <w:tcBorders>
              <w:tl2br w:val="nil"/>
              <w:tr2bl w:val="nil"/>
            </w:tcBorders>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铍</w:t>
            </w:r>
          </w:p>
        </w:tc>
        <w:tc>
          <w:tcPr>
            <w:tcW w:w="1974"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&lt;0.0002</w:t>
            </w:r>
          </w:p>
        </w:tc>
        <w:tc>
          <w:tcPr>
            <w:tcW w:w="2131"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kern w:val="0"/>
                <w:szCs w:val="21"/>
              </w:rPr>
              <w:t>0.02</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w:t>
            </w:r>
          </w:p>
        </w:tc>
        <w:tc>
          <w:tcPr>
            <w:tcW w:w="1834" w:type="dxa"/>
            <w:tcBorders>
              <w:tl2br w:val="nil"/>
              <w:tr2bl w:val="nil"/>
            </w:tcBorders>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镍</w:t>
            </w:r>
          </w:p>
        </w:tc>
        <w:tc>
          <w:tcPr>
            <w:tcW w:w="1974"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&lt;0.04</w:t>
            </w:r>
          </w:p>
        </w:tc>
        <w:tc>
          <w:tcPr>
            <w:tcW w:w="2131"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0"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1834" w:type="dxa"/>
            <w:tcBorders>
              <w:tl2br w:val="nil"/>
              <w:tr2bl w:val="nil"/>
            </w:tcBorders>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氟化物</w:t>
            </w:r>
          </w:p>
        </w:tc>
        <w:tc>
          <w:tcPr>
            <w:tcW w:w="1974"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0.08</w:t>
            </w:r>
          </w:p>
        </w:tc>
        <w:tc>
          <w:tcPr>
            <w:tcW w:w="2131"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5</w:t>
            </w:r>
          </w:p>
        </w:tc>
        <w:tc>
          <w:tcPr>
            <w:tcW w:w="1669" w:type="dxa"/>
            <w:tcBorders>
              <w:tl2br w:val="nil"/>
              <w:tr2bl w:val="nil"/>
            </w:tcBorders>
            <w:noWrap w:val="0"/>
            <w:vAlign w:val="center"/>
          </w:tcPr>
          <w:p>
            <w:pPr>
              <w:tabs>
                <w:tab w:val="left" w:pos="4214"/>
              </w:tabs>
              <w:spacing w:line="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p>
        </w:tc>
      </w:tr>
    </w:tbl>
    <w:p>
      <w:pPr>
        <w:spacing w:line="0" w:lineRule="atLeast"/>
        <w:ind w:firstLine="420" w:firstLineChars="200"/>
        <w:rPr>
          <w:rFonts w:eastAsia="华文中宋"/>
          <w:color w:val="auto"/>
          <w:szCs w:val="21"/>
        </w:rPr>
      </w:pPr>
      <w:r>
        <w:rPr>
          <w:rFonts w:eastAsia="华文中宋"/>
          <w:color w:val="auto"/>
          <w:szCs w:val="21"/>
        </w:rPr>
        <w:t>注：X表示《危险废物鉴别标准-浸出毒性鉴别》（GB5085.3-2007）；Y表示《污水综合排放标准》（GB8978-1996）中的最高允许排放浓度限值；*表示《危险废物鉴别标准-腐蚀性鉴别》（GB5085.1-2007）。</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lang w:bidi="en-US"/>
        </w:rPr>
      </w:pPr>
      <w:r>
        <w:rPr>
          <w:rFonts w:hint="default" w:ascii="Times New Roman" w:hAnsi="Times New Roman" w:eastAsia="宋体" w:cs="Times New Roman"/>
          <w:color w:val="auto"/>
          <w:sz w:val="24"/>
        </w:rPr>
        <w:t>本次环评污染物源强采取最不利情况，即浓度较大的作为预测浓度，采用表</w:t>
      </w:r>
      <w:r>
        <w:rPr>
          <w:rFonts w:hint="default" w:ascii="Times New Roman" w:hAnsi="Times New Roman" w:eastAsia="宋体" w:cs="Times New Roman"/>
          <w:color w:val="auto"/>
          <w:sz w:val="24"/>
          <w:lang w:val="en-US" w:eastAsia="zh-CN"/>
        </w:rPr>
        <w:t>5.2-6</w:t>
      </w:r>
      <w:r>
        <w:rPr>
          <w:rFonts w:hint="default" w:ascii="Times New Roman" w:hAnsi="Times New Roman" w:eastAsia="宋体" w:cs="Times New Roman"/>
          <w:color w:val="auto"/>
          <w:sz w:val="24"/>
        </w:rPr>
        <w:t>的监测数据类比分析，确定污染因子的浓度。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通过本项目废石浸出毒性结果分析，可以确定废石场的特征污染物取污染因子为</w:t>
      </w:r>
      <w:r>
        <w:rPr>
          <w:rFonts w:hint="default" w:ascii="Times New Roman" w:hAnsi="Times New Roman" w:eastAsia="宋体" w:cs="Times New Roman"/>
          <w:color w:val="auto"/>
          <w:sz w:val="24"/>
          <w:lang w:eastAsia="zh-CN"/>
        </w:rPr>
        <w:t>铜</w:t>
      </w:r>
      <w:r>
        <w:rPr>
          <w:rFonts w:hint="default" w:ascii="Times New Roman" w:hAnsi="Times New Roman" w:eastAsia="宋体" w:cs="Times New Roman"/>
          <w:color w:val="auto"/>
          <w:sz w:val="24"/>
        </w:rPr>
        <w:t>（浸出实验结果值最大）作为污染源强的计算污染因子。</w:t>
      </w:r>
    </w:p>
    <w:p>
      <w:pPr>
        <w:pStyle w:val="2"/>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（3）相关参数确定</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利用所选取的污染物迁移模型，能否达到对污染物迁移过程的合理预测，关键就在于模型参数的选取和确定是否正确合理。 </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由上述模型可知，模型需要的参数有：外泄污染物质量m；有效孔隙度n；水流的实际平均速度u；污染物在含水层中的纵向弥散系数DL；这些参数主要由勘察成果资料来确定：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含水层的厚度M：根据本次搜集的地勘资料和以往水文地质资料，可知项目区地下水类型为裂隙孔隙层间水，埋深大于20m；长度为M的线源瞬时注入的示踪剂质量m</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含水层的平均有效孔隙度n：含水层密实程度为中密，根据《水文地质手册》，可取孔隙度为0.4，而根据以往生产中经验，有效孔隙度一般比孔隙度小10%～20%，因此本次取有效孔隙度n=0.4×0.8=0.32</w:t>
      </w:r>
      <w:r>
        <w:rPr>
          <w:rFonts w:hint="default" w:ascii="Times New Roman" w:hAnsi="Times New Roman" w:eastAsia="宋体" w:cs="Times New Roman"/>
          <w:color w:val="auto"/>
          <w:sz w:val="24"/>
          <w:szCs w:val="24"/>
          <w:lang w:eastAsia="zh-CN"/>
        </w:rPr>
        <w:t>。</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水流实际平均流速u：根据含水层岩性等相关资料，确定碎石粉土孔隙潜水含水层渗透系数为10m/d，水力坡度I=1.9‰，因此地下水的渗透流速：</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V=KI=9m/d×0.0019=0.017m/d，</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平均实际流速u=V/n=0.053m/d。</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纵向x方向的弥散系数D</w:t>
      </w:r>
      <w:r>
        <w:rPr>
          <w:rFonts w:hint="default" w:ascii="Times New Roman" w:hAnsi="Times New Roman" w:eastAsia="宋体" w:cs="Times New Roman"/>
          <w:color w:val="auto"/>
          <w:sz w:val="24"/>
          <w:szCs w:val="24"/>
          <w:vertAlign w:val="subscript"/>
        </w:rPr>
        <w:t>L</w:t>
      </w:r>
      <w:r>
        <w:rPr>
          <w:rFonts w:hint="default" w:ascii="Times New Roman" w:hAnsi="Times New Roman" w:eastAsia="宋体" w:cs="Times New Roman"/>
          <w:color w:val="auto"/>
          <w:sz w:val="24"/>
          <w:szCs w:val="24"/>
        </w:rPr>
        <w:t>：</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rFonts w:hint="default" w:ascii="Times New Roman" w:hAnsi="Times New Roman" w:eastAsia="宋体" w:cs="Times New Roman"/>
          <w:i/>
          <w:color w:val="auto"/>
          <w:sz w:val="24"/>
          <w:szCs w:val="24"/>
        </w:rPr>
        <w:t>α</w:t>
      </w:r>
      <w:r>
        <w:rPr>
          <w:rFonts w:hint="default" w:ascii="Times New Roman" w:hAnsi="Times New Roman" w:eastAsia="宋体" w:cs="Times New Roman"/>
          <w:color w:val="auto"/>
          <w:sz w:val="24"/>
          <w:szCs w:val="24"/>
          <w:vertAlign w:val="subscript"/>
        </w:rPr>
        <w:t>L</w:t>
      </w:r>
      <w:r>
        <w:rPr>
          <w:rFonts w:hint="default" w:ascii="Times New Roman" w:hAnsi="Times New Roman" w:eastAsia="宋体" w:cs="Times New Roman"/>
          <w:color w:val="auto"/>
          <w:sz w:val="24"/>
          <w:szCs w:val="24"/>
        </w:rPr>
        <w:t>绘在双对数坐标纸上，从图上可以看出纵向弥散度</w:t>
      </w:r>
      <w:r>
        <w:rPr>
          <w:rFonts w:hint="default" w:ascii="Times New Roman" w:hAnsi="Times New Roman" w:eastAsia="宋体" w:cs="Times New Roman"/>
          <w:i/>
          <w:color w:val="auto"/>
          <w:sz w:val="24"/>
          <w:szCs w:val="24"/>
        </w:rPr>
        <w:t>α</w:t>
      </w:r>
      <w:r>
        <w:rPr>
          <w:rFonts w:hint="default" w:ascii="Times New Roman" w:hAnsi="Times New Roman" w:eastAsia="宋体" w:cs="Times New Roman"/>
          <w:color w:val="auto"/>
          <w:sz w:val="24"/>
          <w:szCs w:val="24"/>
          <w:vertAlign w:val="subscript"/>
        </w:rPr>
        <w:t>L</w:t>
      </w:r>
      <w:r>
        <w:rPr>
          <w:rFonts w:hint="default" w:ascii="Times New Roman" w:hAnsi="Times New Roman" w:eastAsia="宋体" w:cs="Times New Roman"/>
          <w:color w:val="auto"/>
          <w:sz w:val="24"/>
          <w:szCs w:val="24"/>
        </w:rPr>
        <w:t>从整体上随着尺度的增加而增大（图</w:t>
      </w:r>
      <w:r>
        <w:rPr>
          <w:rFonts w:hint="eastAsia" w:ascii="Times New Roman" w:hAnsi="Times New Roman" w:eastAsia="宋体" w:cs="Times New Roman"/>
          <w:color w:val="auto"/>
          <w:sz w:val="24"/>
          <w:szCs w:val="24"/>
          <w:lang w:val="en-US" w:eastAsia="zh-CN"/>
        </w:rPr>
        <w:t>5.2</w:t>
      </w:r>
      <w:r>
        <w:rPr>
          <w:rFonts w:hint="default" w:ascii="Times New Roman" w:hAnsi="Times New Roman" w:eastAsia="宋体" w:cs="Times New Roman"/>
          <w:color w:val="auto"/>
          <w:sz w:val="24"/>
          <w:szCs w:val="24"/>
        </w:rPr>
        <w:t>-1）。基准尺度Ls是指研究区大小的度量，一般用溶质运移到观测孔的最大距离表示，或用计算区的近似最大内径长度代替。</w:t>
      </w:r>
    </w:p>
    <w:p>
      <w:pPr>
        <w:pStyle w:val="15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故本次参考以往研究成果，考虑距污染源下游厂界约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500m的研究区范围，因此，本次模拟取弥散度参数值取5m。</w:t>
      </w:r>
    </w:p>
    <w:p>
      <w:pPr>
        <w:spacing w:line="336" w:lineRule="auto"/>
        <w:ind w:firstLine="480"/>
        <w:jc w:val="center"/>
        <w:rPr>
          <w:rFonts w:eastAsia="华文中宋"/>
          <w:color w:val="auto"/>
        </w:rPr>
      </w:pPr>
      <w:r>
        <w:rPr>
          <w:rFonts w:eastAsia="华文中宋"/>
          <w:color w:val="auto"/>
        </w:rPr>
        <w:drawing>
          <wp:inline distT="0" distB="0" distL="114300" distR="114300">
            <wp:extent cx="3209290" cy="2466340"/>
            <wp:effectExtent l="0" t="0" r="10160" b="1016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28"/>
                    <a:srcRect l="9776" r="10300" b="12144"/>
                    <a:stretch>
                      <a:fillRect/>
                    </a:stretch>
                  </pic:blipFill>
                  <pic:spPr>
                    <a:xfrm>
                      <a:off x="0" y="0"/>
                      <a:ext cx="3209290" cy="2466340"/>
                    </a:xfrm>
                    <a:prstGeom prst="rect">
                      <a:avLst/>
                    </a:prstGeom>
                    <a:noFill/>
                    <a:ln>
                      <a:noFill/>
                    </a:ln>
                  </pic:spPr>
                </pic:pic>
              </a:graphicData>
            </a:graphic>
          </wp:inline>
        </w:drawing>
      </w:r>
    </w:p>
    <w:p>
      <w:pPr>
        <w:jc w:val="center"/>
        <w:rPr>
          <w:rFonts w:eastAsia="华文中宋"/>
          <w:b w:val="0"/>
          <w:bCs/>
          <w:color w:val="auto"/>
          <w:sz w:val="24"/>
        </w:rPr>
      </w:pPr>
      <w:r>
        <w:rPr>
          <w:rFonts w:eastAsia="华文中宋"/>
          <w:b w:val="0"/>
          <w:bCs/>
          <w:color w:val="auto"/>
          <w:sz w:val="24"/>
        </w:rPr>
        <w:t>图</w:t>
      </w:r>
      <w:r>
        <w:rPr>
          <w:rFonts w:hint="eastAsia" w:eastAsia="华文中宋"/>
          <w:b w:val="0"/>
          <w:bCs/>
          <w:color w:val="auto"/>
          <w:sz w:val="24"/>
          <w:lang w:val="en-US" w:eastAsia="zh-CN"/>
        </w:rPr>
        <w:t>5.2</w:t>
      </w:r>
      <w:r>
        <w:rPr>
          <w:rFonts w:eastAsia="华文中宋"/>
          <w:b w:val="0"/>
          <w:bCs/>
          <w:color w:val="auto"/>
          <w:sz w:val="24"/>
        </w:rPr>
        <w:t>-1  lgα</w:t>
      </w:r>
      <w:r>
        <w:rPr>
          <w:rFonts w:eastAsia="华文中宋"/>
          <w:b w:val="0"/>
          <w:bCs/>
          <w:color w:val="auto"/>
          <w:sz w:val="24"/>
          <w:vertAlign w:val="subscript"/>
        </w:rPr>
        <w:t>L</w:t>
      </w:r>
      <w:r>
        <w:rPr>
          <w:rFonts w:eastAsia="华文中宋"/>
          <w:b w:val="0"/>
          <w:bCs/>
          <w:color w:val="auto"/>
          <w:sz w:val="24"/>
        </w:rPr>
        <w:t>—lgL</w:t>
      </w:r>
      <w:r>
        <w:rPr>
          <w:rFonts w:eastAsia="华文中宋"/>
          <w:b w:val="0"/>
          <w:bCs/>
          <w:color w:val="auto"/>
          <w:sz w:val="24"/>
          <w:vertAlign w:val="subscript"/>
        </w:rPr>
        <w:t>s</w:t>
      </w:r>
      <w:r>
        <w:rPr>
          <w:rFonts w:eastAsia="华文中宋"/>
          <w:b w:val="0"/>
          <w:bCs/>
          <w:color w:val="auto"/>
          <w:sz w:val="24"/>
        </w:rPr>
        <w:t>关系图</w:t>
      </w:r>
    </w:p>
    <w:p>
      <w:pPr>
        <w:pStyle w:val="157"/>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模型计算中纵向弥散度选用5m。由此计算项目区含水层中的纵向弥散系数D</w:t>
      </w:r>
      <w:r>
        <w:rPr>
          <w:rFonts w:hint="default" w:ascii="Times New Roman" w:hAnsi="Times New Roman" w:eastAsia="宋体" w:cs="Times New Roman"/>
          <w:color w:val="auto"/>
          <w:sz w:val="24"/>
          <w:szCs w:val="24"/>
          <w:vertAlign w:val="subscript"/>
        </w:rPr>
        <w:t>L</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position w:val="-10"/>
          <w:sz w:val="24"/>
          <w:szCs w:val="24"/>
          <w:lang w:val="en-US" w:eastAsia="zh-CN"/>
        </w:rPr>
        <w:object>
          <v:shape id="_x0000_i1050" o:spt="75" type="#_x0000_t75" style="height:17.25pt;width:31.5pt;" o:ole="t" filled="f" o:preferrelative="t" stroked="f" coordsize="21600,21600">
            <v:path/>
            <v:fill on="f" focussize="0,0"/>
            <v:stroke on="f"/>
            <v:imagedata r:id="rId30" o:title=""/>
            <o:lock v:ext="edit" aspectratio="t"/>
            <w10:wrap type="none"/>
            <w10:anchorlock/>
          </v:shape>
          <o:OLEObject Type="Embed" ProgID="Equation.3" ShapeID="_x0000_i1050" DrawAspect="Content" ObjectID="_1468075730" r:id="rId29">
            <o:LockedField>false</o:LockedField>
          </o:OLEObject>
        </w:object>
      </w:r>
      <w:r>
        <w:rPr>
          <w:rFonts w:hint="default" w:ascii="Times New Roman" w:hAnsi="Times New Roman" w:eastAsia="宋体" w:cs="Times New Roman"/>
          <w:color w:val="auto"/>
          <w:sz w:val="24"/>
          <w:szCs w:val="24"/>
        </w:rPr>
        <w:t>=5×0.053m/d =0.265(m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w:t>
      </w:r>
    </w:p>
    <w:p>
      <w:pPr>
        <w:pStyle w:val="157"/>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横向y方向的弥散系数DT：根据经验一般，</w:t>
      </w:r>
    </w:p>
    <w:p>
      <w:pPr>
        <w:pStyle w:val="157"/>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pict>
          <v:shape id="Picture 33930" o:spid="_x0000_s4302" o:spt="75" type="#_x0000_t75" style="position:absolute;left:0pt;margin-left:141.6pt;margin-top:0.3pt;height:36.75pt;width:48.75pt;mso-position-horizontal-relative:page;z-index:251675648;mso-width-relative:page;mso-height-relative:page;" o:ole="t" filled="f" o:preferrelative="t" stroked="f" coordsize="21600,21600">
            <v:path/>
            <v:fill on="f" focussize="0,0"/>
            <v:stroke on="f"/>
            <v:imagedata r:id="rId32" o:title=""/>
            <o:lock v:ext="edit" aspectratio="t"/>
          </v:shape>
          <o:OLEObject Type="Embed" ProgID="Equation.3" ShapeID="Picture 33930" DrawAspect="Content" ObjectID="_1468075731" r:id="rId31">
            <o:LockedField>false</o:LockedField>
          </o:OLEObject>
        </w:pic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default" w:ascii="Times New Roman" w:hAnsi="Times New Roman" w:eastAsia="宋体" w:cs="Times New Roman"/>
          <w:color w:val="auto"/>
          <w:position w:val="-10"/>
          <w:sz w:val="24"/>
          <w:szCs w:val="24"/>
        </w:rPr>
        <w:object>
          <v:shape id="_x0000_i1051" o:spt="75" type="#_x0000_t75" style="height:16.5pt;width:93.8pt;" o:ole="t" filled="f" o:preferrelative="t" stroked="f" coordsize="21600,21600">
            <v:path/>
            <v:fill on="f" focussize="0,0"/>
            <v:stroke on="f"/>
            <v:imagedata r:id="rId34" o:title=""/>
            <o:lock v:ext="edit" aspectratio="t"/>
            <w10:wrap type="none"/>
            <w10:anchorlock/>
          </v:shape>
          <o:OLEObject Type="Embed" ProgID="Equation.3" ShapeID="_x0000_i1051" DrawAspect="Content" ObjectID="_1468075732" r:id="rId33">
            <o:LockedField>false</o:LockedField>
          </o:OLEObject>
        </w:object>
      </w:r>
      <w:r>
        <w:rPr>
          <w:rFonts w:hint="default" w:ascii="Times New Roman" w:hAnsi="Times New Roman" w:eastAsia="宋体" w:cs="Times New Roman"/>
          <w:color w:val="auto"/>
          <w:sz w:val="24"/>
          <w:szCs w:val="24"/>
        </w:rPr>
        <w:t>m，则D</w:t>
      </w:r>
      <w:r>
        <w:rPr>
          <w:rFonts w:hint="default" w:ascii="Times New Roman" w:hAnsi="Times New Roman" w:eastAsia="宋体" w:cs="Times New Roman"/>
          <w:color w:val="auto"/>
          <w:sz w:val="24"/>
          <w:szCs w:val="24"/>
          <w:vertAlign w:val="subscript"/>
        </w:rPr>
        <w:t>T</w:t>
      </w:r>
      <w:r>
        <w:rPr>
          <w:rFonts w:hint="default" w:ascii="Times New Roman" w:hAnsi="Times New Roman" w:eastAsia="宋体" w:cs="Times New Roman"/>
          <w:color w:val="auto"/>
          <w:sz w:val="24"/>
          <w:szCs w:val="24"/>
        </w:rPr>
        <w:t>=0.149(m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（4）预测与评价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根据选用的预测模式，不同污染因子随时间和位置变化的浓度预测结果见表</w:t>
      </w:r>
      <w:r>
        <w:rPr>
          <w:rFonts w:hint="default" w:ascii="Times New Roman" w:hAnsi="Times New Roman" w:eastAsia="宋体" w:cs="Times New Roman"/>
          <w:color w:val="auto"/>
          <w:sz w:val="24"/>
          <w:szCs w:val="24"/>
          <w:lang w:val="en-US" w:eastAsia="zh-CN"/>
        </w:rPr>
        <w:t>5.2-7</w:t>
      </w:r>
      <w:r>
        <w:rPr>
          <w:rFonts w:hint="default" w:ascii="Times New Roman" w:hAnsi="Times New Roman" w:eastAsia="宋体" w:cs="Times New Roman"/>
          <w:color w:val="auto"/>
          <w:sz w:val="24"/>
          <w:szCs w:val="24"/>
        </w:rPr>
        <w:t>。</w:t>
      </w:r>
    </w:p>
    <w:p>
      <w:pPr>
        <w:adjustRightInd w:val="0"/>
        <w:snapToGrid w:val="0"/>
        <w:spacing w:line="300" w:lineRule="exact"/>
        <w:jc w:val="center"/>
        <w:rPr>
          <w:rFonts w:eastAsia="华文中宋"/>
          <w:b w:val="0"/>
          <w:bCs/>
          <w:color w:val="auto"/>
          <w:szCs w:val="21"/>
        </w:rPr>
      </w:pPr>
      <w:r>
        <w:rPr>
          <w:rFonts w:eastAsia="华文中宋"/>
          <w:b w:val="0"/>
          <w:bCs/>
          <w:color w:val="auto"/>
          <w:szCs w:val="21"/>
        </w:rPr>
        <w:t>表</w:t>
      </w:r>
      <w:r>
        <w:rPr>
          <w:rFonts w:hint="eastAsia" w:eastAsia="华文中宋"/>
          <w:b w:val="0"/>
          <w:bCs/>
          <w:color w:val="auto"/>
          <w:szCs w:val="21"/>
          <w:lang w:val="en-US" w:eastAsia="zh-CN"/>
        </w:rPr>
        <w:t>5.2-7</w:t>
      </w:r>
      <w:r>
        <w:rPr>
          <w:rFonts w:eastAsia="华文中宋"/>
          <w:b w:val="0"/>
          <w:bCs/>
          <w:color w:val="auto"/>
          <w:szCs w:val="21"/>
        </w:rPr>
        <w:t xml:space="preserve">   废石场不同时间点</w:t>
      </w:r>
      <w:r>
        <w:rPr>
          <w:rFonts w:hint="eastAsia" w:eastAsia="华文中宋"/>
          <w:b w:val="0"/>
          <w:bCs/>
          <w:color w:val="auto"/>
          <w:szCs w:val="21"/>
        </w:rPr>
        <w:t>锌</w:t>
      </w:r>
      <w:r>
        <w:rPr>
          <w:rFonts w:eastAsia="华文中宋"/>
          <w:b w:val="0"/>
          <w:bCs/>
          <w:color w:val="auto"/>
          <w:szCs w:val="21"/>
        </w:rPr>
        <w:t>预测结果</w:t>
      </w:r>
    </w:p>
    <w:tbl>
      <w:tblPr>
        <w:tblStyle w:val="7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99"/>
        <w:gridCol w:w="2237"/>
        <w:gridCol w:w="2236"/>
        <w:gridCol w:w="22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62" w:type="pct"/>
            <w:tcBorders>
              <w:tl2br w:val="nil"/>
              <w:tr2bl w:val="nil"/>
            </w:tcBorders>
            <w:noWrap w:val="0"/>
            <w:vAlign w:val="center"/>
          </w:tcPr>
          <w:p>
            <w:pPr>
              <w:pStyle w:val="104"/>
              <w:spacing w:line="0" w:lineRule="atLeast"/>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预测</w:t>
            </w:r>
            <w:r>
              <w:rPr>
                <w:rFonts w:hint="default" w:ascii="Times New Roman" w:hAnsi="Times New Roman" w:eastAsia="宋体" w:cs="Times New Roman"/>
                <w:b w:val="0"/>
                <w:bCs w:val="0"/>
                <w:color w:val="auto"/>
                <w:spacing w:val="4"/>
                <w:kern w:val="2"/>
                <w:sz w:val="21"/>
                <w:szCs w:val="21"/>
              </w:rPr>
              <w:t>时</w:t>
            </w:r>
            <w:r>
              <w:rPr>
                <w:rFonts w:hint="default" w:ascii="Times New Roman" w:hAnsi="Times New Roman" w:eastAsia="宋体" w:cs="Times New Roman"/>
                <w:b w:val="0"/>
                <w:bCs w:val="0"/>
                <w:color w:val="auto"/>
                <w:kern w:val="2"/>
                <w:sz w:val="21"/>
                <w:szCs w:val="21"/>
              </w:rPr>
              <w:t>段</w:t>
            </w:r>
          </w:p>
        </w:tc>
        <w:tc>
          <w:tcPr>
            <w:tcW w:w="1346" w:type="pct"/>
            <w:tcBorders>
              <w:tl2br w:val="nil"/>
              <w:tr2bl w:val="nil"/>
            </w:tcBorders>
            <w:noWrap w:val="0"/>
            <w:vAlign w:val="center"/>
          </w:tcPr>
          <w:p>
            <w:pPr>
              <w:pStyle w:val="104"/>
              <w:spacing w:line="0" w:lineRule="atLeast"/>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超标距离（m）</w:t>
            </w:r>
          </w:p>
        </w:tc>
        <w:tc>
          <w:tcPr>
            <w:tcW w:w="1345" w:type="pct"/>
            <w:tcBorders>
              <w:tl2br w:val="nil"/>
              <w:tr2bl w:val="nil"/>
            </w:tcBorders>
            <w:noWrap w:val="0"/>
            <w:vAlign w:val="center"/>
          </w:tcPr>
          <w:p>
            <w:pPr>
              <w:pStyle w:val="104"/>
              <w:spacing w:line="0" w:lineRule="atLeast"/>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铜最大浓度（mg/L）</w:t>
            </w:r>
          </w:p>
        </w:tc>
        <w:tc>
          <w:tcPr>
            <w:tcW w:w="1346" w:type="pct"/>
            <w:tcBorders>
              <w:tl2br w:val="nil"/>
              <w:tr2bl w:val="nil"/>
            </w:tcBorders>
            <w:noWrap w:val="0"/>
            <w:vAlign w:val="center"/>
          </w:tcPr>
          <w:p>
            <w:pPr>
              <w:pStyle w:val="104"/>
              <w:spacing w:line="0" w:lineRule="atLeast"/>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spacing w:val="-1"/>
                <w:kern w:val="2"/>
                <w:sz w:val="21"/>
                <w:szCs w:val="21"/>
                <w:lang w:eastAsia="zh-CN"/>
              </w:rPr>
              <w:t>最大浓度处距离</w:t>
            </w:r>
            <w:r>
              <w:rPr>
                <w:rFonts w:hint="default" w:ascii="Times New Roman" w:hAnsi="Times New Roman" w:eastAsia="宋体" w:cs="Times New Roman"/>
                <w:b w:val="0"/>
                <w:bCs w:val="0"/>
                <w:color w:val="auto"/>
                <w:kern w:val="2"/>
                <w:sz w:val="21"/>
                <w:szCs w:val="21"/>
                <w:lang w:eastAsia="zh-CN"/>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62"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rPr>
              <w:t>100</w:t>
            </w:r>
            <w:r>
              <w:rPr>
                <w:rFonts w:eastAsia="华文中宋"/>
                <w:color w:val="auto"/>
                <w:spacing w:val="-58"/>
                <w:kern w:val="2"/>
                <w:sz w:val="21"/>
                <w:szCs w:val="21"/>
              </w:rPr>
              <w:t xml:space="preserve"> </w:t>
            </w:r>
            <w:r>
              <w:rPr>
                <w:rFonts w:eastAsia="华文中宋"/>
                <w:color w:val="auto"/>
                <w:kern w:val="2"/>
                <w:sz w:val="21"/>
                <w:szCs w:val="21"/>
              </w:rPr>
              <w:t>天</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rPr>
              <w:t>0</w:t>
            </w:r>
          </w:p>
        </w:tc>
        <w:tc>
          <w:tcPr>
            <w:tcW w:w="1345"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0.0000</w:t>
            </w:r>
            <w:r>
              <w:rPr>
                <w:rFonts w:hint="eastAsia" w:eastAsia="华文中宋"/>
                <w:color w:val="auto"/>
                <w:kern w:val="2"/>
                <w:sz w:val="21"/>
                <w:szCs w:val="21"/>
                <w:lang w:eastAsia="zh-CN"/>
              </w:rPr>
              <w:t>47</w:t>
            </w:r>
            <w:r>
              <w:rPr>
                <w:rFonts w:eastAsia="华文中宋"/>
                <w:color w:val="auto"/>
                <w:kern w:val="2"/>
                <w:sz w:val="21"/>
                <w:szCs w:val="21"/>
                <w:lang w:eastAsia="zh-CN"/>
              </w:rPr>
              <w:t>1</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1</w:t>
            </w:r>
            <w:r>
              <w:rPr>
                <w:rFonts w:hint="eastAsia" w:eastAsia="华文中宋"/>
                <w:color w:val="auto"/>
                <w:kern w:val="2"/>
                <w:sz w:val="21"/>
                <w:szCs w:val="21"/>
                <w:lang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 w:hRule="atLeast"/>
          <w:jc w:val="center"/>
        </w:trPr>
        <w:tc>
          <w:tcPr>
            <w:tcW w:w="962"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rPr>
              <w:t>1000</w:t>
            </w:r>
            <w:r>
              <w:rPr>
                <w:rFonts w:eastAsia="华文中宋"/>
                <w:color w:val="auto"/>
                <w:spacing w:val="-63"/>
                <w:kern w:val="2"/>
                <w:sz w:val="21"/>
                <w:szCs w:val="21"/>
              </w:rPr>
              <w:t xml:space="preserve"> </w:t>
            </w:r>
            <w:r>
              <w:rPr>
                <w:rFonts w:eastAsia="华文中宋"/>
                <w:color w:val="auto"/>
                <w:kern w:val="2"/>
                <w:sz w:val="21"/>
                <w:szCs w:val="21"/>
              </w:rPr>
              <w:t>天</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rPr>
              <w:t>0</w:t>
            </w:r>
          </w:p>
        </w:tc>
        <w:tc>
          <w:tcPr>
            <w:tcW w:w="1345"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0.0000</w:t>
            </w:r>
            <w:r>
              <w:rPr>
                <w:rFonts w:hint="eastAsia" w:eastAsia="华文中宋"/>
                <w:color w:val="auto"/>
                <w:kern w:val="2"/>
                <w:sz w:val="21"/>
                <w:szCs w:val="21"/>
                <w:lang w:eastAsia="zh-CN"/>
              </w:rPr>
              <w:t>21</w:t>
            </w:r>
            <w:r>
              <w:rPr>
                <w:rFonts w:eastAsia="华文中宋"/>
                <w:color w:val="auto"/>
                <w:kern w:val="2"/>
                <w:sz w:val="21"/>
                <w:szCs w:val="21"/>
                <w:lang w:eastAsia="zh-CN"/>
              </w:rPr>
              <w:t>4</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1</w:t>
            </w:r>
            <w:r>
              <w:rPr>
                <w:rFonts w:hint="eastAsia" w:eastAsia="华文中宋"/>
                <w:color w:val="auto"/>
                <w:kern w:val="2"/>
                <w:sz w:val="21"/>
                <w:szCs w:val="21"/>
                <w:lang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62"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lang w:eastAsia="zh-CN"/>
              </w:rPr>
              <w:t>26</w:t>
            </w:r>
            <w:r>
              <w:rPr>
                <w:rFonts w:eastAsia="华文中宋"/>
                <w:color w:val="auto"/>
                <w:kern w:val="2"/>
                <w:sz w:val="21"/>
                <w:szCs w:val="21"/>
              </w:rPr>
              <w:t>00</w:t>
            </w:r>
            <w:r>
              <w:rPr>
                <w:rFonts w:eastAsia="华文中宋"/>
                <w:color w:val="auto"/>
                <w:spacing w:val="-63"/>
                <w:kern w:val="2"/>
                <w:sz w:val="21"/>
                <w:szCs w:val="21"/>
              </w:rPr>
              <w:t xml:space="preserve"> </w:t>
            </w:r>
            <w:r>
              <w:rPr>
                <w:rFonts w:eastAsia="华文中宋"/>
                <w:color w:val="auto"/>
                <w:kern w:val="2"/>
                <w:sz w:val="21"/>
                <w:szCs w:val="21"/>
              </w:rPr>
              <w:t>天</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rPr>
            </w:pPr>
            <w:r>
              <w:rPr>
                <w:rFonts w:eastAsia="华文中宋"/>
                <w:color w:val="auto"/>
                <w:kern w:val="2"/>
                <w:sz w:val="21"/>
                <w:szCs w:val="21"/>
              </w:rPr>
              <w:t>0</w:t>
            </w:r>
          </w:p>
        </w:tc>
        <w:tc>
          <w:tcPr>
            <w:tcW w:w="1345"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0.00000</w:t>
            </w:r>
            <w:r>
              <w:rPr>
                <w:rFonts w:hint="eastAsia" w:eastAsia="华文中宋"/>
                <w:color w:val="auto"/>
                <w:kern w:val="2"/>
                <w:sz w:val="21"/>
                <w:szCs w:val="21"/>
                <w:lang w:eastAsia="zh-CN"/>
              </w:rPr>
              <w:t>5</w:t>
            </w:r>
          </w:p>
        </w:tc>
        <w:tc>
          <w:tcPr>
            <w:tcW w:w="1346" w:type="pct"/>
            <w:tcBorders>
              <w:tl2br w:val="nil"/>
              <w:tr2bl w:val="nil"/>
            </w:tcBorders>
            <w:noWrap w:val="0"/>
            <w:vAlign w:val="center"/>
          </w:tcPr>
          <w:p>
            <w:pPr>
              <w:pStyle w:val="104"/>
              <w:spacing w:line="0" w:lineRule="atLeast"/>
              <w:jc w:val="center"/>
              <w:rPr>
                <w:rFonts w:eastAsia="华文中宋"/>
                <w:color w:val="auto"/>
                <w:kern w:val="2"/>
                <w:sz w:val="21"/>
                <w:szCs w:val="21"/>
                <w:lang w:eastAsia="zh-CN"/>
              </w:rPr>
            </w:pPr>
            <w:r>
              <w:rPr>
                <w:rFonts w:eastAsia="华文中宋"/>
                <w:color w:val="auto"/>
                <w:kern w:val="2"/>
                <w:sz w:val="21"/>
                <w:szCs w:val="21"/>
                <w:lang w:eastAsia="zh-CN"/>
              </w:rPr>
              <w:t>2</w:t>
            </w:r>
            <w:r>
              <w:rPr>
                <w:rFonts w:hint="eastAsia" w:eastAsia="华文中宋"/>
                <w:color w:val="auto"/>
                <w:kern w:val="2"/>
                <w:sz w:val="21"/>
                <w:szCs w:val="21"/>
                <w:lang w:eastAsia="zh-CN"/>
              </w:rPr>
              <w:t>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由表</w:t>
      </w:r>
      <w:r>
        <w:rPr>
          <w:rFonts w:hint="default" w:ascii="Times New Roman" w:hAnsi="Times New Roman" w:eastAsia="宋体" w:cs="Times New Roman"/>
          <w:color w:val="auto"/>
          <w:sz w:val="24"/>
          <w:lang w:val="en-US" w:eastAsia="zh-CN"/>
        </w:rPr>
        <w:t>5.2-7</w:t>
      </w:r>
      <w:r>
        <w:rPr>
          <w:rFonts w:hint="default" w:ascii="Times New Roman" w:hAnsi="Times New Roman" w:eastAsia="宋体" w:cs="Times New Roman"/>
          <w:color w:val="auto"/>
          <w:sz w:val="24"/>
        </w:rPr>
        <w:t>可知，废石浸出液分析指标浓度均未超过鉴别标准值。本项目的矿石不属于危险废物，本项目的废石性质为第Ⅰ类一般工业固体废物。从预测结果可以看出，废石淋溶水的预测结果超标范围为0，超标范围离开废石场距离为0。污染物运移到下游污染浓度满足《地下水质量标准》（GB/T14848-2017）中的Ⅲ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项目区域周围</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km范围内无集中或分散居住区，本矿区所在区域平均降水量为</w:t>
      </w:r>
      <w:r>
        <w:rPr>
          <w:rFonts w:hint="eastAsia" w:ascii="Times New Roman" w:hAnsi="Times New Roman" w:eastAsia="宋体" w:cs="Times New Roman"/>
          <w:color w:val="auto"/>
          <w:sz w:val="24"/>
          <w:lang w:val="en-US" w:eastAsia="zh-CN"/>
        </w:rPr>
        <w:t>38.4</w:t>
      </w:r>
      <w:r>
        <w:rPr>
          <w:rFonts w:hint="default" w:ascii="Times New Roman" w:hAnsi="Times New Roman" w:eastAsia="宋体" w:cs="Times New Roman"/>
          <w:color w:val="auto"/>
          <w:sz w:val="24"/>
        </w:rPr>
        <w:t>mm，</w:t>
      </w:r>
      <w:bookmarkStart w:id="963" w:name="矿井开采、生活污水对区域地下水的影响"/>
      <w:bookmarkEnd w:id="963"/>
      <w:r>
        <w:rPr>
          <w:rFonts w:hint="default" w:ascii="Times New Roman" w:hAnsi="Times New Roman" w:eastAsia="宋体" w:cs="Times New Roman"/>
          <w:color w:val="auto"/>
          <w:sz w:val="24"/>
        </w:rPr>
        <w:t>年平均蒸发量为</w:t>
      </w:r>
      <w:r>
        <w:rPr>
          <w:rFonts w:hint="default" w:ascii="Times New Roman" w:hAnsi="Times New Roman" w:cs="Times New Roman"/>
          <w:color w:val="auto"/>
          <w:sz w:val="24"/>
        </w:rPr>
        <w:t>3164.2</w:t>
      </w:r>
      <w:r>
        <w:rPr>
          <w:rFonts w:hint="default" w:ascii="Times New Roman" w:hAnsi="Times New Roman" w:eastAsia="宋体" w:cs="Times New Roman"/>
          <w:color w:val="auto"/>
          <w:sz w:val="24"/>
        </w:rPr>
        <w:t>mm，降水量远小于蒸发量，废石处置过程中淋溶水量极少，且废石为一般固废，对环境影响较小。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环评要求在生产过程中废石按规划合理堆放，且在采石场四周，尤其是在废石场四周修建截排水工程，以确保洪水发生时，废石场外洪水全部外排至废石场下游，不进入废石场。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rPr>
      </w:pPr>
      <w:r>
        <w:rPr>
          <w:rFonts w:hint="default" w:ascii="Times New Roman" w:hAnsi="Times New Roman" w:eastAsia="宋体" w:cs="Times New Roman"/>
          <w:color w:val="auto"/>
          <w:sz w:val="24"/>
        </w:rPr>
        <w:t>综上所述，只要对固体废物做到合理处置，其对区域环境的影响不大，但从资源利用角度看，应对废石加以综合利用，如可用于井口场地拓展、场内道路路基修筑、维护的填料等，可减少废石堆存，减轻对环境造成的影响。</w:t>
      </w:r>
    </w:p>
    <w:bookmarkEnd w:id="960"/>
    <w:bookmarkEnd w:id="961"/>
    <w:bookmarkEnd w:id="962"/>
    <w:p>
      <w:pPr>
        <w:adjustRightInd w:val="0"/>
        <w:snapToGrid w:val="0"/>
        <w:spacing w:line="360" w:lineRule="auto"/>
        <w:outlineLvl w:val="3"/>
        <w:rPr>
          <w:rFonts w:hint="default" w:ascii="Times New Roman" w:hAnsi="Times New Roman" w:cs="Times New Roman"/>
          <w:color w:val="auto"/>
          <w:sz w:val="24"/>
          <w:szCs w:val="22"/>
          <w:lang w:val="en-US" w:eastAsia="zh-CN"/>
        </w:rPr>
      </w:pPr>
      <w:bookmarkStart w:id="964" w:name="_Toc17175"/>
      <w:bookmarkStart w:id="965" w:name="_Toc18212"/>
      <w:bookmarkStart w:id="966" w:name="_Toc25325"/>
      <w:bookmarkStart w:id="967" w:name="_Toc4793"/>
      <w:bookmarkStart w:id="968" w:name="_Toc7999080"/>
      <w:bookmarkStart w:id="969" w:name="_Toc1395_WPSOffice_Level1"/>
      <w:bookmarkStart w:id="970" w:name="_Toc17709448"/>
      <w:r>
        <w:rPr>
          <w:rFonts w:hint="default" w:ascii="Times New Roman" w:hAnsi="Times New Roman" w:cs="Times New Roman"/>
          <w:color w:val="auto"/>
          <w:sz w:val="24"/>
          <w:szCs w:val="22"/>
          <w:lang w:val="en-US" w:eastAsia="zh-CN"/>
        </w:rPr>
        <w:t>5.2.2.5地表水环境环境影响评价</w:t>
      </w:r>
      <w:bookmarkEnd w:id="964"/>
      <w:bookmarkEnd w:id="965"/>
      <w:bookmarkEnd w:id="966"/>
      <w:bookmarkEnd w:id="967"/>
      <w:bookmarkEnd w:id="968"/>
      <w:bookmarkEnd w:id="969"/>
      <w:bookmarkEnd w:id="970"/>
    </w:p>
    <w:p>
      <w:pPr>
        <w:adjustRightInd w:val="0"/>
        <w:snapToGrid w:val="0"/>
        <w:spacing w:line="360" w:lineRule="auto"/>
        <w:ind w:firstLine="360" w:firstLineChars="150"/>
        <w:rPr>
          <w:rFonts w:hint="default" w:ascii="Times New Roman" w:hAnsi="Times New Roman" w:cs="Times New Roman"/>
          <w:color w:val="auto"/>
          <w:sz w:val="24"/>
        </w:rPr>
      </w:pPr>
      <w:bookmarkStart w:id="971" w:name="_Toc1985_WPSOffice_Level2"/>
      <w:r>
        <w:rPr>
          <w:rFonts w:hint="default" w:ascii="Times New Roman" w:hAnsi="Times New Roman" w:cs="Times New Roman"/>
          <w:color w:val="auto"/>
          <w:sz w:val="24"/>
        </w:rPr>
        <w:t>（1）生活污水对地表水的影响分析</w:t>
      </w:r>
      <w:bookmarkEnd w:id="971"/>
    </w:p>
    <w:p>
      <w:pPr>
        <w:adjustRightInd w:val="0"/>
        <w:snapToGrid w:val="0"/>
        <w:spacing w:line="360" w:lineRule="auto"/>
        <w:ind w:firstLine="448"/>
        <w:rPr>
          <w:rFonts w:hint="default"/>
          <w:color w:val="auto"/>
        </w:rPr>
      </w:pPr>
      <w:r>
        <w:rPr>
          <w:rFonts w:hint="default" w:ascii="Times New Roman" w:hAnsi="Times New Roman" w:cs="Times New Roman"/>
          <w:color w:val="auto"/>
          <w:sz w:val="24"/>
        </w:rPr>
        <w:t>矿区定员约42人，生活用水定额按《新疆生活用水定额》中南疆地区每人85L/d·人计算，生活用水量每天预计为3.57m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/d（892.5m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/a），污水按80%的排放量计，生活污水排放量为2.9m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/d（725m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/a）。在生活区内修建污水处理设施，废水经处理达到《污水综合排放标准》（GB8978-1996）二级标准后，用于洒水降尘和绿化。项目生活污水经处理后综合利用不外排。</w:t>
      </w:r>
    </w:p>
    <w:p>
      <w:pPr>
        <w:adjustRightInd w:val="0"/>
        <w:snapToGrid w:val="0"/>
        <w:spacing w:line="360" w:lineRule="auto"/>
        <w:ind w:firstLine="480" w:firstLineChars="200"/>
        <w:rPr>
          <w:rFonts w:hint="default" w:ascii="Times New Roman" w:hAnsi="Times New Roman" w:cs="Times New Roman"/>
          <w:color w:val="auto"/>
          <w:sz w:val="24"/>
        </w:rPr>
      </w:pPr>
      <w:bookmarkStart w:id="972" w:name="_Toc21368_WPSOffice_Level2"/>
      <w:r>
        <w:rPr>
          <w:rFonts w:hint="default" w:ascii="Times New Roman" w:hAnsi="Times New Roman" w:cs="Times New Roman"/>
          <w:color w:val="auto"/>
          <w:sz w:val="24"/>
        </w:rPr>
        <w:t>（2）矿井涌水对地表水的影响分析</w:t>
      </w:r>
      <w:bookmarkEnd w:id="972"/>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项目正常矿井涌水量为50m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/d，经沉淀处理后全部回用于井下生产及矿区周边绿化等，综合利用不外排。</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项目区属于缺水地区，矿井涌水均被合理处置综合利用不外排，一定程度上缓解矿区及周边生态用水短缺的局面，因此矿井涌水是不会对</w:t>
      </w:r>
      <w:r>
        <w:rPr>
          <w:rFonts w:hint="default" w:ascii="Times New Roman" w:hAnsi="Times New Roman" w:cs="Times New Roman"/>
          <w:color w:val="auto"/>
          <w:sz w:val="24"/>
          <w:lang w:eastAsia="zh-CN"/>
        </w:rPr>
        <w:t>项目区周边水环境</w:t>
      </w:r>
      <w:r>
        <w:rPr>
          <w:rFonts w:hint="default" w:ascii="Times New Roman" w:hAnsi="Times New Roman" w:cs="Times New Roman"/>
          <w:color w:val="auto"/>
          <w:sz w:val="24"/>
        </w:rPr>
        <w:t>造成不利影响。</w:t>
      </w:r>
    </w:p>
    <w:p>
      <w:pPr>
        <w:adjustRightInd w:val="0"/>
        <w:snapToGrid w:val="0"/>
        <w:spacing w:line="360" w:lineRule="auto"/>
        <w:ind w:firstLine="480" w:firstLineChars="200"/>
        <w:rPr>
          <w:rFonts w:hint="default" w:ascii="Times New Roman" w:hAnsi="Times New Roman" w:cs="Times New Roman"/>
          <w:color w:val="auto"/>
          <w:sz w:val="24"/>
        </w:rPr>
      </w:pPr>
      <w:bookmarkStart w:id="973" w:name="_Toc4767_WPSOffice_Level2"/>
      <w:r>
        <w:rPr>
          <w:rFonts w:hint="default" w:ascii="Times New Roman" w:hAnsi="Times New Roman" w:cs="Times New Roman"/>
          <w:color w:val="auto"/>
          <w:sz w:val="24"/>
        </w:rPr>
        <w:t>（3）非生产期矿井涌水对地表水的影响分析</w:t>
      </w:r>
      <w:bookmarkEnd w:id="973"/>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项目铁矿开采周期为250d。停产期间，委托选矿厂留守值班人员，定期用洒水车将矿井涌水运至项目区周边绿化用水，即可合理利用水资源，又能有效的避免了矿井涌水漫流而影响到周边。</w:t>
      </w:r>
    </w:p>
    <w:p>
      <w:pPr>
        <w:adjustRightInd w:val="0"/>
        <w:snapToGrid w:val="0"/>
        <w:spacing w:line="360" w:lineRule="auto"/>
        <w:ind w:firstLine="480" w:firstLineChars="200"/>
        <w:rPr>
          <w:rFonts w:hint="default" w:ascii="Times New Roman" w:hAnsi="Times New Roman" w:cs="Times New Roman"/>
          <w:color w:val="auto"/>
          <w:sz w:val="24"/>
        </w:rPr>
      </w:pPr>
      <w:bookmarkStart w:id="974" w:name="_Toc24498_WPSOffice_Level2"/>
      <w:r>
        <w:rPr>
          <w:rFonts w:hint="default" w:ascii="Times New Roman" w:hAnsi="Times New Roman" w:cs="Times New Roman"/>
          <w:color w:val="auto"/>
          <w:sz w:val="24"/>
        </w:rPr>
        <w:t>（4）废石堆场淋液对地表水的影响</w:t>
      </w:r>
      <w:bookmarkEnd w:id="974"/>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露天堆放，在自然气候等因素影响下将会发生一些变化，废石经降水淋洗后，淋液可能影响水环境和土壤环境。由于本矿区干旱少雨，降水量远小于蒸发量，废石处置过程中淋溶水量极少，且废石为一般固废，通过在废石堆场拦渣坝外修建淋溶液收集池，经收集后用于废石堆场洒水降尘不外排，因此不会产生不利影响。</w:t>
      </w:r>
    </w:p>
    <w:p>
      <w:pPr>
        <w:adjustRightInd w:val="0"/>
        <w:snapToGrid w:val="0"/>
        <w:spacing w:line="360" w:lineRule="auto"/>
        <w:outlineLvl w:val="3"/>
        <w:rPr>
          <w:rFonts w:hint="default" w:ascii="Times New Roman" w:hAnsi="Times New Roman" w:cs="Times New Roman"/>
          <w:color w:val="auto"/>
          <w:sz w:val="24"/>
          <w:szCs w:val="22"/>
        </w:rPr>
      </w:pPr>
      <w:bookmarkStart w:id="975" w:name="_Toc7281"/>
      <w:bookmarkStart w:id="976" w:name="_Toc15357"/>
      <w:bookmarkStart w:id="977" w:name="_Toc6552"/>
      <w:bookmarkStart w:id="978" w:name="_Toc32384"/>
      <w:bookmarkStart w:id="979" w:name="_Toc7999081"/>
      <w:bookmarkStart w:id="980" w:name="_Toc17556_WPSOffice_Level1"/>
      <w:bookmarkStart w:id="981" w:name="_Toc17709449"/>
      <w:r>
        <w:rPr>
          <w:rFonts w:hint="default" w:ascii="Times New Roman" w:hAnsi="Times New Roman" w:cs="Times New Roman"/>
          <w:color w:val="auto"/>
          <w:sz w:val="24"/>
          <w:szCs w:val="22"/>
        </w:rPr>
        <w:t>5.2.2.6矿山运营期暴雨洪流对矿区水环境的影响</w:t>
      </w:r>
      <w:bookmarkEnd w:id="975"/>
      <w:bookmarkEnd w:id="976"/>
      <w:bookmarkEnd w:id="977"/>
      <w:bookmarkEnd w:id="978"/>
      <w:bookmarkEnd w:id="979"/>
      <w:bookmarkEnd w:id="980"/>
      <w:bookmarkEnd w:id="981"/>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发及正常生产条件下，废石的临时堆置场由于其相对松散，在雨季易受洪水冲刷，同时也是诱发泥石流的重要因素。另一方面，堆置在矿山仓库、生产区范围的各类物料，如出现灾害性的滑坡、地基沉陷，也极易受到冲刷，汇入表流或泥石流，成为影响下游水环境的污染隐患。</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区的气象资料，矿区年降雨量38.4mm，年蒸发量为3164.2mm，降雨量小，蒸发强烈，降水历时短，降雨强度不大，不具备形成泥石流灾害的水源条件，矿区山洪的发生几率很小，不易引发泥石流等地质灾害，对矿区水环境影响较小。另外，由于矿区内采矿工业场地、废石场等分散布置，汇水面积小，可降低洪水造成的影响。</w:t>
      </w:r>
    </w:p>
    <w:p>
      <w:pPr>
        <w:pStyle w:val="5"/>
        <w:tabs>
          <w:tab w:val="left" w:pos="567"/>
        </w:tabs>
        <w:adjustRightInd w:val="0"/>
        <w:snapToGrid w:val="0"/>
        <w:spacing w:before="0" w:after="0" w:line="360" w:lineRule="auto"/>
        <w:ind w:left="484" w:hanging="484" w:hangingChars="201"/>
        <w:rPr>
          <w:rFonts w:hint="default" w:ascii="Times New Roman" w:hAnsi="Times New Roman" w:cs="Times New Roman"/>
          <w:color w:val="auto"/>
          <w:sz w:val="24"/>
        </w:rPr>
      </w:pPr>
      <w:bookmarkStart w:id="982" w:name="_Toc14192"/>
      <w:bookmarkStart w:id="983" w:name="_Toc9637"/>
      <w:bookmarkStart w:id="984" w:name="_Toc4712"/>
      <w:bookmarkStart w:id="985" w:name="_Toc20769"/>
      <w:bookmarkStart w:id="986" w:name="_Toc7999082"/>
      <w:bookmarkStart w:id="987" w:name="_Toc11919_WPSOffice_Level2"/>
      <w:bookmarkStart w:id="988" w:name="_Toc17709450"/>
      <w:r>
        <w:rPr>
          <w:rFonts w:hint="default" w:ascii="Times New Roman" w:hAnsi="Times New Roman" w:cs="Times New Roman"/>
          <w:color w:val="auto"/>
          <w:sz w:val="24"/>
        </w:rPr>
        <w:t>5.2.3声环境影响分析</w:t>
      </w:r>
      <w:bookmarkEnd w:id="982"/>
      <w:bookmarkEnd w:id="983"/>
      <w:bookmarkEnd w:id="984"/>
      <w:bookmarkEnd w:id="985"/>
      <w:bookmarkEnd w:id="986"/>
      <w:bookmarkEnd w:id="987"/>
      <w:bookmarkEnd w:id="988"/>
    </w:p>
    <w:p>
      <w:pPr>
        <w:adjustRightInd w:val="0"/>
        <w:snapToGrid w:val="0"/>
        <w:spacing w:line="360" w:lineRule="auto"/>
        <w:outlineLvl w:val="3"/>
        <w:rPr>
          <w:rFonts w:hint="default" w:ascii="Times New Roman" w:hAnsi="Times New Roman" w:cs="Times New Roman"/>
          <w:color w:val="auto"/>
          <w:sz w:val="24"/>
          <w:szCs w:val="22"/>
        </w:rPr>
      </w:pPr>
      <w:bookmarkStart w:id="989" w:name="_Toc8880"/>
      <w:bookmarkStart w:id="990" w:name="_Toc66"/>
      <w:bookmarkStart w:id="991" w:name="_Toc7858"/>
      <w:bookmarkStart w:id="992" w:name="_Toc15119"/>
      <w:bookmarkStart w:id="993" w:name="_Toc7999083"/>
      <w:bookmarkStart w:id="994" w:name="_Toc17709451"/>
      <w:r>
        <w:rPr>
          <w:rFonts w:hint="default" w:ascii="Times New Roman" w:hAnsi="Times New Roman" w:cs="Times New Roman"/>
          <w:color w:val="auto"/>
          <w:sz w:val="24"/>
          <w:szCs w:val="22"/>
        </w:rPr>
        <w:t>5.2.3.1噪声源</w:t>
      </w:r>
      <w:bookmarkEnd w:id="989"/>
      <w:bookmarkEnd w:id="990"/>
      <w:bookmarkEnd w:id="991"/>
      <w:bookmarkEnd w:id="992"/>
      <w:bookmarkEnd w:id="993"/>
      <w:bookmarkEnd w:id="994"/>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本项目采取地下开采方式，井下主要是爆破、凿岩机、水泵，地面主要有空压机、风机、提升绞车以及运输车辆等产生的噪声，主要噪声源详见表5.2-10。</w:t>
      </w:r>
    </w:p>
    <w:p>
      <w:pPr>
        <w:ind w:firstLine="1995" w:firstLineChars="9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表5.2-10     噪声影响预测分析                单位：dB（A）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80"/>
        <w:gridCol w:w="1416"/>
        <w:gridCol w:w="1146"/>
        <w:gridCol w:w="1742"/>
        <w:gridCol w:w="1248"/>
        <w:gridCol w:w="14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环境要素</w:t>
            </w:r>
          </w:p>
        </w:tc>
        <w:tc>
          <w:tcPr>
            <w:tcW w:w="5552" w:type="dxa"/>
            <w:gridSpan w:val="4"/>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污染物种类</w:t>
            </w:r>
          </w:p>
        </w:tc>
        <w:tc>
          <w:tcPr>
            <w:tcW w:w="1488"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源强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4304" w:type="dxa"/>
            <w:gridSpan w:val="3"/>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污染源</w:t>
            </w:r>
          </w:p>
        </w:tc>
        <w:tc>
          <w:tcPr>
            <w:tcW w:w="1248"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1488" w:type="dxa"/>
            <w:vMerge w:val="continue"/>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41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场外</w:t>
            </w:r>
          </w:p>
        </w:tc>
        <w:tc>
          <w:tcPr>
            <w:tcW w:w="114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原矿运输</w:t>
            </w:r>
          </w:p>
        </w:tc>
        <w:tc>
          <w:tcPr>
            <w:tcW w:w="1742"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地表（露天）</w:t>
            </w:r>
          </w:p>
        </w:tc>
        <w:tc>
          <w:tcPr>
            <w:tcW w:w="1248"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488"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416"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采场</w:t>
            </w:r>
          </w:p>
        </w:tc>
        <w:tc>
          <w:tcPr>
            <w:tcW w:w="114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爆破</w:t>
            </w:r>
          </w:p>
        </w:tc>
        <w:tc>
          <w:tcPr>
            <w:tcW w:w="1742"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地下</w:t>
            </w:r>
          </w:p>
        </w:tc>
        <w:tc>
          <w:tcPr>
            <w:tcW w:w="1248" w:type="dxa"/>
            <w:vMerge w:val="continue"/>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p>
        </w:tc>
        <w:tc>
          <w:tcPr>
            <w:tcW w:w="1488"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416"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14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提升机</w:t>
            </w:r>
          </w:p>
        </w:tc>
        <w:tc>
          <w:tcPr>
            <w:tcW w:w="1742"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地表（室内）</w:t>
            </w:r>
          </w:p>
        </w:tc>
        <w:tc>
          <w:tcPr>
            <w:tcW w:w="1248" w:type="dxa"/>
            <w:vMerge w:val="continue"/>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p>
        </w:tc>
        <w:tc>
          <w:tcPr>
            <w:tcW w:w="1488"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416"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14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空压机</w:t>
            </w:r>
          </w:p>
        </w:tc>
        <w:tc>
          <w:tcPr>
            <w:tcW w:w="1742"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地表（室内）</w:t>
            </w:r>
          </w:p>
        </w:tc>
        <w:tc>
          <w:tcPr>
            <w:tcW w:w="1248" w:type="dxa"/>
            <w:vMerge w:val="continue"/>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p>
        </w:tc>
        <w:tc>
          <w:tcPr>
            <w:tcW w:w="1488"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280"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416"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114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通风机</w:t>
            </w:r>
          </w:p>
        </w:tc>
        <w:tc>
          <w:tcPr>
            <w:tcW w:w="1742"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地表（室内）</w:t>
            </w:r>
          </w:p>
        </w:tc>
        <w:tc>
          <w:tcPr>
            <w:tcW w:w="1248" w:type="dxa"/>
            <w:vMerge w:val="continue"/>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p>
        </w:tc>
        <w:tc>
          <w:tcPr>
            <w:tcW w:w="1488"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r>
    </w:tbl>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此外，爆破振动也会带来不良影响，炸药爆破时先后产生冲击波、应力波和地震波，爆破震动的危害主要是使爆区周围的建筑物受损坏，并使人产生烦躁不安等不良影响。</w:t>
      </w:r>
    </w:p>
    <w:p>
      <w:pPr>
        <w:adjustRightInd w:val="0"/>
        <w:snapToGrid w:val="0"/>
        <w:spacing w:line="360" w:lineRule="auto"/>
        <w:outlineLvl w:val="3"/>
        <w:rPr>
          <w:rFonts w:hint="default" w:ascii="Times New Roman" w:hAnsi="Times New Roman" w:cs="Times New Roman"/>
          <w:color w:val="auto"/>
          <w:sz w:val="24"/>
          <w:szCs w:val="22"/>
        </w:rPr>
      </w:pPr>
      <w:bookmarkStart w:id="995" w:name="_Toc711"/>
      <w:bookmarkStart w:id="996" w:name="_Toc4643"/>
      <w:bookmarkStart w:id="997" w:name="_Toc28177"/>
      <w:bookmarkStart w:id="998" w:name="_Toc11460"/>
      <w:bookmarkStart w:id="999" w:name="_Toc7999084"/>
      <w:bookmarkStart w:id="1000" w:name="_Toc17709452"/>
      <w:r>
        <w:rPr>
          <w:rFonts w:hint="default" w:ascii="Times New Roman" w:hAnsi="Times New Roman" w:cs="Times New Roman"/>
          <w:color w:val="auto"/>
          <w:sz w:val="24"/>
          <w:szCs w:val="22"/>
        </w:rPr>
        <w:t>5.2.3.2交通运输噪声影响分析</w:t>
      </w:r>
      <w:bookmarkEnd w:id="995"/>
      <w:bookmarkEnd w:id="996"/>
      <w:bookmarkEnd w:id="997"/>
      <w:bookmarkEnd w:id="998"/>
      <w:bookmarkEnd w:id="999"/>
      <w:bookmarkEnd w:id="1000"/>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建设项目所产矿石全部采用汽车外运。按年工作制度250d 计算，矿石日运量约240t/d。运输车辆按平均载重20t，共4辆矿车，日运矿时间以4h，夜间不运输计。根据类比资料，时速为20km/h 的运输车辆平均噪声级在75.6dB(A)左右。</w:t>
      </w:r>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（1）预测模式</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本评价次预测模式选择《环境影响评价技术导则  声环境》(HJ2.4-2009)所列预测模式：</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Ⅰ第i类车灯脚升级的预测模式：</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57775" cy="553085"/>
            <wp:effectExtent l="0" t="0" r="9525" b="18415"/>
            <wp:docPr id="78" name="图片 8" descr="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1 拷贝"/>
                    <pic:cNvPicPr>
                      <a:picLocks noChangeAspect="1"/>
                    </pic:cNvPicPr>
                  </pic:nvPicPr>
                  <pic:blipFill>
                    <a:blip r:embed="rId35"/>
                    <a:stretch>
                      <a:fillRect/>
                    </a:stretch>
                  </pic:blipFill>
                  <pic:spPr>
                    <a:xfrm>
                      <a:off x="0" y="0"/>
                      <a:ext cx="5057775" cy="553085"/>
                    </a:xfrm>
                    <a:prstGeom prst="rect">
                      <a:avLst/>
                    </a:prstGeom>
                    <a:noFill/>
                    <a:ln>
                      <a:noFill/>
                    </a:ln>
                  </pic:spPr>
                </pic:pic>
              </a:graphicData>
            </a:graphic>
          </wp:inline>
        </w:drawing>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式中：Leq(h)i——第i类车的小时等效声级，dB(A);</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oE</w:t>
      </w:r>
      <w:r>
        <w:rPr>
          <w:rFonts w:hint="default" w:ascii="Times New Roman" w:hAnsi="Times New Roman" w:cs="Times New Roman"/>
          <w:color w:val="auto"/>
          <w:sz w:val="24"/>
          <w:szCs w:val="24"/>
        </w:rPr>
        <w:t>)i——第i类车速位Vi，km/h；水平距离为7.5m处的能量平均A声级，dB(A)；</w:t>
      </w:r>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Ni——昼间，夜间通过某个预测点的第i类车平均小时车流量，辆/h；</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r——从车道红心先到预测点的距离，m，(r＞7.5)；</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Vi——第i类车的平均车速，km/h；</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T——计算等效声级的时间，1h；</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170180" cy="212725"/>
            <wp:effectExtent l="0" t="0" r="1270" b="17145"/>
            <wp:docPr id="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pic:cNvPicPr>
                      <a:picLocks noChangeAspect="1"/>
                    </pic:cNvPicPr>
                  </pic:nvPicPr>
                  <pic:blipFill>
                    <a:blip r:embed="rId36"/>
                    <a:stretch>
                      <a:fillRect/>
                    </a:stretch>
                  </pic:blipFill>
                  <pic:spPr>
                    <a:xfrm>
                      <a:off x="0" y="0"/>
                      <a:ext cx="170180" cy="212725"/>
                    </a:xfrm>
                    <a:prstGeom prst="rect">
                      <a:avLst/>
                    </a:prstGeom>
                    <a:noFill/>
                    <a:ln>
                      <a:noFill/>
                    </a:ln>
                  </pic:spPr>
                </pic:pic>
              </a:graphicData>
            </a:graphic>
          </wp:inline>
        </w:drawing>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drawing>
          <wp:inline distT="0" distB="0" distL="114300" distR="114300">
            <wp:extent cx="201930" cy="212725"/>
            <wp:effectExtent l="0" t="0" r="7620" b="17145"/>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37"/>
                    <a:stretch>
                      <a:fillRect/>
                    </a:stretch>
                  </pic:blipFill>
                  <pic:spPr>
                    <a:xfrm>
                      <a:off x="0" y="0"/>
                      <a:ext cx="201930" cy="212725"/>
                    </a:xfrm>
                    <a:prstGeom prst="rect">
                      <a:avLst/>
                    </a:prstGeom>
                    <a:noFill/>
                    <a:ln>
                      <a:noFill/>
                    </a:ln>
                  </pic:spPr>
                </pic:pic>
              </a:graphicData>
            </a:graphic>
          </wp:inline>
        </w:drawing>
      </w:r>
      <w:r>
        <w:rPr>
          <w:rFonts w:hint="default" w:ascii="Times New Roman" w:hAnsi="Times New Roman" w:cs="Times New Roman"/>
          <w:color w:val="auto"/>
          <w:sz w:val="24"/>
          <w:szCs w:val="24"/>
        </w:rPr>
        <w:t>—预测点到有限长路段两段的张角，弧度；</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△L——由其他因素引起的修正量，dB(A)。</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Ⅱ总车流等效声级为：</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Leq(T)=10lg(10</w:t>
      </w:r>
      <w:r>
        <w:rPr>
          <w:rFonts w:hint="default" w:ascii="Times New Roman" w:hAnsi="Times New Roman" w:cs="Times New Roman"/>
          <w:color w:val="auto"/>
          <w:sz w:val="24"/>
          <w:szCs w:val="24"/>
          <w:vertAlign w:val="superscript"/>
        </w:rPr>
        <w:t>0.1Leq（h）大</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0.1Leq（h）中</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0.1Leq（h）小</w:t>
      </w:r>
      <w:r>
        <w:rPr>
          <w:rFonts w:hint="default" w:ascii="Times New Roman" w:hAnsi="Times New Roman" w:cs="Times New Roman"/>
          <w:color w:val="auto"/>
          <w:sz w:val="24"/>
          <w:szCs w:val="24"/>
        </w:rPr>
        <w:t>)</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（2）预测内容</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本次噪声预测包括运输道路旁的10m和50m处在车速20km/h的噪声值。</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（3）预测结果</w:t>
      </w:r>
    </w:p>
    <w:p>
      <w:pPr>
        <w:pStyle w:val="19"/>
        <w:spacing w:line="360" w:lineRule="auto"/>
        <w:ind w:firstLine="480"/>
        <w:rPr>
          <w:rFonts w:hint="default" w:ascii="Times New Roman" w:hAnsi="Times New Roman" w:eastAsia="黑体" w:cs="Times New Roman"/>
          <w:color w:val="auto"/>
          <w:sz w:val="24"/>
        </w:rPr>
      </w:pPr>
      <w:r>
        <w:rPr>
          <w:rFonts w:hint="default" w:ascii="Times New Roman" w:hAnsi="Times New Roman" w:cs="Times New Roman"/>
          <w:color w:val="auto"/>
          <w:sz w:val="24"/>
          <w:szCs w:val="24"/>
        </w:rPr>
        <w:t>根据上述公式计算得到运输公路噪声预测结果见表5.2-11。</w:t>
      </w:r>
    </w:p>
    <w:p>
      <w:pPr>
        <w:spacing w:before="156" w:beforeLines="50"/>
        <w:ind w:firstLine="2100" w:firstLineChars="10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表5.2-11    噪声影响预测分析              单位：dB（A）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711"/>
        <w:gridCol w:w="2976"/>
        <w:gridCol w:w="1985"/>
        <w:gridCol w:w="16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711"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w:t>
            </w:r>
          </w:p>
        </w:tc>
        <w:tc>
          <w:tcPr>
            <w:tcW w:w="297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预测范围</w:t>
            </w:r>
          </w:p>
        </w:tc>
        <w:tc>
          <w:tcPr>
            <w:tcW w:w="198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昼间噪声预测值</w:t>
            </w:r>
          </w:p>
        </w:tc>
        <w:tc>
          <w:tcPr>
            <w:tcW w:w="165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评价标准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711"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敏感点等效声级（20km/h）</w:t>
            </w:r>
          </w:p>
        </w:tc>
        <w:tc>
          <w:tcPr>
            <w:tcW w:w="297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公路中心线两侧10m（运矿路旁）</w:t>
            </w:r>
          </w:p>
        </w:tc>
        <w:tc>
          <w:tcPr>
            <w:tcW w:w="198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48.1</w:t>
            </w:r>
          </w:p>
        </w:tc>
        <w:tc>
          <w:tcPr>
            <w:tcW w:w="165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昼间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0" w:hRule="atLeast"/>
          <w:jc w:val="center"/>
        </w:trPr>
        <w:tc>
          <w:tcPr>
            <w:tcW w:w="1711" w:type="dxa"/>
            <w:vMerge w:val="continue"/>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p>
        </w:tc>
        <w:tc>
          <w:tcPr>
            <w:tcW w:w="297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公路中心线两侧50m（运矿路旁）</w:t>
            </w:r>
          </w:p>
        </w:tc>
        <w:tc>
          <w:tcPr>
            <w:tcW w:w="198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41</w:t>
            </w:r>
          </w:p>
        </w:tc>
        <w:tc>
          <w:tcPr>
            <w:tcW w:w="165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60dB</w:t>
            </w:r>
          </w:p>
        </w:tc>
      </w:tr>
    </w:tbl>
    <w:p>
      <w:pPr>
        <w:spacing w:line="360" w:lineRule="auto"/>
        <w:rPr>
          <w:rFonts w:hint="default" w:ascii="Times New Roman" w:hAnsi="Times New Roman" w:cs="Times New Roman"/>
          <w:color w:val="auto"/>
          <w:sz w:val="24"/>
        </w:rPr>
      </w:pPr>
      <w:bookmarkStart w:id="1001" w:name="_Toc3054"/>
      <w:bookmarkStart w:id="1002" w:name="_Toc966"/>
      <w:r>
        <w:rPr>
          <w:rFonts w:hint="default" w:ascii="Times New Roman" w:hAnsi="Times New Roman" w:cs="Times New Roman"/>
          <w:color w:val="auto"/>
          <w:sz w:val="24"/>
        </w:rPr>
        <w:t>*夜间按不运输计算。</w:t>
      </w:r>
      <w:bookmarkEnd w:id="1001"/>
      <w:bookmarkEnd w:id="1002"/>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在不考虑高程差的情况下，从预测结果来看，在没有设置减速路障，行车速度在20km/h的情况下，公路两侧10m距离昼间可以满足2类区标准要求。</w:t>
      </w:r>
    </w:p>
    <w:p>
      <w:pPr>
        <w:adjustRightInd w:val="0"/>
        <w:snapToGrid w:val="0"/>
        <w:spacing w:line="360" w:lineRule="auto"/>
        <w:outlineLvl w:val="3"/>
        <w:rPr>
          <w:rFonts w:hint="default" w:ascii="Times New Roman" w:hAnsi="Times New Roman" w:cs="Times New Roman"/>
          <w:color w:val="auto"/>
          <w:sz w:val="24"/>
          <w:szCs w:val="22"/>
        </w:rPr>
      </w:pPr>
      <w:bookmarkStart w:id="1003" w:name="_Toc1894"/>
      <w:bookmarkStart w:id="1004" w:name="_Toc21433"/>
      <w:bookmarkStart w:id="1005" w:name="_Toc23018"/>
      <w:bookmarkStart w:id="1006" w:name="_Toc2649"/>
      <w:bookmarkStart w:id="1007" w:name="_Toc7999085"/>
      <w:bookmarkStart w:id="1008" w:name="_Toc17709453"/>
      <w:r>
        <w:rPr>
          <w:rFonts w:hint="default" w:ascii="Times New Roman" w:hAnsi="Times New Roman" w:cs="Times New Roman"/>
          <w:color w:val="auto"/>
          <w:sz w:val="24"/>
          <w:szCs w:val="22"/>
        </w:rPr>
        <w:t>5.2.3.3工业场地噪声影响预测</w:t>
      </w:r>
      <w:bookmarkEnd w:id="1003"/>
      <w:bookmarkEnd w:id="1004"/>
      <w:bookmarkEnd w:id="1005"/>
      <w:bookmarkEnd w:id="1006"/>
      <w:bookmarkEnd w:id="1007"/>
      <w:bookmarkEnd w:id="1008"/>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本项目对周边声环境的影响主要来自空压机、提升机、通风机等地表设备的作业噪声，本次环评重点针对地表设备进行预测，分析其对矿区周边区域的环境影响。</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（1）预测模式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本次环评采用《环境影响评价技术导则  声环境》（HJ2.4—2009）中预测点的预测等效声级计算公式，分别预测各声环境保护目标的噪声值（Leq）。</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①声级的计算</w:t>
      </w:r>
    </w:p>
    <w:p>
      <w:pPr>
        <w:autoSpaceDE w:val="0"/>
        <w:autoSpaceDN w:val="0"/>
        <w:spacing w:line="360" w:lineRule="auto"/>
        <w:ind w:firstLine="560"/>
        <w:rPr>
          <w:rFonts w:hint="default" w:ascii="Times New Roman" w:hAnsi="Times New Roman" w:cs="Times New Roman"/>
          <w:color w:val="auto"/>
          <w:sz w:val="24"/>
        </w:rPr>
      </w:pPr>
      <w:r>
        <w:rPr>
          <w:rFonts w:hint="default" w:ascii="Times New Roman" w:hAnsi="Times New Roman" w:cs="Times New Roman"/>
          <w:color w:val="auto"/>
          <w:sz w:val="24"/>
        </w:rPr>
        <w:t>a、建设项目声源在预测点产生的等效声级贡献值（Leqg）计算公式：</w:t>
      </w:r>
    </w:p>
    <w:p>
      <w:pPr>
        <w:spacing w:line="480" w:lineRule="auto"/>
        <w:ind w:firstLine="482"/>
        <w:jc w:val="center"/>
        <w:rPr>
          <w:rFonts w:hint="default" w:ascii="Times New Roman" w:hAnsi="Times New Roman" w:cs="Times New Roman"/>
          <w:color w:val="auto"/>
          <w:sz w:val="24"/>
        </w:rPr>
      </w:pPr>
      <w:r>
        <w:rPr>
          <w:rFonts w:hint="default" w:ascii="Times New Roman" w:hAnsi="Times New Roman" w:cs="Times New Roman"/>
          <w:color w:val="auto"/>
          <w:sz w:val="24"/>
        </w:rPr>
        <w:object>
          <v:shape id="_x0000_i1040" o:spt="75" type="#_x0000_t75" style="height:36pt;width:129.7pt;" o:ole="t" filled="f" o:preferrelative="t" stroked="f" coordsize="21600,21600">
            <v:path/>
            <v:fill on="f" focussize="0,0"/>
            <v:stroke on="f"/>
            <v:imagedata r:id="rId39" o:title=""/>
            <o:lock v:ext="edit" aspectratio="t"/>
            <w10:wrap type="none"/>
            <w10:anchorlock/>
          </v:shape>
          <o:OLEObject Type="Embed" ProgID="Equation.3" ShapeID="_x0000_i1040" DrawAspect="Content" ObjectID="_1468075733" r:id="rId38">
            <o:LockedField>false</o:LockedField>
          </o:OLEObject>
        </w:object>
      </w:r>
    </w:p>
    <w:p>
      <w:pPr>
        <w:autoSpaceDE w:val="0"/>
        <w:autoSpaceDN w:val="0"/>
        <w:spacing w:line="360" w:lineRule="auto"/>
        <w:ind w:firstLine="56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—建设项目声源在预测点的等效声级贡献值，dB（A）；</w:t>
      </w:r>
    </w:p>
    <w:p>
      <w:pPr>
        <w:autoSpaceDE w:val="0"/>
        <w:autoSpaceDN w:val="0"/>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—i声源在预测点产生的A声级，dB（A）；</w:t>
      </w:r>
    </w:p>
    <w:p>
      <w:pPr>
        <w:autoSpaceDE w:val="0"/>
        <w:autoSpaceDN w:val="0"/>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T—预测计算的时间段，s；</w:t>
      </w:r>
    </w:p>
    <w:p>
      <w:pPr>
        <w:autoSpaceDE w:val="0"/>
        <w:autoSpaceDN w:val="0"/>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—i声源在T时间段内的运行时间，s。</w:t>
      </w:r>
    </w:p>
    <w:p>
      <w:pPr>
        <w:autoSpaceDE w:val="0"/>
        <w:autoSpaceDN w:val="0"/>
        <w:spacing w:line="360" w:lineRule="auto"/>
        <w:ind w:firstLine="560"/>
        <w:rPr>
          <w:rFonts w:hint="default" w:ascii="Times New Roman" w:hAnsi="Times New Roman" w:cs="Times New Roman"/>
          <w:color w:val="auto"/>
          <w:sz w:val="24"/>
        </w:rPr>
      </w:pPr>
      <w:r>
        <w:rPr>
          <w:rFonts w:hint="default" w:ascii="Times New Roman" w:hAnsi="Times New Roman" w:cs="Times New Roman"/>
          <w:color w:val="auto"/>
          <w:sz w:val="24"/>
        </w:rPr>
        <w:t>b、预测点的预测等效声级（Leq）计算公式：</w:t>
      </w:r>
    </w:p>
    <w:p>
      <w:pPr>
        <w:spacing w:line="480" w:lineRule="auto"/>
        <w:ind w:firstLine="482"/>
        <w:jc w:val="center"/>
        <w:rPr>
          <w:rFonts w:hint="default" w:ascii="Times New Roman" w:hAnsi="Times New Roman" w:cs="Times New Roman"/>
          <w:color w:val="auto"/>
          <w:sz w:val="24"/>
        </w:rPr>
      </w:pPr>
      <w:r>
        <w:rPr>
          <w:rFonts w:hint="default" w:ascii="Times New Roman" w:hAnsi="Times New Roman" w:cs="Times New Roman"/>
          <w:color w:val="auto"/>
          <w:sz w:val="24"/>
        </w:rPr>
        <w:object>
          <v:shape id="_x0000_i1041" o:spt="75" type="#_x0000_t75" style="height:21pt;width:138.7pt;" o:ole="t" filled="f" o:preferrelative="t" stroked="f" coordsize="21600,21600">
            <v:path/>
            <v:fill on="f" focussize="0,0"/>
            <v:stroke on="f"/>
            <v:imagedata r:id="rId41" o:title=""/>
            <o:lock v:ext="edit" aspectratio="t"/>
            <w10:wrap type="none"/>
            <w10:anchorlock/>
          </v:shape>
          <o:OLEObject Type="Embed" ProgID="Equation.3" ShapeID="_x0000_i1041" DrawAspect="Content" ObjectID="_1468075734" r:id="rId40">
            <o:LockedField>false</o:LockedField>
          </o:OLEObject>
        </w:object>
      </w:r>
    </w:p>
    <w:p>
      <w:pPr>
        <w:autoSpaceDE w:val="0"/>
        <w:autoSpaceDN w:val="0"/>
        <w:spacing w:line="360" w:lineRule="auto"/>
        <w:ind w:firstLine="560"/>
        <w:rPr>
          <w:rFonts w:hint="default" w:ascii="Times New Roman" w:hAnsi="Times New Roman" w:cs="Times New Roman"/>
          <w:color w:val="auto"/>
          <w:sz w:val="24"/>
        </w:rPr>
      </w:pPr>
      <w:r>
        <w:rPr>
          <w:rFonts w:hint="default" w:ascii="Times New Roman" w:hAnsi="Times New Roman" w:cs="Times New Roman"/>
          <w:color w:val="auto"/>
          <w:sz w:val="24"/>
        </w:rPr>
        <w:t>式中：Leqg—建设项目声源在预测点的等效声级贡献值，dB（A）；</w:t>
      </w:r>
    </w:p>
    <w:p>
      <w:pPr>
        <w:autoSpaceDE w:val="0"/>
        <w:autoSpaceDN w:val="0"/>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Leqb—预测点的背景值，dB（A）。</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rPr>
        <w:t>②</w:t>
      </w:r>
      <w:r>
        <w:rPr>
          <w:rFonts w:hint="default" w:ascii="Times New Roman" w:hAnsi="Times New Roman" w:cs="Times New Roman"/>
          <w:color w:val="auto"/>
          <w:sz w:val="24"/>
          <w:szCs w:val="24"/>
        </w:rPr>
        <w:t>室外单个点声源在预测点的A声级LA(r)按下式估算：</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 xml:space="preserve">     LA(r)=LA(r0)-A</w:t>
      </w:r>
    </w:p>
    <w:p>
      <w:pPr>
        <w:pStyle w:val="19"/>
        <w:spacing w:line="360" w:lineRule="auto"/>
        <w:ind w:firstLine="1893" w:firstLineChars="78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A=Adiv+Aatm+Agr+Abar+Amisc</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A——倍频带衰减，dB；</w:t>
      </w:r>
    </w:p>
    <w:p>
      <w:pPr>
        <w:pStyle w:val="19"/>
        <w:spacing w:line="360" w:lineRule="auto"/>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Adiv——几何发散引起的倍频带衰减，Adiv=20lg(r/r0)，dB；</w:t>
      </w:r>
    </w:p>
    <w:p>
      <w:pPr>
        <w:pStyle w:val="19"/>
        <w:spacing w:line="360" w:lineRule="auto"/>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Aatm——大气吸收吸收的倍频带衰减，dB；</w:t>
      </w:r>
    </w:p>
    <w:p>
      <w:pPr>
        <w:pStyle w:val="19"/>
        <w:spacing w:line="360" w:lineRule="auto"/>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Agr——地面效应引起的倍频带衰减，dB；</w:t>
      </w:r>
    </w:p>
    <w:p>
      <w:pPr>
        <w:pStyle w:val="19"/>
        <w:spacing w:line="360" w:lineRule="auto"/>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Abar——声屏障引起的倍频带衰减，dB；</w:t>
      </w:r>
    </w:p>
    <w:p>
      <w:pPr>
        <w:pStyle w:val="19"/>
        <w:spacing w:line="360" w:lineRule="auto"/>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Amisc——其他多方面效应引起的倍频带衰减，dB。</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rPr>
        <w:t>③</w:t>
      </w:r>
      <w:r>
        <w:rPr>
          <w:rFonts w:hint="default" w:ascii="Times New Roman" w:hAnsi="Times New Roman" w:cs="Times New Roman"/>
          <w:color w:val="auto"/>
          <w:sz w:val="24"/>
          <w:szCs w:val="24"/>
        </w:rPr>
        <w:t>室内声源等效室外声源声功率级计算方法</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声源位于室内，室内声源可采用等效室外声源声功率级法进行计算。</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设靠近开口处(或窗户)室内、室外某倍频带的声压级分别为Lp1和Lp2。声源所在室内声场为近似扩散声场，其室外的倍频带声压级可按以下近似公式计算：</w:t>
      </w:r>
    </w:p>
    <w:p>
      <w:pPr>
        <w:pStyle w:val="19"/>
        <w:spacing w:line="360" w:lineRule="auto"/>
        <w:ind w:firstLine="2520" w:firstLineChars="10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Lp2=Lp1-(TL+6)</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式中：TL——隔墙(或窗户)倍频带的隔声量，dB；</w:t>
      </w:r>
    </w:p>
    <w:p>
      <w:pPr>
        <w:pStyle w:val="19"/>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Lp1——室内声源靠近围护结构处产生的倍频带声压级，dB。</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rPr>
        <w:t>④</w:t>
      </w:r>
      <w:r>
        <w:rPr>
          <w:rFonts w:hint="default" w:ascii="Times New Roman" w:hAnsi="Times New Roman" w:cs="Times New Roman"/>
          <w:color w:val="auto"/>
          <w:sz w:val="24"/>
          <w:szCs w:val="24"/>
        </w:rPr>
        <w:t>预测参数的确定</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噪声源衰减量包括遮挡物衰减量、空气吸收衰减量、地面效应引起的衰减量，其中主要为遮挡物衰减量。空气和地面引起的衰减量与距离衰减相比很小，故预测只考虑设备降噪和厂房围护结构引起的衰减量，其衰减量通过估算得到。</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（2）预测结果及评价</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利用以上预测公式，使噪声源通过等效变换成若干等效声源，然后计算出与噪声源不同距离处的理论噪声值，再与现状监测值叠加，得出设备运行时对矿界噪声环境的影响状况，计算结果见表5.2-13。</w:t>
      </w:r>
    </w:p>
    <w:p>
      <w:pPr>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表5.2-13  设备噪声对环境的影响距离预测         单位：dB（A）</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16"/>
        <w:gridCol w:w="693"/>
        <w:gridCol w:w="556"/>
        <w:gridCol w:w="832"/>
        <w:gridCol w:w="692"/>
        <w:gridCol w:w="832"/>
        <w:gridCol w:w="690"/>
        <w:gridCol w:w="690"/>
        <w:gridCol w:w="833"/>
        <w:gridCol w:w="599"/>
        <w:gridCol w:w="7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8" w:hRule="atLeast"/>
          <w:jc w:val="center"/>
        </w:trPr>
        <w:tc>
          <w:tcPr>
            <w:tcW w:w="111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与矿区噪声源距离（m）</w:t>
            </w:r>
          </w:p>
        </w:tc>
        <w:tc>
          <w:tcPr>
            <w:tcW w:w="69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10m</w:t>
            </w:r>
          </w:p>
        </w:tc>
        <w:tc>
          <w:tcPr>
            <w:tcW w:w="55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25m</w:t>
            </w:r>
          </w:p>
        </w:tc>
        <w:tc>
          <w:tcPr>
            <w:tcW w:w="83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50m</w:t>
            </w:r>
          </w:p>
        </w:tc>
        <w:tc>
          <w:tcPr>
            <w:tcW w:w="69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70m</w:t>
            </w:r>
          </w:p>
        </w:tc>
        <w:tc>
          <w:tcPr>
            <w:tcW w:w="83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p>
        </w:tc>
        <w:tc>
          <w:tcPr>
            <w:tcW w:w="690"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200m</w:t>
            </w:r>
          </w:p>
        </w:tc>
        <w:tc>
          <w:tcPr>
            <w:tcW w:w="690"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300m</w:t>
            </w:r>
          </w:p>
        </w:tc>
        <w:tc>
          <w:tcPr>
            <w:tcW w:w="83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500m</w:t>
            </w:r>
          </w:p>
        </w:tc>
        <w:tc>
          <w:tcPr>
            <w:tcW w:w="599"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1000m</w:t>
            </w:r>
          </w:p>
        </w:tc>
        <w:tc>
          <w:tcPr>
            <w:tcW w:w="79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8" w:hRule="atLeast"/>
          <w:jc w:val="center"/>
        </w:trPr>
        <w:tc>
          <w:tcPr>
            <w:tcW w:w="1116" w:type="dxa"/>
            <w:tcBorders>
              <w:tl2br w:val="nil"/>
              <w:tr2bl w:val="nil"/>
            </w:tcBorders>
            <w:noWrap w:val="0"/>
            <w:vAlign w:val="top"/>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影响值</w:t>
            </w:r>
          </w:p>
        </w:tc>
        <w:tc>
          <w:tcPr>
            <w:tcW w:w="69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71.6</w:t>
            </w:r>
          </w:p>
        </w:tc>
        <w:tc>
          <w:tcPr>
            <w:tcW w:w="556"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63.6</w:t>
            </w:r>
          </w:p>
        </w:tc>
        <w:tc>
          <w:tcPr>
            <w:tcW w:w="83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57.6</w:t>
            </w:r>
          </w:p>
        </w:tc>
        <w:tc>
          <w:tcPr>
            <w:tcW w:w="69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54.7</w:t>
            </w:r>
          </w:p>
        </w:tc>
        <w:tc>
          <w:tcPr>
            <w:tcW w:w="83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51.6</w:t>
            </w:r>
          </w:p>
        </w:tc>
        <w:tc>
          <w:tcPr>
            <w:tcW w:w="690"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48.1</w:t>
            </w:r>
          </w:p>
        </w:tc>
        <w:tc>
          <w:tcPr>
            <w:tcW w:w="690"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42.1</w:t>
            </w:r>
          </w:p>
        </w:tc>
        <w:tc>
          <w:tcPr>
            <w:tcW w:w="83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39</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6</w:t>
            </w:r>
          </w:p>
        </w:tc>
        <w:tc>
          <w:tcPr>
            <w:tcW w:w="599"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31.6</w:t>
            </w:r>
          </w:p>
        </w:tc>
        <w:tc>
          <w:tcPr>
            <w:tcW w:w="795"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29.3</w:t>
            </w:r>
          </w:p>
        </w:tc>
      </w:tr>
    </w:tbl>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预测结果可以看出，本项目建成后，各声源噪声经叠加衰减后，其影响值昼间在50m范围内，夜间在200m范围内低于《工业企业厂界环境噪声排放标准》(GB12348-2008)中2类标准，项目区周边无声环境敏感目标，项目生产设备噪声对矿区及周边环境影响较小。受运营期噪声影响的主要为工业场地作业人员，由于强噪声源均位于室内，工人一般不近机操作，因此受影响不大。</w:t>
      </w:r>
    </w:p>
    <w:p>
      <w:pPr>
        <w:adjustRightInd w:val="0"/>
        <w:snapToGrid w:val="0"/>
        <w:spacing w:line="360" w:lineRule="auto"/>
        <w:outlineLvl w:val="3"/>
        <w:rPr>
          <w:rFonts w:hint="default" w:ascii="Times New Roman" w:hAnsi="Times New Roman" w:cs="Times New Roman"/>
          <w:color w:val="auto"/>
          <w:sz w:val="24"/>
          <w:szCs w:val="22"/>
        </w:rPr>
      </w:pPr>
      <w:bookmarkStart w:id="1009" w:name="_Toc22179"/>
      <w:bookmarkStart w:id="1010" w:name="_Toc25917"/>
      <w:bookmarkStart w:id="1011" w:name="_Toc9325"/>
      <w:bookmarkStart w:id="1012" w:name="_Toc21996"/>
      <w:bookmarkStart w:id="1013" w:name="_Toc7999086"/>
      <w:bookmarkStart w:id="1014" w:name="_Toc17709454"/>
      <w:r>
        <w:rPr>
          <w:rFonts w:hint="default" w:ascii="Times New Roman" w:hAnsi="Times New Roman" w:cs="Times New Roman"/>
          <w:color w:val="auto"/>
          <w:sz w:val="24"/>
          <w:szCs w:val="22"/>
        </w:rPr>
        <w:t>5.2.3.4声环境影响评价结论</w:t>
      </w:r>
      <w:bookmarkEnd w:id="1009"/>
      <w:bookmarkEnd w:id="1010"/>
      <w:bookmarkEnd w:id="1011"/>
      <w:bookmarkEnd w:id="1012"/>
      <w:bookmarkEnd w:id="1013"/>
      <w:bookmarkEnd w:id="1014"/>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由噪声源影响预测结果可知：本项目通过对各装置采取降噪减振措施后， 正常工况下工业广场内部产生的噪声经过房屋屏蔽、距离衰减以及消声器作用，使矿界的昼夜噪声叠加值均满足《工业企业厂界环境噪声排放标准》(GB12348-2008)中的2类功能区标准限值，对矿界外声环境影响不大。</w:t>
      </w:r>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项目区周边1.5km范围内无集中或分散居住区，本项目建成前后受影响人口没有发生显著变化。</w:t>
      </w:r>
    </w:p>
    <w:p>
      <w:pPr>
        <w:adjustRightInd w:val="0"/>
        <w:snapToGrid w:val="0"/>
        <w:spacing w:line="360" w:lineRule="auto"/>
        <w:outlineLvl w:val="3"/>
        <w:rPr>
          <w:rFonts w:hint="default" w:ascii="Times New Roman" w:hAnsi="Times New Roman" w:cs="Times New Roman"/>
          <w:color w:val="auto"/>
          <w:sz w:val="24"/>
          <w:szCs w:val="22"/>
        </w:rPr>
      </w:pPr>
      <w:bookmarkStart w:id="1015" w:name="_Toc20657"/>
      <w:bookmarkStart w:id="1016" w:name="_Toc7365"/>
      <w:bookmarkStart w:id="1017" w:name="_Toc1772"/>
      <w:bookmarkStart w:id="1018" w:name="_Toc4330"/>
      <w:bookmarkStart w:id="1019" w:name="_Toc7999087"/>
      <w:bookmarkStart w:id="1020" w:name="_Toc17709455"/>
      <w:r>
        <w:rPr>
          <w:rFonts w:hint="default" w:ascii="Times New Roman" w:hAnsi="Times New Roman" w:cs="Times New Roman"/>
          <w:color w:val="auto"/>
          <w:sz w:val="24"/>
          <w:szCs w:val="22"/>
        </w:rPr>
        <w:t>5.2.3.5机械振动环境影响分析</w:t>
      </w:r>
      <w:bookmarkEnd w:id="1015"/>
      <w:bookmarkEnd w:id="1016"/>
      <w:bookmarkEnd w:id="1017"/>
      <w:bookmarkEnd w:id="1018"/>
      <w:bookmarkEnd w:id="1019"/>
      <w:bookmarkEnd w:id="1020"/>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用风机及泵均为功率较大的设备，运行时机械振动将对周围区域产生影响，另外运输车辆在装、卸过程中将会出现振动影响。为减轻振动影响，对风机、水泵等设备的基座加装减振垫，减少对周围环境的影响。风机的振动还和风扇的轴平衡性有关，应调整到最佳程度。加强设备的维护保养，使其处于最佳工作状态。这样不仅可减少振动对设备的损害，节约能源，还可以减少噪声及振动对周围的影响。运输车辆在装卸矿石时应轻装、轻卸，避免不文明装卸，造成振动过大。</w:t>
      </w:r>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本项目机械振动影响范围有限，振动源30m处人们基本不能感知。同时，本项目周围1.5km无人群集中居住区，因此，本工程机械振动对环境影响很小。</w:t>
      </w:r>
    </w:p>
    <w:p>
      <w:pPr>
        <w:adjustRightInd w:val="0"/>
        <w:snapToGrid w:val="0"/>
        <w:spacing w:line="360" w:lineRule="auto"/>
        <w:outlineLvl w:val="3"/>
        <w:rPr>
          <w:rFonts w:hint="default" w:ascii="Times New Roman" w:hAnsi="Times New Roman" w:cs="Times New Roman"/>
          <w:color w:val="auto"/>
          <w:sz w:val="24"/>
          <w:szCs w:val="22"/>
        </w:rPr>
      </w:pPr>
      <w:bookmarkStart w:id="1021" w:name="_Toc25895"/>
      <w:bookmarkStart w:id="1022" w:name="_Toc8542"/>
      <w:bookmarkStart w:id="1023" w:name="_Toc5321"/>
      <w:bookmarkStart w:id="1024" w:name="_Toc26299"/>
      <w:bookmarkStart w:id="1025" w:name="_Toc7999088"/>
      <w:bookmarkStart w:id="1026" w:name="_Toc17709456"/>
      <w:r>
        <w:rPr>
          <w:rFonts w:hint="default" w:ascii="Times New Roman" w:hAnsi="Times New Roman" w:cs="Times New Roman"/>
          <w:color w:val="auto"/>
          <w:sz w:val="24"/>
          <w:szCs w:val="22"/>
        </w:rPr>
        <w:t>5.2.3.6爆破振动对环境影响分析</w:t>
      </w:r>
      <w:bookmarkEnd w:id="1021"/>
      <w:bookmarkEnd w:id="1022"/>
      <w:bookmarkEnd w:id="1023"/>
      <w:bookmarkEnd w:id="1024"/>
      <w:bookmarkEnd w:id="1025"/>
      <w:bookmarkEnd w:id="1026"/>
    </w:p>
    <w:p>
      <w:pPr>
        <w:autoSpaceDE w:val="0"/>
        <w:autoSpaceDN w:val="0"/>
        <w:spacing w:line="360" w:lineRule="auto"/>
        <w:ind w:firstLine="480" w:firstLineChars="200"/>
        <w:rPr>
          <w:rFonts w:hint="default" w:ascii="Times New Roman" w:hAnsi="Times New Roman" w:cs="Times New Roman"/>
          <w:color w:val="auto"/>
          <w:sz w:val="24"/>
        </w:rPr>
      </w:pPr>
      <w:bookmarkStart w:id="1027" w:name="_Toc3882"/>
      <w:bookmarkStart w:id="1028" w:name="_Toc19427"/>
      <w:bookmarkStart w:id="1029" w:name="_Toc7999092"/>
      <w:r>
        <w:rPr>
          <w:rFonts w:hint="default" w:ascii="Times New Roman" w:hAnsi="Times New Roman" w:cs="Times New Roman"/>
          <w:color w:val="auto"/>
          <w:sz w:val="24"/>
        </w:rPr>
        <w:t>项目生产爆破主要为采矿爆破，爆破存在于矿山的整个服务期限内，频繁的采矿爆破作用形成的振动对岩体结构及边坡稳定有一定影响。爆破作用在振动区内所导致的现象和后果，称为爆破地震效应。爆破作用在振动区内所引起的振动强烈程度，随着一次爆破炸药量的多少而不同。大的振动将带来较大的危害，小的振动一般影响较小，若十分频繁亦将造成损害。这些危害包括：矿区内的建筑物、构筑物可能遭致破坏；诱发边坡崩塌、滑动等。</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爆破振动安全允许距离（m）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根据公式：R=（</w:t>
      </w:r>
      <w:r>
        <w:rPr>
          <w:rFonts w:hint="default" w:ascii="Times New Roman" w:hAnsi="Times New Roman" w:cs="Times New Roman"/>
          <w:color w:val="auto"/>
          <w:sz w:val="24"/>
        </w:rPr>
        <w:object>
          <v:shape id="_x0000_i1042" o:spt="75" type="#_x0000_t75" style="height:30.75pt;width:12pt;" o:ole="t" filled="f" o:preferrelative="t" stroked="f" coordsize="21600,21600">
            <v:path/>
            <v:fill on="f" focussize="0,0"/>
            <v:stroke on="f"/>
            <v:imagedata r:id="rId43" o:title=""/>
            <o:lock v:ext="edit" aspectratio="t"/>
            <w10:wrap type="none"/>
            <w10:anchorlock/>
          </v:shape>
          <o:OLEObject Type="Embed" ProgID="Equation.3" ShapeID="_x0000_i1042" DrawAspect="Content" ObjectID="_1468075735" r:id="rId42">
            <o:LockedField>false</o:LockedField>
          </o:OLEObject>
        </w:object>
      </w:r>
      <w:r>
        <w:rPr>
          <w:rFonts w:hint="default" w:ascii="Times New Roman" w:hAnsi="Times New Roman" w:cs="Times New Roman"/>
          <w:color w:val="auto"/>
          <w:sz w:val="24"/>
        </w:rPr>
        <w:t>）1/a</w:t>
      </w:r>
      <w:r>
        <w:rPr>
          <w:rFonts w:hint="default" w:ascii="Times New Roman" w:hAnsi="Times New Roman" w:cs="Times New Roman"/>
          <w:color w:val="auto"/>
          <w:kern w:val="0"/>
          <w:sz w:val="24"/>
        </w:rPr>
        <w:t>×</w:t>
      </w:r>
      <w:r>
        <w:rPr>
          <w:rFonts w:hint="default" w:ascii="Times New Roman" w:hAnsi="Times New Roman" w:cs="Times New Roman"/>
          <w:color w:val="auto"/>
          <w:sz w:val="24"/>
        </w:rPr>
        <w:object>
          <v:shape id="_x0000_i1043" o:spt="75" type="#_x0000_t75" style="height:20.25pt;width:21pt;" o:ole="t" filled="f" o:preferrelative="t" stroked="f" coordsize="21600,21600">
            <v:path/>
            <v:fill on="f" focussize="0,0"/>
            <v:stroke on="f"/>
            <v:imagedata r:id="rId45" o:title=""/>
            <o:lock v:ext="edit" aspectratio="t"/>
            <w10:wrap type="none"/>
            <w10:anchorlock/>
          </v:shape>
          <o:OLEObject Type="Embed" ProgID="Equation.3" ShapeID="_x0000_i1043" DrawAspect="Content" ObjectID="_1468075736" r:id="rId44">
            <o:LockedField>false</o:LockedField>
          </o:OLEObject>
        </w:object>
      </w:r>
      <w:r>
        <w:rPr>
          <w:rFonts w:hint="default" w:ascii="Times New Roman" w:hAnsi="Times New Roman" w:cs="Times New Roman"/>
          <w:color w:val="auto"/>
          <w:sz w:val="24"/>
        </w:rPr>
        <w:t xml:space="preserve"> （单位：m），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式中R—爆破地振安全允许最小距离（m）；</w:t>
      </w:r>
    </w:p>
    <w:p>
      <w:pPr>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Q—单段最大装药量（kg），此处Q=50.54（kg）；</w:t>
      </w:r>
    </w:p>
    <w:p>
      <w:pPr>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K、a—参照《爆破安全规程》（GB6722-2014）规定，此处取k=200，a=1.5；</w:t>
      </w:r>
    </w:p>
    <w:p>
      <w:pPr>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v—保护对象所在地质点振动安全允许速度，单位为厘米每秒（cm/s），此处取v为5；</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rPr>
        <w:object>
          <v:shape id="_x0000_i1044" o:spt="75" type="#_x0000_t75" style="height:30.75pt;width:12pt;" o:ole="t" filled="f" o:preferrelative="t" stroked="f" coordsize="21600,21600">
            <v:path/>
            <v:fill on="f" focussize="0,0"/>
            <v:stroke on="f"/>
            <v:imagedata r:id="rId43" o:title=""/>
            <o:lock v:ext="edit" aspectratio="t"/>
            <w10:wrap type="none"/>
            <w10:anchorlock/>
          </v:shape>
          <o:OLEObject Type="Embed" ProgID="Equation.3" ShapeID="_x0000_i1044" DrawAspect="Content" ObjectID="_1468075737" r:id="rId46">
            <o:LockedField>false</o:LockedField>
          </o:OLEObject>
        </w:object>
      </w:r>
      <w:r>
        <w:rPr>
          <w:rFonts w:hint="default" w:ascii="Times New Roman" w:hAnsi="Times New Roman" w:cs="Times New Roman"/>
          <w:color w:val="auto"/>
          <w:sz w:val="24"/>
          <w:szCs w:val="24"/>
        </w:rPr>
        <w:t>）1/a×</w:t>
      </w:r>
      <w:r>
        <w:rPr>
          <w:rFonts w:hint="default" w:ascii="Times New Roman" w:hAnsi="Times New Roman" w:cs="Times New Roman"/>
          <w:color w:val="auto"/>
          <w:sz w:val="24"/>
          <w:szCs w:val="24"/>
        </w:rPr>
        <w:object>
          <v:shape id="_x0000_i1045" o:spt="75" type="#_x0000_t75" style="height:20.25pt;width:21pt;" o:ole="t" filled="f" o:preferrelative="t" stroked="f" coordsize="21600,21600">
            <v:path/>
            <v:fill on="f" focussize="0,0"/>
            <v:stroke on="f"/>
            <v:imagedata r:id="rId45" o:title=""/>
            <o:lock v:ext="edit" aspectratio="t"/>
            <w10:wrap type="none"/>
            <w10:anchorlock/>
          </v:shape>
          <o:OLEObject Type="Embed" ProgID="Equation.3" ShapeID="_x0000_i1045" DrawAspect="Content" ObjectID="_1468075738" r:id="rId47">
            <o:LockedField>false</o:LockedField>
          </o:OLEObject>
        </w:objec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object>
          <v:shape id="_x0000_i1046" o:spt="75" type="#_x0000_t75" style="height:30.75pt;width:24pt;" o:ole="t" filled="f" o:preferrelative="t" stroked="f" coordsize="21600,21600">
            <v:path/>
            <v:fill on="f" focussize="0,0"/>
            <v:stroke on="f"/>
            <v:imagedata r:id="rId49" o:title=""/>
            <o:lock v:ext="edit" aspectratio="t"/>
            <w10:wrap type="none"/>
            <w10:anchorlock/>
          </v:shape>
          <o:OLEObject Type="Embed" ProgID="Equation.3" ShapeID="_x0000_i1046" DrawAspect="Content" ObjectID="_1468075739" r:id="rId48">
            <o:LockedField>false</o:LockedField>
          </o:OLEObject>
        </w:object>
      </w:r>
      <w:r>
        <w:rPr>
          <w:rFonts w:hint="default" w:ascii="Times New Roman" w:hAnsi="Times New Roman" w:cs="Times New Roman"/>
          <w:color w:val="auto"/>
          <w:sz w:val="24"/>
          <w:szCs w:val="24"/>
        </w:rPr>
        <w:t>）1/1.5×</w:t>
      </w:r>
      <w:r>
        <w:rPr>
          <w:rFonts w:hint="default" w:ascii="Times New Roman" w:hAnsi="Times New Roman" w:cs="Times New Roman"/>
          <w:color w:val="auto"/>
          <w:sz w:val="24"/>
          <w:szCs w:val="24"/>
        </w:rPr>
        <w:object>
          <v:shape id="_x0000_i1047" o:spt="75" type="#_x0000_t75" style="height:18pt;width:39pt;" o:ole="t" filled="f" o:preferrelative="t" stroked="f" coordsize="21600,21600">
            <v:path/>
            <v:fill on="f" focussize="0,0"/>
            <v:stroke on="f"/>
            <v:imagedata r:id="rId51" o:title=""/>
            <o:lock v:ext="edit" aspectratio="t"/>
            <w10:wrap type="none"/>
            <w10:anchorlock/>
          </v:shape>
          <o:OLEObject Type="Embed" ProgID="Equation.3" ShapeID="_x0000_i1047" DrawAspect="Content" ObjectID="_1468075740" r:id="rId50">
            <o:LockedField>false</o:LockedField>
          </o:OLEObject>
        </w:object>
      </w:r>
      <w:r>
        <w:rPr>
          <w:rFonts w:hint="default" w:ascii="Times New Roman" w:hAnsi="Times New Roman" w:cs="Times New Roman"/>
          <w:color w:val="auto"/>
          <w:sz w:val="24"/>
          <w:szCs w:val="24"/>
        </w:rPr>
        <w:t>≈43.9（m）</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经计算，爆破地振安全允许最小距离不小于43.9m，爆破点距厂生活区直线距离0.5km，爆破振动对其影响较小。</w:t>
      </w:r>
    </w:p>
    <w:p>
      <w:pPr>
        <w:adjustRightInd w:val="0"/>
        <w:snapToGrid w:val="0"/>
        <w:spacing w:line="360" w:lineRule="auto"/>
        <w:outlineLvl w:val="3"/>
        <w:rPr>
          <w:rFonts w:hint="default" w:ascii="Times New Roman" w:hAnsi="Times New Roman" w:cs="Times New Roman"/>
          <w:color w:val="auto"/>
          <w:sz w:val="24"/>
          <w:szCs w:val="22"/>
        </w:rPr>
      </w:pPr>
      <w:bookmarkStart w:id="1030" w:name="_Toc28651_WPSOffice_Level2"/>
      <w:bookmarkStart w:id="1031" w:name="_Toc17709457"/>
      <w:r>
        <w:rPr>
          <w:rFonts w:hint="default" w:ascii="Times New Roman" w:hAnsi="Times New Roman" w:cs="Times New Roman"/>
          <w:color w:val="auto"/>
          <w:sz w:val="24"/>
          <w:szCs w:val="22"/>
        </w:rPr>
        <w:t>5.2.3.7爆破振动评价</w:t>
      </w:r>
      <w:bookmarkEnd w:id="1027"/>
      <w:bookmarkEnd w:id="1028"/>
      <w:bookmarkEnd w:id="1029"/>
      <w:bookmarkEnd w:id="1030"/>
      <w:bookmarkEnd w:id="1031"/>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矿山开采爆破时，在距爆源43.9m以外的构筑物，其质点振动速度小于安全允许标准，而生活办公区距矿界直线距离500m，所以爆破地震波对选矿厂生活办公区内的建筑物设施没有影响。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为了降低爆破带来的振动影响，矿山爆破需采取以下防治措施 ：首先，减少每次爆破的用药量，每次爆破用药量应控制在50kg以下，且在采场四周多点爆破，增长爆破移管引爆间距；禁止在夜间进行爆破；采用小孔径钻机穿孔，多钻孔，少装药的微差爆破，靠帮时采用预裂爆破，以减小爆破地震波对边坡的影响。</w:t>
      </w:r>
    </w:p>
    <w:p>
      <w:pPr>
        <w:pStyle w:val="5"/>
        <w:keepLines w:val="0"/>
        <w:adjustRightInd w:val="0"/>
        <w:snapToGrid w:val="0"/>
        <w:spacing w:before="0" w:after="0" w:line="360" w:lineRule="auto"/>
        <w:rPr>
          <w:rFonts w:hint="default" w:ascii="Times New Roman" w:hAnsi="Times New Roman" w:cs="Times New Roman"/>
          <w:bCs w:val="0"/>
          <w:color w:val="auto"/>
          <w:sz w:val="24"/>
        </w:rPr>
      </w:pPr>
      <w:bookmarkStart w:id="1032" w:name="_Toc10963"/>
      <w:bookmarkStart w:id="1033" w:name="_Toc589"/>
      <w:bookmarkStart w:id="1034" w:name="_Toc6363"/>
      <w:bookmarkStart w:id="1035" w:name="_Toc28953"/>
      <w:bookmarkStart w:id="1036" w:name="_Toc7999093"/>
      <w:bookmarkStart w:id="1037" w:name="_Toc4700_WPSOffice_Level2"/>
      <w:bookmarkStart w:id="1038" w:name="_Toc17709458"/>
      <w:r>
        <w:rPr>
          <w:rFonts w:hint="default" w:ascii="Times New Roman" w:hAnsi="Times New Roman" w:cs="Times New Roman"/>
          <w:bCs w:val="0"/>
          <w:color w:val="auto"/>
          <w:sz w:val="24"/>
          <w:szCs w:val="24"/>
        </w:rPr>
        <w:t>5.2.4固体对环境影响分析</w:t>
      </w:r>
      <w:bookmarkEnd w:id="1032"/>
      <w:bookmarkEnd w:id="1033"/>
      <w:bookmarkEnd w:id="1034"/>
      <w:bookmarkEnd w:id="1035"/>
      <w:bookmarkEnd w:id="1036"/>
      <w:bookmarkEnd w:id="1037"/>
      <w:bookmarkEnd w:id="1038"/>
    </w:p>
    <w:p>
      <w:pPr>
        <w:adjustRightInd w:val="0"/>
        <w:snapToGrid w:val="0"/>
        <w:spacing w:line="360" w:lineRule="auto"/>
        <w:outlineLvl w:val="3"/>
        <w:rPr>
          <w:rFonts w:hint="default" w:ascii="Times New Roman" w:hAnsi="Times New Roman" w:cs="Times New Roman"/>
          <w:color w:val="auto"/>
          <w:sz w:val="24"/>
          <w:szCs w:val="22"/>
        </w:rPr>
      </w:pPr>
      <w:bookmarkStart w:id="1039" w:name="_Toc8461"/>
      <w:bookmarkStart w:id="1040" w:name="_Toc15180"/>
      <w:bookmarkStart w:id="1041" w:name="_Toc23194"/>
      <w:bookmarkStart w:id="1042" w:name="_Toc3581"/>
      <w:bookmarkStart w:id="1043" w:name="_Toc7999094"/>
      <w:bookmarkStart w:id="1044" w:name="_Toc17709459"/>
      <w:r>
        <w:rPr>
          <w:rFonts w:hint="default" w:ascii="Times New Roman" w:hAnsi="Times New Roman" w:cs="Times New Roman"/>
          <w:color w:val="auto"/>
          <w:sz w:val="24"/>
          <w:szCs w:val="22"/>
        </w:rPr>
        <w:t>5.2.4.1固体废弃物的种类及数量估算</w:t>
      </w:r>
      <w:bookmarkEnd w:id="1039"/>
      <w:bookmarkEnd w:id="1040"/>
      <w:bookmarkEnd w:id="1041"/>
      <w:bookmarkEnd w:id="1042"/>
      <w:bookmarkEnd w:id="1043"/>
      <w:bookmarkEnd w:id="1044"/>
    </w:p>
    <w:p>
      <w:pPr>
        <w:pStyle w:val="19"/>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项目运营期间主要的固废为废石、生活垃圾和废机油。</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）生活垃圾</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生活垃圾的产生量按0.5kg/d·人计，矿区劳动定员为42人，则生活垃圾产生量约为0. 021t/d（</w:t>
      </w:r>
      <w:r>
        <w:rPr>
          <w:rFonts w:hint="eastAsia" w:ascii="Times New Roman" w:hAnsi="Times New Roman" w:cs="Times New Roman"/>
          <w:color w:val="auto"/>
          <w:sz w:val="24"/>
          <w:lang w:val="en-US" w:eastAsia="zh-CN"/>
        </w:rPr>
        <w:t>5.25</w:t>
      </w:r>
      <w:r>
        <w:rPr>
          <w:rFonts w:hint="default" w:ascii="Times New Roman" w:hAnsi="Times New Roman" w:cs="Times New Roman"/>
          <w:color w:val="auto"/>
          <w:sz w:val="24"/>
        </w:rPr>
        <w:t>t/a）。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）废机油</w:t>
      </w:r>
    </w:p>
    <w:p>
      <w:pPr>
        <w:pStyle w:val="19"/>
        <w:adjustRightInd w:val="0"/>
        <w:snapToGrid w:val="0"/>
        <w:spacing w:line="360" w:lineRule="auto"/>
        <w:ind w:firstLineChars="0"/>
        <w:rPr>
          <w:rFonts w:hint="default" w:ascii="Times New Roman" w:hAnsi="Times New Roman" w:cs="Times New Roman"/>
          <w:color w:val="auto"/>
          <w:sz w:val="24"/>
        </w:rPr>
      </w:pPr>
      <w:r>
        <w:rPr>
          <w:rFonts w:hint="default" w:ascii="Times New Roman" w:hAnsi="Times New Roman" w:cs="Times New Roman"/>
          <w:color w:val="auto"/>
          <w:sz w:val="24"/>
        </w:rPr>
        <w:t>项目运营过程会产生废机油，属于危险废物（HW08），来源于工程机械和大型设备润滑，产生量约为0.5t/a。环评要求在矿区内建危废暂存池（1m×1m×1m，1m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），位于机修间内，用于临时存放废机油，废机油暂存最长不得超过1年。项目废机油须定期委托具有危险废物经营资质的专业队伍自带专业工具清理运走，严禁外排。</w:t>
      </w:r>
    </w:p>
    <w:p>
      <w:pPr>
        <w:pStyle w:val="19"/>
        <w:adjustRightInd w:val="0"/>
        <w:snapToGrid w:val="0"/>
        <w:spacing w:line="360" w:lineRule="auto"/>
        <w:ind w:firstLineChars="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）废石</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项目开采期废石量为36t/d（9000t/a），废石密度为2.7t/m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，松散系数均为1.4，则废石体积为3333.3m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/a，项目服务年限为4.38a，在整个服务年限内废石量为14599.9m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，可满足废石堆放需要。</w:t>
      </w:r>
    </w:p>
    <w:p>
      <w:pPr>
        <w:adjustRightInd w:val="0"/>
        <w:snapToGrid w:val="0"/>
        <w:spacing w:line="360" w:lineRule="auto"/>
        <w:outlineLvl w:val="3"/>
        <w:rPr>
          <w:rFonts w:hint="default" w:ascii="Times New Roman" w:hAnsi="Times New Roman" w:cs="Times New Roman"/>
          <w:color w:val="auto"/>
          <w:sz w:val="24"/>
          <w:szCs w:val="22"/>
        </w:rPr>
      </w:pPr>
      <w:bookmarkStart w:id="1045" w:name="_Toc24369"/>
      <w:bookmarkStart w:id="1046" w:name="_Toc20874"/>
      <w:bookmarkStart w:id="1047" w:name="_Toc26285"/>
      <w:bookmarkStart w:id="1048" w:name="_Toc9483"/>
      <w:bookmarkStart w:id="1049" w:name="_Toc7999095"/>
      <w:bookmarkStart w:id="1050" w:name="_Toc17709460"/>
      <w:r>
        <w:rPr>
          <w:rFonts w:hint="default" w:ascii="Times New Roman" w:hAnsi="Times New Roman" w:cs="Times New Roman"/>
          <w:color w:val="auto"/>
          <w:sz w:val="24"/>
          <w:szCs w:val="22"/>
        </w:rPr>
        <w:t>5.2.4.2固体废弃物对环境的影响分析</w:t>
      </w:r>
      <w:bookmarkEnd w:id="1045"/>
      <w:bookmarkEnd w:id="1046"/>
      <w:bookmarkEnd w:id="1047"/>
      <w:bookmarkEnd w:id="1048"/>
      <w:bookmarkEnd w:id="1049"/>
      <w:bookmarkEnd w:id="105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（1）废石场占地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项目废石监测报告可知，项目废石浸出液分析指标浓度均未超出《污水综合排放标准》（GB8978-1996）最高允许排放浓度，可以确定项目废石为第Ⅰ类一般工业固体废物，应按照第Ⅰ类一般工业固体废物处置方式处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项目区域周围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km范围内无集中或分散居住区，废石场符合《一般工业固体废物贮存、处置场污染控制标准》(GB 18599-2001)及环境保护部公告2013年 36号文中第Ⅰ类一般工业固体废物的有关规定。</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（2）固体废物占地对生态环境的影响</w:t>
      </w:r>
    </w:p>
    <w:p>
      <w:pPr>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color w:val="auto"/>
          <w:sz w:val="24"/>
        </w:rPr>
        <w:t>废石场永久性占用</w:t>
      </w:r>
      <w:r>
        <w:rPr>
          <w:rFonts w:hint="eastAsia" w:ascii="Times New Roman" w:hAnsi="Times New Roman" w:cs="Times New Roman"/>
          <w:color w:val="auto"/>
          <w:sz w:val="24"/>
          <w:lang w:val="en-US" w:eastAsia="zh-CN"/>
        </w:rPr>
        <w:t>27000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的土地，使占用范围内土地永久丧失其原有的使用功能，使得占地范围内的局部地形地貌、地表土层土壤结构、透气性等发生改变，</w:t>
      </w:r>
      <w:r>
        <w:rPr>
          <w:rFonts w:hint="default" w:ascii="Times New Roman" w:hAnsi="Times New Roman" w:cs="Times New Roman"/>
          <w:snapToGrid w:val="0"/>
          <w:color w:val="auto"/>
          <w:kern w:val="0"/>
          <w:sz w:val="24"/>
        </w:rPr>
        <w:t>生产力降低，导致占地蓄水保土功能降低。</w:t>
      </w:r>
    </w:p>
    <w:p>
      <w:pPr>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项目闭场后，对废石场采取压实、绿化等工程措施，会使本区景观有一定程度的改善，可将其对环境造成的影响降低到最低程度。</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（3）固体废物堆放对景观的影响</w:t>
      </w:r>
    </w:p>
    <w:p>
      <w:pPr>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废石场占地改变了原有地表形态，导致矿山地貌和景观发生改变，由于废石场距开采区近，在可视范围之内，对景观影响较为显著。要求在废石堆放过程中严格按照设计要求进行堆存，尽可能减少占地，减少对区域景观影响，减轻水土流失。</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项目闭场后，要求对废石场分层、压实、覆土、播撒适宜当地生长的草种进行绿化，使地表植被得到恢复，恢复原有景观，将对生态环境影响降低到最低。</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（4）废石扬尘对区域大气环境的影响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体物料起尘条件主要取决于其粒度、表面含水量和风速的大小。废石在堆场存放的过程中，表面水分逐渐蒸发，遇到刮大风的天气就易产生风蚀扬尘。有关资料表明，废石比重较大，废石堆不易起尘；能使废石堆表面颗粒起尘的最低风速即启动风速为 4.0m/s，只有当环境风速大于此风速时才会产生扬尘。</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气象站统计资料，该地区全年平均风速为1.7m/s，说明一年中多数时间里的风力不会对废石产生影响。在具备起尘风速时，废石堆尘粒会对其周围局部地区产生影响。根据多个矿区环评类比废石排放场的扬尘影响预测，影响范围约在废石场下风向170m以内，影响范围将随着废石含水率的增加而缩小，可以通过向废石堆洒水，提高废石的含水率来有效控制废石扬尘对环境空气的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（5）废石对水环境的影响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废石露天堆放，受风吹、日晒、雨淋和温度变化等影响，将发生物理化学变化，废石经降水淋洗后，不仅表面的细颗粒会随降水迁移，而且其中的可溶性组分也会进入淋溶液中，可能影响水环境和土壤环境。</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所在区域气候特征为干旱、少雨、多风，属典型的大陆干旱气候，年平均降水量为38.4mm，年蒸发量为3164.2mm。据此推测，矿石堆存过程中淋溶水量极少，并且废石不属于危险废物，废石淋溶水对环境影响甚微。</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废石淋溶水渗透到地下水的可能性极小，固体废弃物淋溶液通过垂直渗透或补给方式污染地下水环境的可能性几乎没有。因此，生产过程中产生的废石按规 划合理堆放，废石淋溶水对区域地下水环境影响甚微。</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（6）生活垃圾排放影响分析</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矿区生活条件简陋，相应的日常生活垃圾量也很少，生活垃圾按0.5kg/人·d计，职工产生生活垃圾的总量为</w:t>
      </w:r>
      <w:r>
        <w:rPr>
          <w:rFonts w:hint="eastAsia" w:ascii="Times New Roman" w:hAnsi="Times New Roman" w:cs="Times New Roman"/>
          <w:bCs/>
          <w:color w:val="auto"/>
          <w:sz w:val="24"/>
          <w:lang w:val="en-US" w:eastAsia="zh-CN"/>
        </w:rPr>
        <w:t>5</w:t>
      </w:r>
      <w:r>
        <w:rPr>
          <w:rFonts w:hint="eastAsia" w:ascii="Times New Roman" w:hAnsi="Times New Roman" w:cs="Times New Roman"/>
          <w:bCs/>
          <w:color w:val="auto"/>
          <w:sz w:val="24"/>
          <w:lang w:val="en-US" w:eastAsia="zh-CN"/>
        </w:rPr>
        <w:t>.25</w:t>
      </w:r>
      <w:r>
        <w:rPr>
          <w:rFonts w:hint="default" w:ascii="Times New Roman" w:hAnsi="Times New Roman" w:cs="Times New Roman"/>
          <w:bCs/>
          <w:color w:val="auto"/>
          <w:sz w:val="24"/>
        </w:rPr>
        <w:t>t/a。矿区生活办公区的生活垃圾进行集中收集，定期统一运至达坂城区柴窝堡乡垃圾收集站。</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（7）废机油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项目运营过程会产生废机油，属于危险废物(HW08)，来源于工程机械和大型设备润滑，产生量约为0.5t/a。环评要求在矿区内建废机油暂存池(1m×1m×1m，1m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)，位于机修间内临时存放废机油。按照危险废物贮存管理要求，对废机油临时贮存时间提出要求，最长不得超过1年，须定期委托具有危险废物经营资质的专业队伍自带专业工具清理运走，严禁外排。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评价要求项目在建设阶段，根据《危险废物贮存污染控制标准》(GB18957-2001)中有关规定，危险废物在矿内机修间存放期间，使用完好无损容器盛装；用以存放装置危险废物容器的地方，必须有耐腐蚀的硬化地面，且表面无裂痕。储存容器上必须粘贴该标准中规定的危险废物标签；容器材质与危险废物本身相容( 不相互反应)；厂内设置临时安全存放场所，基础做防渗，防渗层为至少1m粘土层(渗透系数小于等于10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在生产过程中产生的固体废物主要是废石；废石扬尘与外界气象条件有关，通过定期对废石堆场进行洒水降尘，增加废石含水率，减少废石扬尘对周边环境的影响；固体废弃物产生的淋溶液对水环境的污染贡献很小，影响甚微；因此，只要采取相应措施控制扬尘，固体废弃物堆放对环境的污染影响不大。但从资源利用角度看，应对废石加以综合利用，用于回填，减轻对环境造成的影响。</w:t>
      </w:r>
    </w:p>
    <w:p>
      <w:pPr>
        <w:pStyle w:val="5"/>
        <w:keepLines w:val="0"/>
        <w:adjustRightInd w:val="0"/>
        <w:snapToGrid w:val="0"/>
        <w:spacing w:before="0" w:after="0" w:line="360" w:lineRule="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5.2.5</w:t>
      </w:r>
      <w:r>
        <w:rPr>
          <w:rFonts w:hint="default" w:ascii="Times New Roman" w:hAnsi="Times New Roman" w:cs="Times New Roman"/>
          <w:b/>
          <w:bCs/>
          <w:color w:val="auto"/>
          <w:sz w:val="24"/>
          <w:szCs w:val="24"/>
        </w:rPr>
        <w:t>土壤环境影响评价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）土壤影响评价</w:t>
      </w:r>
      <w:r>
        <w:rPr>
          <w:rFonts w:hint="default" w:ascii="Times New Roman" w:hAnsi="Times New Roman" w:eastAsia="宋体" w:cs="Times New Roman"/>
          <w:color w:val="auto"/>
          <w:sz w:val="24"/>
          <w:szCs w:val="24"/>
        </w:rPr>
        <w:t>工作等级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①项目类别</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本项目属于铜矿开采类。依据《环境影响评价技术导则  土壤环境（试行）》（HJ964-2018）附录A土壤环境影响评价项目类别中“采矿业——金属矿、石油、页岩油开采项目为Ⅰ类项目”。因此本项目为Ⅰ类项目。</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②评价工作等级判定</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根据污染影响型敏感程度分级表（表2.5-12）本项目属于较敏感。</w:t>
      </w:r>
    </w:p>
    <w:p>
      <w:pPr>
        <w:spacing w:line="440" w:lineRule="exact"/>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项目占地面积约</w:t>
      </w:r>
      <w:r>
        <w:rPr>
          <w:rFonts w:hint="default" w:ascii="Times New Roman" w:hAnsi="Times New Roman" w:cs="Times New Roman"/>
          <w:color w:val="auto"/>
          <w:sz w:val="24"/>
          <w:szCs w:val="24"/>
          <w:lang w:val="en-US" w:eastAsia="zh-CN"/>
        </w:rPr>
        <w:t>0.42km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，占地规模为小型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根据污染影响型评价工作等级划分表（见表2.5-13），本项目评价等级为二级。</w:t>
      </w:r>
    </w:p>
    <w:p>
      <w:pPr>
        <w:numPr>
          <w:ilvl w:val="0"/>
          <w:numId w:val="0"/>
        </w:numPr>
        <w:spacing w:line="360" w:lineRule="auto"/>
        <w:ind w:left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土壤评价范围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污染影响型二级评价调查范围为项目占地范围及占地范围外0.2km范围内，预测方法参见导则附录E或进行类比分析，占地范围内应根据土体构型、土壤质地、饱和导水率等分析其可能影响的深度</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 xml:space="preserve">识别建设项目土壤环境影响类型与影响途径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根据表2.5-11土壤环境影响类型与影响途径表（附录 B 表 B.1）识别，该项目土壤环境影响类型识别为污染影响型。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土壤环境现状调查与评价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根据当地土壤资料及现状调查，项目区内的土壤类型为淡栗钙土+粗骨土，详见土壤类型图4.2-5。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（5）土壤环境影响分析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 xml:space="preserve">废石堆场对土壤的影响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根据废石浸出数据，矿山废石不属于具有浸出毒性特征的危险废物，属无毒 一般固废。对照《危险废物鉴别标准》（GB5085.3-2007）和《污水综合排放标准》 （GB8978-1996）第一类污染物最高允许排放标准，围岩废石浸出试验 8 项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水质指标中，所有污染因子均可满足排放标准要求。矿区废石属于Ⅰ类一般工业固废。废石堆存在废石场。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本项目区夏季炎热干燥，常年多风，年平均降水量</w:t>
      </w:r>
      <w:r>
        <w:rPr>
          <w:rFonts w:hint="default" w:ascii="Times New Roman" w:hAnsi="Times New Roman" w:cs="Times New Roman"/>
          <w:color w:val="auto"/>
          <w:sz w:val="24"/>
        </w:rPr>
        <w:t>38.4</w:t>
      </w:r>
      <w:r>
        <w:rPr>
          <w:rFonts w:hint="default" w:ascii="Times New Roman" w:hAnsi="Times New Roman" w:cs="Times New Roman"/>
          <w:color w:val="auto"/>
          <w:sz w:val="24"/>
          <w:szCs w:val="24"/>
          <w:lang w:val="en-US" w:eastAsia="zh-CN"/>
        </w:rPr>
        <w:t>0mm，年均蒸发量</w:t>
      </w:r>
      <w:r>
        <w:rPr>
          <w:rFonts w:hint="default" w:ascii="Times New Roman" w:hAnsi="Times New Roman" w:cs="Times New Roman"/>
          <w:color w:val="auto"/>
          <w:sz w:val="24"/>
        </w:rPr>
        <w:t>3164.2</w:t>
      </w:r>
      <w:r>
        <w:rPr>
          <w:rFonts w:hint="default" w:ascii="Times New Roman" w:hAnsi="Times New Roman" w:cs="Times New Roman"/>
          <w:color w:val="auto"/>
          <w:sz w:val="24"/>
          <w:szCs w:val="24"/>
          <w:lang w:val="en-US" w:eastAsia="zh-CN"/>
        </w:rPr>
        <w:t xml:space="preserve">mm，蒸发量远大于降水量，在该地区特殊的气候条件下废石淋溶水产生的量极小，很快通过自然蒸发消失，本矿区废石属于Ⅰ类一般工业固废。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本项目无大气沉降、地面漫流以及盐、酸、碱类等物质进入土壤环境引起的土 壤盐化、酸化、碱化等，项目废石堆场对土壤的酸化、碱化、盐化影响不大。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②废水对土壤的影响分析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1）生产废水产生量及去向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采矿废水在井底经收集，采用水泵输送至地表，地表建有</w:t>
      </w:r>
      <w:r>
        <w:rPr>
          <w:rFonts w:hint="eastAsia" w:ascii="Times New Roman" w:hAnsi="Times New Roman" w:cs="Times New Roman"/>
          <w:color w:val="auto"/>
          <w:sz w:val="24"/>
          <w:szCs w:val="24"/>
          <w:lang w:val="en-US" w:eastAsia="zh-CN"/>
        </w:rPr>
        <w:t>高位水池</w:t>
      </w:r>
      <w:r>
        <w:rPr>
          <w:rFonts w:hint="default" w:ascii="Times New Roman" w:hAnsi="Times New Roman" w:cs="Times New Roman"/>
          <w:color w:val="auto"/>
          <w:sz w:val="24"/>
          <w:szCs w:val="24"/>
          <w:lang w:val="en-US" w:eastAsia="zh-CN"/>
        </w:rPr>
        <w:t>，经</w:t>
      </w:r>
      <w:r>
        <w:rPr>
          <w:rFonts w:hint="eastAsia" w:ascii="Times New Roman" w:hAnsi="Times New Roman" w:cs="Times New Roman"/>
          <w:color w:val="auto"/>
          <w:sz w:val="24"/>
          <w:szCs w:val="24"/>
          <w:lang w:val="en-US" w:eastAsia="zh-CN"/>
        </w:rPr>
        <w:t>高位水池</w:t>
      </w:r>
      <w:r>
        <w:rPr>
          <w:rFonts w:hint="default" w:ascii="Times New Roman" w:hAnsi="Times New Roman" w:cs="Times New Roman"/>
          <w:color w:val="auto"/>
          <w:sz w:val="24"/>
          <w:szCs w:val="24"/>
          <w:lang w:val="en-US" w:eastAsia="zh-CN"/>
        </w:rPr>
        <w:t>沉淀处理后水质目标行《城市污水再生利用城市杂用水水质》 （GB/T18920-2002）的降尘洒水水质标准要求，回用于井下生产、井下降尘、</w:t>
      </w:r>
      <w:r>
        <w:rPr>
          <w:rFonts w:hint="eastAsia" w:ascii="Times New Roman" w:hAnsi="Times New Roman" w:cs="Times New Roman"/>
          <w:color w:val="auto"/>
          <w:sz w:val="24"/>
          <w:szCs w:val="24"/>
          <w:lang w:val="en-US" w:eastAsia="zh-CN"/>
        </w:rPr>
        <w:t>运输降尘</w:t>
      </w:r>
      <w:r>
        <w:rPr>
          <w:rFonts w:hint="default" w:ascii="Times New Roman" w:hAnsi="Times New Roman" w:cs="Times New Roman"/>
          <w:color w:val="auto"/>
          <w:sz w:val="24"/>
          <w:szCs w:val="24"/>
          <w:lang w:val="en-US" w:eastAsia="zh-CN"/>
        </w:rPr>
        <w:t>等，矿井水全部回用无外排，不会对环境造成影响。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2）生活污水影响分析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本矿区新建生活污水处理设施，处理后的生活污水灌溉季节全部回用于项目区绿化、非灌溉季节用于项目区降尘及道路喷洒等用途。矿区内无常年地表径流，生产废水和生活污水的处理回用方式有效解决了废水外排问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3）事故状态对水环境的影响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矿区新建事故调节池，污水处理设施 事故情况下排水将暂存于事故调节池中。防治事故状态下矿区废水对水环境造 成影响。 项目废水处理措施较为完善。综上所述，本工程运营过程中废水对土壤酸 化、碱化、盐化影响不大。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（6）土壤环境影响评价自查表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项目土壤环</w:t>
      </w:r>
      <w:r>
        <w:rPr>
          <w:rFonts w:hint="default" w:ascii="Times New Roman" w:hAnsi="Times New Roman" w:cs="Times New Roman"/>
          <w:color w:val="auto"/>
          <w:sz w:val="24"/>
          <w:szCs w:val="24"/>
          <w:lang w:val="en-US" w:eastAsia="zh-CN"/>
        </w:rPr>
        <w:t>境影响自查表见下表</w:t>
      </w:r>
      <w:r>
        <w:rPr>
          <w:rFonts w:hint="eastAsia" w:ascii="Times New Roman" w:hAnsi="Times New Roman" w:cs="Times New Roman"/>
          <w:color w:val="auto"/>
          <w:sz w:val="24"/>
          <w:szCs w:val="24"/>
          <w:lang w:val="en-US" w:eastAsia="zh-CN"/>
        </w:rPr>
        <w:t>5.2-13</w:t>
      </w:r>
      <w:r>
        <w:rPr>
          <w:rFonts w:hint="default" w:ascii="Times New Roman" w:hAnsi="Times New Roman" w:cs="Times New Roman"/>
          <w:color w:val="auto"/>
          <w:sz w:val="24"/>
          <w:szCs w:val="24"/>
          <w:lang w:val="en-US" w:eastAsia="zh-CN"/>
        </w:rPr>
        <w:t>。</w:t>
      </w:r>
    </w:p>
    <w:p>
      <w:pPr>
        <w:ind w:firstLine="2205" w:firstLineChars="10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val="en-US" w:eastAsia="zh-CN"/>
        </w:rPr>
        <w:t xml:space="preserve"> </w:t>
      </w: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5.2-13</w:t>
      </w:r>
      <w:r>
        <w:rPr>
          <w:rFonts w:hint="eastAsia" w:ascii="Times New Roman" w:hAnsi="Times New Roman" w:eastAsia="黑体" w:cs="Times New Roman"/>
          <w:color w:val="auto"/>
          <w:szCs w:val="21"/>
        </w:rPr>
        <w:t xml:space="preserve">  </w:t>
      </w:r>
      <w:r>
        <w:rPr>
          <w:rFonts w:hint="default" w:ascii="Times New Roman" w:hAnsi="Times New Roman" w:eastAsia="黑体" w:cs="Times New Roman"/>
          <w:color w:val="auto"/>
          <w:szCs w:val="21"/>
        </w:rPr>
        <w:t>土壤环境影响评价自查表</w:t>
      </w:r>
    </w:p>
    <w:tbl>
      <w:tblPr>
        <w:tblStyle w:val="79"/>
        <w:tblW w:w="89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4"/>
        <w:gridCol w:w="1533"/>
        <w:gridCol w:w="1536"/>
        <w:gridCol w:w="1542"/>
        <w:gridCol w:w="31"/>
        <w:gridCol w:w="1168"/>
        <w:gridCol w:w="421"/>
        <w:gridCol w:w="1143"/>
        <w:gridCol w:w="9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097" w:type="dxa"/>
            <w:gridSpan w:val="2"/>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工作内容</w:t>
            </w:r>
          </w:p>
        </w:tc>
        <w:tc>
          <w:tcPr>
            <w:tcW w:w="5841" w:type="dxa"/>
            <w:gridSpan w:val="6"/>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完成情况</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影响识别</w:t>
            </w: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影响类型</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污染影响型</w:t>
            </w:r>
            <w:r>
              <w:rPr>
                <w:rStyle w:val="716"/>
                <w:rFonts w:ascii="宋体" w:hAnsi="Segoe UI Emoji" w:cs="Segoe UI Emoji"/>
                <w:color w:val="auto"/>
                <w:lang w:bidi="ar"/>
              </w:rPr>
              <w:t>☑</w:t>
            </w:r>
            <w:r>
              <w:rPr>
                <w:rFonts w:hAnsi="宋体" w:eastAsia="宋体"/>
                <w:color w:val="auto"/>
                <w:sz w:val="21"/>
                <w:szCs w:val="21"/>
              </w:rPr>
              <w:t>；生态影响型</w:t>
            </w:r>
            <w:r>
              <w:rPr>
                <w:rFonts w:hAnsi="宋体" w:eastAsia="宋体"/>
                <w:color w:val="auto"/>
                <w:sz w:val="21"/>
                <w:szCs w:val="21"/>
              </w:rPr>
              <w:sym w:font="Wingdings 2" w:char="00A3"/>
            </w:r>
            <w:r>
              <w:rPr>
                <w:rFonts w:hAnsi="宋体" w:eastAsia="宋体"/>
                <w:color w:val="auto"/>
                <w:sz w:val="21"/>
                <w:szCs w:val="21"/>
              </w:rPr>
              <w:t>；两种兼有</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土地利用类型</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建设用地</w:t>
            </w:r>
            <w:r>
              <w:rPr>
                <w:rStyle w:val="716"/>
                <w:rFonts w:ascii="宋体" w:hAnsi="Segoe UI Emoji" w:cs="Segoe UI Emoji"/>
                <w:color w:val="auto"/>
                <w:lang w:bidi="ar"/>
              </w:rPr>
              <w:t>☑</w:t>
            </w:r>
            <w:r>
              <w:rPr>
                <w:rFonts w:hAnsi="宋体" w:eastAsia="宋体"/>
                <w:color w:val="auto"/>
                <w:sz w:val="21"/>
                <w:szCs w:val="21"/>
              </w:rPr>
              <w:t>；农用地</w:t>
            </w:r>
            <w:r>
              <w:rPr>
                <w:rFonts w:hAnsi="宋体" w:eastAsia="宋体"/>
                <w:color w:val="auto"/>
                <w:sz w:val="21"/>
                <w:szCs w:val="21"/>
              </w:rPr>
              <w:sym w:font="Wingdings 2" w:char="00A3"/>
            </w:r>
            <w:r>
              <w:rPr>
                <w:rFonts w:hAnsi="宋体" w:eastAsia="宋体"/>
                <w:color w:val="auto"/>
                <w:sz w:val="21"/>
                <w:szCs w:val="21"/>
              </w:rPr>
              <w:t>；未利用地</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土地利用类型图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占地规模</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w:t>
            </w:r>
            <w:r>
              <w:rPr>
                <w:rFonts w:hint="eastAsia" w:hAnsi="宋体" w:eastAsia="宋体"/>
                <w:color w:val="auto"/>
                <w:sz w:val="21"/>
                <w:szCs w:val="21"/>
                <w:lang w:val="en-US" w:eastAsia="zh-CN"/>
              </w:rPr>
              <w:t>0.42</w:t>
            </w:r>
            <w:r>
              <w:rPr>
                <w:rFonts w:hAnsi="宋体" w:eastAsia="宋体"/>
                <w:color w:val="auto"/>
                <w:sz w:val="21"/>
                <w:szCs w:val="21"/>
              </w:rPr>
              <w:t>）</w:t>
            </w:r>
            <w:r>
              <w:rPr>
                <w:rFonts w:hint="default" w:ascii="Times New Roman" w:hAnsi="Times New Roman" w:cs="Times New Roman"/>
                <w:color w:val="auto"/>
                <w:sz w:val="24"/>
                <w:szCs w:val="24"/>
                <w:lang w:val="en-US" w:eastAsia="zh-CN"/>
              </w:rPr>
              <w:t>km</w:t>
            </w:r>
            <w:r>
              <w:rPr>
                <w:rFonts w:hint="default" w:ascii="Times New Roman" w:hAnsi="Times New Roman" w:cs="Times New Roman"/>
                <w:color w:val="auto"/>
                <w:sz w:val="24"/>
                <w:szCs w:val="24"/>
                <w:vertAlign w:val="superscript"/>
                <w:lang w:val="en-US" w:eastAsia="zh-CN"/>
              </w:rPr>
              <w:t>2</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敏感目标信息</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 xml:space="preserve">敏感目标（ </w:t>
            </w:r>
            <w:r>
              <w:rPr>
                <w:rFonts w:hint="eastAsia" w:hAnsi="宋体" w:eastAsia="宋体"/>
                <w:color w:val="auto"/>
                <w:sz w:val="21"/>
                <w:szCs w:val="21"/>
              </w:rPr>
              <w:t>/</w:t>
            </w:r>
            <w:r>
              <w:rPr>
                <w:rFonts w:hAnsi="宋体" w:eastAsia="宋体"/>
                <w:color w:val="auto"/>
                <w:sz w:val="21"/>
                <w:szCs w:val="21"/>
              </w:rPr>
              <w:t xml:space="preserve">    ）、方位（  </w:t>
            </w:r>
            <w:r>
              <w:rPr>
                <w:rFonts w:hint="eastAsia" w:hAnsi="宋体" w:eastAsia="宋体"/>
                <w:color w:val="auto"/>
                <w:sz w:val="21"/>
                <w:szCs w:val="21"/>
              </w:rPr>
              <w:t>/</w:t>
            </w:r>
            <w:r>
              <w:rPr>
                <w:rFonts w:hAnsi="宋体" w:eastAsia="宋体"/>
                <w:color w:val="auto"/>
                <w:sz w:val="21"/>
                <w:szCs w:val="21"/>
              </w:rPr>
              <w:t xml:space="preserve">   ）、距离（   </w:t>
            </w:r>
            <w:r>
              <w:rPr>
                <w:rFonts w:hint="eastAsia" w:hAnsi="宋体" w:eastAsia="宋体"/>
                <w:color w:val="auto"/>
                <w:sz w:val="21"/>
                <w:szCs w:val="21"/>
              </w:rPr>
              <w:t>/</w:t>
            </w:r>
            <w:r>
              <w:rPr>
                <w:rFonts w:hAnsi="宋体" w:eastAsia="宋体"/>
                <w:color w:val="auto"/>
                <w:sz w:val="21"/>
                <w:szCs w:val="21"/>
              </w:rPr>
              <w:t xml:space="preserve">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影响途径</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大气沉降</w:t>
            </w:r>
            <w:r>
              <w:rPr>
                <w:rFonts w:hAnsi="宋体" w:eastAsia="宋体"/>
                <w:color w:val="auto"/>
                <w:sz w:val="21"/>
                <w:szCs w:val="21"/>
              </w:rPr>
              <w:sym w:font="Wingdings 2" w:char="00A3"/>
            </w:r>
            <w:r>
              <w:rPr>
                <w:rFonts w:hAnsi="宋体" w:eastAsia="宋体"/>
                <w:color w:val="auto"/>
                <w:sz w:val="21"/>
                <w:szCs w:val="21"/>
              </w:rPr>
              <w:t>；地面漫流</w:t>
            </w:r>
            <w:r>
              <w:rPr>
                <w:rFonts w:hAnsi="宋体" w:eastAsia="宋体"/>
                <w:color w:val="auto"/>
                <w:sz w:val="21"/>
                <w:szCs w:val="21"/>
              </w:rPr>
              <w:sym w:font="Wingdings 2" w:char="00A3"/>
            </w:r>
            <w:r>
              <w:rPr>
                <w:rFonts w:hAnsi="宋体" w:eastAsia="宋体"/>
                <w:color w:val="auto"/>
                <w:sz w:val="21"/>
                <w:szCs w:val="21"/>
              </w:rPr>
              <w:t>；垂直入渗</w:t>
            </w:r>
            <w:r>
              <w:rPr>
                <w:rStyle w:val="716"/>
                <w:rFonts w:ascii="宋体" w:hAnsi="Segoe UI Emoji" w:cs="Segoe UI Emoji"/>
                <w:color w:val="auto"/>
                <w:lang w:bidi="ar"/>
              </w:rPr>
              <w:t>☑</w:t>
            </w:r>
            <w:r>
              <w:rPr>
                <w:rFonts w:hAnsi="宋体" w:eastAsia="宋体"/>
                <w:color w:val="auto"/>
                <w:sz w:val="21"/>
                <w:szCs w:val="21"/>
              </w:rPr>
              <w:t>；地下水位</w:t>
            </w:r>
            <w:r>
              <w:rPr>
                <w:rFonts w:hAnsi="宋体" w:eastAsia="宋体"/>
                <w:color w:val="auto"/>
                <w:sz w:val="21"/>
                <w:szCs w:val="21"/>
              </w:rPr>
              <w:sym w:font="Wingdings 2" w:char="00A3"/>
            </w:r>
            <w:r>
              <w:rPr>
                <w:rFonts w:hAnsi="宋体" w:eastAsia="宋体"/>
                <w:color w:val="auto"/>
                <w:sz w:val="21"/>
                <w:szCs w:val="21"/>
              </w:rPr>
              <w:t>；其他（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ascii="Times New Roman" w:eastAsia="宋体"/>
                <w:color w:val="auto"/>
                <w:sz w:val="21"/>
                <w:szCs w:val="21"/>
              </w:rPr>
            </w:pPr>
            <w:r>
              <w:rPr>
                <w:rFonts w:ascii="Times New Roman" w:eastAsia="宋体"/>
                <w:color w:val="auto"/>
                <w:sz w:val="21"/>
                <w:szCs w:val="21"/>
              </w:rPr>
              <w:t>全部污染物</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ascii="Times New Roman" w:eastAsia="宋体"/>
                <w:color w:val="auto"/>
                <w:sz w:val="21"/>
                <w:szCs w:val="21"/>
              </w:rPr>
            </w:pPr>
            <w:r>
              <w:rPr>
                <w:rFonts w:hint="default" w:hAnsi="宋体" w:eastAsia="宋体"/>
                <w:color w:val="auto"/>
                <w:sz w:val="21"/>
                <w:szCs w:val="21"/>
              </w:rPr>
              <w:t>汞</w:t>
            </w:r>
            <w:r>
              <w:rPr>
                <w:rFonts w:hint="eastAsia" w:hAnsi="宋体" w:eastAsia="宋体"/>
                <w:color w:val="auto"/>
                <w:sz w:val="21"/>
                <w:szCs w:val="21"/>
                <w:lang w:eastAsia="zh-CN"/>
              </w:rPr>
              <w:t>、</w:t>
            </w:r>
            <w:r>
              <w:rPr>
                <w:rFonts w:hint="default" w:hAnsi="宋体" w:eastAsia="宋体"/>
                <w:color w:val="auto"/>
                <w:sz w:val="21"/>
                <w:szCs w:val="21"/>
              </w:rPr>
              <w:t>铅</w:t>
            </w:r>
            <w:r>
              <w:rPr>
                <w:rFonts w:hint="eastAsia" w:hAnsi="宋体" w:eastAsia="宋体"/>
                <w:color w:val="auto"/>
                <w:sz w:val="21"/>
                <w:szCs w:val="21"/>
                <w:lang w:eastAsia="zh-CN"/>
              </w:rPr>
              <w:t>、</w:t>
            </w:r>
            <w:r>
              <w:rPr>
                <w:rFonts w:hint="default" w:hAnsi="宋体" w:eastAsia="宋体"/>
                <w:color w:val="auto"/>
                <w:sz w:val="21"/>
                <w:szCs w:val="21"/>
              </w:rPr>
              <w:t>镉</w:t>
            </w:r>
            <w:r>
              <w:rPr>
                <w:rFonts w:hint="eastAsia" w:hAnsi="宋体" w:eastAsia="宋体"/>
                <w:color w:val="auto"/>
                <w:sz w:val="21"/>
                <w:szCs w:val="21"/>
                <w:lang w:eastAsia="zh-CN"/>
              </w:rPr>
              <w:t>、</w:t>
            </w:r>
            <w:r>
              <w:rPr>
                <w:rFonts w:hint="default" w:hAnsi="宋体" w:eastAsia="宋体"/>
                <w:color w:val="auto"/>
                <w:sz w:val="21"/>
                <w:szCs w:val="21"/>
              </w:rPr>
              <w:t>总铬</w:t>
            </w:r>
            <w:r>
              <w:rPr>
                <w:rFonts w:hint="eastAsia" w:hAnsi="宋体" w:eastAsia="宋体"/>
                <w:color w:val="auto"/>
                <w:sz w:val="21"/>
                <w:szCs w:val="21"/>
                <w:lang w:eastAsia="zh-CN"/>
              </w:rPr>
              <w:t>、</w:t>
            </w:r>
            <w:r>
              <w:rPr>
                <w:rFonts w:hint="default" w:hAnsi="宋体" w:eastAsia="宋体"/>
                <w:color w:val="auto"/>
                <w:sz w:val="21"/>
                <w:szCs w:val="21"/>
              </w:rPr>
              <w:t>铬（六价）</w:t>
            </w:r>
            <w:r>
              <w:rPr>
                <w:rFonts w:hint="eastAsia" w:hAnsi="宋体" w:eastAsia="宋体"/>
                <w:color w:val="auto"/>
                <w:sz w:val="21"/>
                <w:szCs w:val="21"/>
                <w:lang w:eastAsia="zh-CN"/>
              </w:rPr>
              <w:t>、</w:t>
            </w:r>
            <w:r>
              <w:rPr>
                <w:rFonts w:hint="default" w:hAnsi="宋体" w:eastAsia="宋体"/>
                <w:color w:val="auto"/>
                <w:sz w:val="21"/>
                <w:szCs w:val="21"/>
              </w:rPr>
              <w:t>铜</w:t>
            </w:r>
            <w:r>
              <w:rPr>
                <w:rFonts w:hint="eastAsia" w:hAnsi="宋体" w:eastAsia="宋体"/>
                <w:color w:val="auto"/>
                <w:sz w:val="21"/>
                <w:szCs w:val="21"/>
                <w:lang w:eastAsia="zh-CN"/>
              </w:rPr>
              <w:t>、</w:t>
            </w:r>
            <w:r>
              <w:rPr>
                <w:rFonts w:hint="default" w:hAnsi="宋体" w:eastAsia="宋体"/>
                <w:color w:val="auto"/>
                <w:sz w:val="21"/>
                <w:szCs w:val="21"/>
              </w:rPr>
              <w:t>锌</w:t>
            </w:r>
            <w:r>
              <w:rPr>
                <w:rFonts w:hint="eastAsia" w:hAnsi="宋体" w:eastAsia="宋体"/>
                <w:color w:val="auto"/>
                <w:sz w:val="21"/>
                <w:szCs w:val="21"/>
                <w:lang w:eastAsia="zh-CN"/>
              </w:rPr>
              <w:t>、</w:t>
            </w:r>
            <w:r>
              <w:rPr>
                <w:rFonts w:hint="default" w:hAnsi="宋体" w:eastAsia="宋体"/>
                <w:color w:val="auto"/>
                <w:sz w:val="21"/>
                <w:szCs w:val="21"/>
              </w:rPr>
              <w:t>铍</w:t>
            </w:r>
            <w:r>
              <w:rPr>
                <w:rFonts w:hint="eastAsia" w:hAnsi="宋体" w:eastAsia="宋体"/>
                <w:color w:val="auto"/>
                <w:sz w:val="21"/>
                <w:szCs w:val="21"/>
                <w:lang w:eastAsia="zh-CN"/>
              </w:rPr>
              <w:t>、</w:t>
            </w:r>
            <w:r>
              <w:rPr>
                <w:rFonts w:hint="default" w:hAnsi="宋体" w:eastAsia="宋体"/>
                <w:color w:val="auto"/>
                <w:sz w:val="21"/>
                <w:szCs w:val="21"/>
              </w:rPr>
              <w:t>钡</w:t>
            </w:r>
            <w:r>
              <w:rPr>
                <w:rFonts w:hint="eastAsia" w:hAnsi="宋体" w:eastAsia="宋体"/>
                <w:color w:val="auto"/>
                <w:sz w:val="21"/>
                <w:szCs w:val="21"/>
                <w:lang w:eastAsia="zh-CN"/>
              </w:rPr>
              <w:t>、</w:t>
            </w:r>
            <w:r>
              <w:rPr>
                <w:rFonts w:hint="default" w:hAnsi="宋体" w:eastAsia="宋体"/>
                <w:color w:val="auto"/>
                <w:sz w:val="21"/>
                <w:szCs w:val="21"/>
              </w:rPr>
              <w:t>镍</w:t>
            </w:r>
            <w:r>
              <w:rPr>
                <w:rFonts w:hint="eastAsia" w:hAnsi="宋体" w:eastAsia="宋体"/>
                <w:color w:val="auto"/>
                <w:sz w:val="21"/>
                <w:szCs w:val="21"/>
                <w:lang w:eastAsia="zh-CN"/>
              </w:rPr>
              <w:t>、</w:t>
            </w:r>
            <w:r>
              <w:rPr>
                <w:rFonts w:hint="default" w:hAnsi="宋体" w:eastAsia="宋体"/>
                <w:color w:val="auto"/>
                <w:sz w:val="21"/>
                <w:szCs w:val="21"/>
              </w:rPr>
              <w:t>砷</w:t>
            </w:r>
            <w:r>
              <w:rPr>
                <w:rFonts w:hint="eastAsia" w:hAnsi="宋体" w:eastAsia="宋体"/>
                <w:color w:val="auto"/>
                <w:sz w:val="21"/>
                <w:szCs w:val="21"/>
                <w:lang w:eastAsia="zh-CN"/>
              </w:rPr>
              <w:t>、</w:t>
            </w:r>
            <w:r>
              <w:rPr>
                <w:rFonts w:hint="default" w:hAnsi="宋体" w:eastAsia="宋体"/>
                <w:color w:val="auto"/>
                <w:sz w:val="21"/>
                <w:szCs w:val="21"/>
              </w:rPr>
              <w:t>氟化物</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特征因子</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int="eastAsia" w:hAnsi="宋体" w:eastAsia="宋体"/>
                <w:color w:val="auto"/>
                <w:sz w:val="21"/>
                <w:szCs w:val="21"/>
              </w:rPr>
            </w:pPr>
            <w:r>
              <w:rPr>
                <w:rFonts w:hint="default" w:hAnsi="宋体" w:eastAsia="宋体"/>
                <w:color w:val="auto"/>
                <w:sz w:val="21"/>
                <w:szCs w:val="21"/>
              </w:rPr>
              <w:t>铜</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所属土壤环境影响评价项目类别</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Ⅰ类</w:t>
            </w:r>
            <w:r>
              <w:rPr>
                <w:rStyle w:val="716"/>
                <w:rFonts w:ascii="宋体" w:hAnsi="Segoe UI Emoji" w:cs="Segoe UI Emoji"/>
                <w:color w:val="auto"/>
                <w:lang w:bidi="ar"/>
              </w:rPr>
              <w:t>☑</w:t>
            </w:r>
            <w:r>
              <w:rPr>
                <w:rFonts w:hAnsi="宋体" w:eastAsia="宋体"/>
                <w:color w:val="auto"/>
                <w:sz w:val="21"/>
                <w:szCs w:val="21"/>
              </w:rPr>
              <w:t>；Ⅱ类</w:t>
            </w:r>
            <w:r>
              <w:rPr>
                <w:rFonts w:hAnsi="宋体" w:eastAsia="宋体"/>
                <w:color w:val="auto"/>
                <w:sz w:val="21"/>
                <w:szCs w:val="21"/>
              </w:rPr>
              <w:sym w:font="Wingdings 2" w:char="00A3"/>
            </w:r>
            <w:r>
              <w:rPr>
                <w:rFonts w:hAnsi="宋体" w:eastAsia="宋体"/>
                <w:color w:val="auto"/>
                <w:sz w:val="21"/>
                <w:szCs w:val="21"/>
              </w:rPr>
              <w:t>；Ⅲ类</w:t>
            </w:r>
            <w:r>
              <w:rPr>
                <w:rFonts w:hAnsi="宋体" w:eastAsia="宋体"/>
                <w:color w:val="auto"/>
                <w:sz w:val="21"/>
                <w:szCs w:val="21"/>
              </w:rPr>
              <w:sym w:font="Wingdings 2" w:char="00A3"/>
            </w:r>
            <w:r>
              <w:rPr>
                <w:rFonts w:hAnsi="宋体" w:eastAsia="宋体"/>
                <w:color w:val="auto"/>
                <w:sz w:val="21"/>
                <w:szCs w:val="21"/>
              </w:rPr>
              <w:t>；Ⅳ类</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敏感程度</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敏感</w:t>
            </w:r>
            <w:r>
              <w:rPr>
                <w:rFonts w:hAnsi="宋体" w:eastAsia="宋体"/>
                <w:color w:val="auto"/>
                <w:sz w:val="21"/>
                <w:szCs w:val="21"/>
              </w:rPr>
              <w:sym w:font="Wingdings 2" w:char="00A3"/>
            </w:r>
            <w:r>
              <w:rPr>
                <w:rFonts w:hAnsi="宋体" w:eastAsia="宋体"/>
                <w:color w:val="auto"/>
                <w:sz w:val="21"/>
                <w:szCs w:val="21"/>
              </w:rPr>
              <w:t>；较敏感</w:t>
            </w:r>
            <w:r>
              <w:rPr>
                <w:rStyle w:val="716"/>
                <w:rFonts w:ascii="宋体" w:hAnsi="Segoe UI Emoji" w:cs="Segoe UI Emoji"/>
                <w:color w:val="auto"/>
                <w:lang w:bidi="ar"/>
              </w:rPr>
              <w:t>☑</w:t>
            </w:r>
            <w:r>
              <w:rPr>
                <w:rFonts w:hAnsi="宋体" w:eastAsia="宋体"/>
                <w:color w:val="auto"/>
                <w:sz w:val="21"/>
                <w:szCs w:val="21"/>
              </w:rPr>
              <w:t>；不敏感</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7" w:type="dxa"/>
            <w:gridSpan w:val="2"/>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评价工作等级</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一级</w:t>
            </w:r>
            <w:r>
              <w:rPr>
                <w:rFonts w:hAnsi="宋体" w:eastAsia="宋体"/>
                <w:color w:val="auto"/>
                <w:sz w:val="21"/>
                <w:szCs w:val="21"/>
              </w:rPr>
              <w:sym w:font="Wingdings 2" w:char="00A3"/>
            </w:r>
            <w:r>
              <w:rPr>
                <w:rFonts w:hAnsi="宋体" w:eastAsia="宋体"/>
                <w:color w:val="auto"/>
                <w:sz w:val="21"/>
                <w:szCs w:val="21"/>
              </w:rPr>
              <w:t>；二级</w:t>
            </w:r>
            <w:r>
              <w:rPr>
                <w:rStyle w:val="716"/>
                <w:rFonts w:ascii="宋体" w:hAnsi="Segoe UI Emoji" w:cs="Segoe UI Emoji"/>
                <w:color w:val="auto"/>
                <w:lang w:bidi="ar"/>
              </w:rPr>
              <w:t>☑</w:t>
            </w:r>
            <w:r>
              <w:rPr>
                <w:rFonts w:hAnsi="宋体" w:eastAsia="宋体"/>
                <w:color w:val="auto"/>
                <w:sz w:val="21"/>
                <w:szCs w:val="21"/>
              </w:rPr>
              <w:t>；三级</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现状调查内容</w:t>
            </w: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资料收集</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a）</w:t>
            </w:r>
            <w:r>
              <w:rPr>
                <w:rFonts w:hAnsi="宋体" w:eastAsia="宋体"/>
                <w:color w:val="auto"/>
                <w:sz w:val="21"/>
                <w:szCs w:val="21"/>
              </w:rPr>
              <w:sym w:font="Wingdings 2" w:char="00A3"/>
            </w:r>
            <w:r>
              <w:rPr>
                <w:rFonts w:hAnsi="宋体" w:eastAsia="宋体"/>
                <w:color w:val="auto"/>
                <w:sz w:val="21"/>
                <w:szCs w:val="21"/>
              </w:rPr>
              <w:t>；b）</w:t>
            </w:r>
            <w:r>
              <w:rPr>
                <w:rFonts w:hAnsi="宋体" w:eastAsia="宋体"/>
                <w:color w:val="auto"/>
                <w:sz w:val="21"/>
                <w:szCs w:val="21"/>
              </w:rPr>
              <w:sym w:font="Wingdings 2" w:char="00A3"/>
            </w:r>
            <w:r>
              <w:rPr>
                <w:rFonts w:hAnsi="宋体" w:eastAsia="宋体"/>
                <w:color w:val="auto"/>
                <w:sz w:val="21"/>
                <w:szCs w:val="21"/>
              </w:rPr>
              <w:t>；c）</w:t>
            </w:r>
            <w:r>
              <w:rPr>
                <w:rFonts w:hAnsi="宋体" w:eastAsia="宋体"/>
                <w:color w:val="auto"/>
                <w:sz w:val="21"/>
                <w:szCs w:val="21"/>
              </w:rPr>
              <w:sym w:font="Wingdings 2" w:char="00A3"/>
            </w:r>
            <w:r>
              <w:rPr>
                <w:rFonts w:hAnsi="宋体" w:eastAsia="宋体"/>
                <w:color w:val="auto"/>
                <w:sz w:val="21"/>
                <w:szCs w:val="21"/>
              </w:rPr>
              <w:t>；d）</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理化特性</w:t>
            </w:r>
          </w:p>
        </w:tc>
        <w:tc>
          <w:tcPr>
            <w:tcW w:w="5841" w:type="dxa"/>
            <w:gridSpan w:val="6"/>
            <w:tcBorders>
              <w:tl2br w:val="nil"/>
              <w:tr2bl w:val="nil"/>
            </w:tcBorders>
            <w:noWrap w:val="0"/>
            <w:vAlign w:val="center"/>
          </w:tcPr>
          <w:p>
            <w:pPr>
              <w:pStyle w:val="450"/>
              <w:snapToGrid w:val="0"/>
              <w:spacing w:line="240" w:lineRule="atLeast"/>
              <w:ind w:firstLine="27"/>
              <w:textAlignment w:val="auto"/>
              <w:rPr>
                <w:rFonts w:hint="eastAsia" w:hAnsi="宋体" w:eastAsia="宋体"/>
                <w:color w:val="auto"/>
                <w:sz w:val="21"/>
                <w:szCs w:val="21"/>
              </w:rPr>
            </w:pPr>
            <w:r>
              <w:rPr>
                <w:rFonts w:hint="eastAsia" w:hAnsi="宋体" w:eastAsia="宋体"/>
                <w:color w:val="auto"/>
                <w:sz w:val="21"/>
                <w:szCs w:val="21"/>
              </w:rPr>
              <w:t>/</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同附录C</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现状监测点位</w:t>
            </w:r>
          </w:p>
        </w:tc>
        <w:tc>
          <w:tcPr>
            <w:tcW w:w="1536"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42"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占地范围内</w:t>
            </w:r>
          </w:p>
        </w:tc>
        <w:tc>
          <w:tcPr>
            <w:tcW w:w="1620" w:type="dxa"/>
            <w:gridSpan w:val="3"/>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占地范围外</w:t>
            </w:r>
          </w:p>
        </w:tc>
        <w:tc>
          <w:tcPr>
            <w:tcW w:w="114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深度</w:t>
            </w:r>
          </w:p>
        </w:tc>
        <w:tc>
          <w:tcPr>
            <w:tcW w:w="998" w:type="dxa"/>
            <w:vMerge w:val="restart"/>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rPr>
            </w:pPr>
            <w:r>
              <w:rPr>
                <w:rFonts w:hAnsi="宋体" w:eastAsia="宋体"/>
                <w:color w:val="auto"/>
                <w:sz w:val="21"/>
                <w:szCs w:val="21"/>
              </w:rPr>
              <w:t>点位</w:t>
            </w:r>
          </w:p>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布置图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6"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表层样点数</w:t>
            </w:r>
          </w:p>
        </w:tc>
        <w:tc>
          <w:tcPr>
            <w:tcW w:w="1542" w:type="dxa"/>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lang w:eastAsia="zh-CN"/>
              </w:rPr>
            </w:pPr>
            <w:r>
              <w:rPr>
                <w:rFonts w:hint="eastAsia" w:hAnsi="宋体" w:eastAsia="宋体"/>
                <w:color w:val="auto"/>
                <w:sz w:val="21"/>
                <w:szCs w:val="21"/>
                <w:lang w:val="en-US" w:eastAsia="zh-CN"/>
              </w:rPr>
              <w:t>3</w:t>
            </w:r>
          </w:p>
        </w:tc>
        <w:tc>
          <w:tcPr>
            <w:tcW w:w="1620" w:type="dxa"/>
            <w:gridSpan w:val="3"/>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lang w:eastAsia="zh-CN"/>
              </w:rPr>
            </w:pPr>
            <w:r>
              <w:rPr>
                <w:rFonts w:hint="eastAsia" w:hAnsi="宋体" w:eastAsia="宋体"/>
                <w:color w:val="auto"/>
                <w:sz w:val="21"/>
                <w:szCs w:val="21"/>
                <w:lang w:val="en-US" w:eastAsia="zh-CN"/>
              </w:rPr>
              <w:t>2</w:t>
            </w:r>
          </w:p>
        </w:tc>
        <w:tc>
          <w:tcPr>
            <w:tcW w:w="114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998"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6"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柱状样点数</w:t>
            </w:r>
          </w:p>
        </w:tc>
        <w:tc>
          <w:tcPr>
            <w:tcW w:w="1542" w:type="dxa"/>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lang w:eastAsia="zh-CN"/>
              </w:rPr>
            </w:pPr>
            <w:r>
              <w:rPr>
                <w:rFonts w:hint="eastAsia" w:hAnsi="宋体" w:eastAsia="宋体"/>
                <w:color w:val="auto"/>
                <w:sz w:val="21"/>
                <w:szCs w:val="21"/>
                <w:lang w:val="en-US" w:eastAsia="zh-CN"/>
              </w:rPr>
              <w:t>1</w:t>
            </w:r>
          </w:p>
        </w:tc>
        <w:tc>
          <w:tcPr>
            <w:tcW w:w="1620" w:type="dxa"/>
            <w:gridSpan w:val="3"/>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14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998"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现状监测因子</w:t>
            </w:r>
          </w:p>
        </w:tc>
        <w:tc>
          <w:tcPr>
            <w:tcW w:w="5841" w:type="dxa"/>
            <w:gridSpan w:val="6"/>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砷、镉、铬、铜、铅、汞、镍</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现状评价</w:t>
            </w: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评价因子</w:t>
            </w:r>
          </w:p>
        </w:tc>
        <w:tc>
          <w:tcPr>
            <w:tcW w:w="5841" w:type="dxa"/>
            <w:gridSpan w:val="6"/>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砷、镉、铬、铜、铅、汞、镍</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评价标准</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GB15618</w:t>
            </w:r>
            <w:r>
              <w:rPr>
                <w:rFonts w:hAnsi="宋体" w:eastAsia="宋体"/>
                <w:color w:val="auto"/>
                <w:sz w:val="21"/>
                <w:szCs w:val="21"/>
              </w:rPr>
              <w:sym w:font="Wingdings 2" w:char="00A3"/>
            </w:r>
            <w:r>
              <w:rPr>
                <w:rFonts w:hAnsi="宋体" w:eastAsia="宋体"/>
                <w:color w:val="auto"/>
                <w:sz w:val="21"/>
                <w:szCs w:val="21"/>
              </w:rPr>
              <w:t>；GB36600</w:t>
            </w:r>
            <w:r>
              <w:rPr>
                <w:rStyle w:val="716"/>
                <w:rFonts w:ascii="宋体" w:hAnsi="Segoe UI Emoji" w:cs="Segoe UI Emoji"/>
                <w:color w:val="auto"/>
                <w:lang w:bidi="ar"/>
              </w:rPr>
              <w:t>☑</w:t>
            </w:r>
            <w:r>
              <w:rPr>
                <w:rFonts w:hAnsi="宋体" w:eastAsia="宋体"/>
                <w:color w:val="auto"/>
                <w:sz w:val="21"/>
                <w:szCs w:val="21"/>
              </w:rPr>
              <w:t>；表D.1</w:t>
            </w:r>
            <w:r>
              <w:rPr>
                <w:rFonts w:hAnsi="宋体" w:eastAsia="宋体"/>
                <w:color w:val="auto"/>
                <w:sz w:val="21"/>
                <w:szCs w:val="21"/>
              </w:rPr>
              <w:sym w:font="Wingdings 2" w:char="00A3"/>
            </w:r>
            <w:r>
              <w:rPr>
                <w:rFonts w:hAnsi="宋体" w:eastAsia="宋体"/>
                <w:color w:val="auto"/>
                <w:sz w:val="21"/>
                <w:szCs w:val="21"/>
              </w:rPr>
              <w:t>；表D.2</w:t>
            </w:r>
            <w:r>
              <w:rPr>
                <w:rFonts w:hAnsi="宋体" w:eastAsia="宋体"/>
                <w:color w:val="auto"/>
                <w:sz w:val="21"/>
                <w:szCs w:val="21"/>
              </w:rPr>
              <w:sym w:font="Wingdings 2" w:char="00A3"/>
            </w:r>
            <w:r>
              <w:rPr>
                <w:rFonts w:hAnsi="宋体" w:eastAsia="宋体"/>
                <w:color w:val="auto"/>
                <w:sz w:val="21"/>
                <w:szCs w:val="21"/>
              </w:rPr>
              <w:t>；其他（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现状评价结论</w:t>
            </w:r>
          </w:p>
        </w:tc>
        <w:tc>
          <w:tcPr>
            <w:tcW w:w="5841" w:type="dxa"/>
            <w:gridSpan w:val="6"/>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项目所在区域土壤背景值良好</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影响预测</w:t>
            </w: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预测因子</w:t>
            </w:r>
          </w:p>
        </w:tc>
        <w:tc>
          <w:tcPr>
            <w:tcW w:w="5841" w:type="dxa"/>
            <w:gridSpan w:val="6"/>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预测方法</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附录E</w:t>
            </w:r>
            <w:r>
              <w:rPr>
                <w:rFonts w:hAnsi="宋体" w:eastAsia="宋体"/>
                <w:color w:val="auto"/>
                <w:sz w:val="21"/>
                <w:szCs w:val="21"/>
              </w:rPr>
              <w:sym w:font="Wingdings 2" w:char="00A3"/>
            </w:r>
            <w:r>
              <w:rPr>
                <w:rFonts w:hAnsi="宋体" w:eastAsia="宋体"/>
                <w:color w:val="auto"/>
                <w:sz w:val="21"/>
                <w:szCs w:val="21"/>
              </w:rPr>
              <w:t>；附录F</w:t>
            </w:r>
            <w:r>
              <w:rPr>
                <w:rFonts w:hAnsi="宋体" w:eastAsia="宋体"/>
                <w:color w:val="auto"/>
                <w:sz w:val="21"/>
                <w:szCs w:val="21"/>
              </w:rPr>
              <w:sym w:font="Wingdings 2" w:char="00A3"/>
            </w:r>
            <w:r>
              <w:rPr>
                <w:rFonts w:hAnsi="宋体" w:eastAsia="宋体"/>
                <w:color w:val="auto"/>
                <w:sz w:val="21"/>
                <w:szCs w:val="21"/>
              </w:rPr>
              <w:t>；其他（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预测分析内容</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影响范围（      ）</w:t>
            </w:r>
            <w:r>
              <w:rPr>
                <w:rFonts w:hint="eastAsia" w:hAnsi="宋体" w:eastAsia="宋体"/>
                <w:color w:val="auto"/>
                <w:sz w:val="21"/>
                <w:szCs w:val="21"/>
              </w:rPr>
              <w:t xml:space="preserve"> </w:t>
            </w:r>
            <w:r>
              <w:rPr>
                <w:rFonts w:hAnsi="宋体" w:eastAsia="宋体"/>
                <w:color w:val="auto"/>
                <w:sz w:val="21"/>
                <w:szCs w:val="21"/>
              </w:rPr>
              <w:t>影响程度（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预测结论</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达标结论：a）</w:t>
            </w:r>
            <w:r>
              <w:rPr>
                <w:rFonts w:hAnsi="宋体" w:eastAsia="宋体"/>
                <w:color w:val="auto"/>
                <w:sz w:val="21"/>
                <w:szCs w:val="21"/>
              </w:rPr>
              <w:sym w:font="Wingdings 2" w:char="00A3"/>
            </w:r>
            <w:r>
              <w:rPr>
                <w:rFonts w:hAnsi="宋体" w:eastAsia="宋体"/>
                <w:color w:val="auto"/>
                <w:sz w:val="21"/>
                <w:szCs w:val="21"/>
              </w:rPr>
              <w:t>；b）</w:t>
            </w:r>
            <w:r>
              <w:rPr>
                <w:rFonts w:hAnsi="宋体" w:eastAsia="宋体"/>
                <w:color w:val="auto"/>
                <w:sz w:val="21"/>
                <w:szCs w:val="21"/>
              </w:rPr>
              <w:sym w:font="Wingdings 2" w:char="00A3"/>
            </w:r>
            <w:r>
              <w:rPr>
                <w:rFonts w:hAnsi="宋体" w:eastAsia="宋体"/>
                <w:color w:val="auto"/>
                <w:sz w:val="21"/>
                <w:szCs w:val="21"/>
              </w:rPr>
              <w:t>；c）</w:t>
            </w:r>
            <w:r>
              <w:rPr>
                <w:rFonts w:hAnsi="宋体" w:eastAsia="宋体"/>
                <w:color w:val="auto"/>
                <w:sz w:val="21"/>
                <w:szCs w:val="21"/>
              </w:rPr>
              <w:sym w:font="Wingdings 2" w:char="00A3"/>
            </w:r>
          </w:p>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不达标结论：a）</w:t>
            </w:r>
            <w:r>
              <w:rPr>
                <w:rFonts w:hAnsi="宋体" w:eastAsia="宋体"/>
                <w:color w:val="auto"/>
                <w:sz w:val="21"/>
                <w:szCs w:val="21"/>
              </w:rPr>
              <w:sym w:font="Wingdings 2" w:char="00A3"/>
            </w:r>
            <w:r>
              <w:rPr>
                <w:rFonts w:hAnsi="宋体" w:eastAsia="宋体"/>
                <w:color w:val="auto"/>
                <w:sz w:val="21"/>
                <w:szCs w:val="21"/>
              </w:rPr>
              <w:t>；b）</w:t>
            </w:r>
            <w:r>
              <w:rPr>
                <w:rFonts w:hAnsi="宋体" w:eastAsia="宋体"/>
                <w:color w:val="auto"/>
                <w:sz w:val="21"/>
                <w:szCs w:val="21"/>
              </w:rPr>
              <w:sym w:font="Wingdings 2" w:char="00A3"/>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防治措施</w:t>
            </w: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防控措施</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r>
              <w:rPr>
                <w:rFonts w:hAnsi="宋体" w:eastAsia="宋体"/>
                <w:color w:val="auto"/>
                <w:sz w:val="21"/>
                <w:szCs w:val="21"/>
              </w:rPr>
              <w:t>土壤环境质量现状保障</w:t>
            </w:r>
            <w:r>
              <w:rPr>
                <w:rFonts w:hAnsi="宋体" w:eastAsia="宋体"/>
                <w:color w:val="auto"/>
                <w:sz w:val="21"/>
                <w:szCs w:val="21"/>
              </w:rPr>
              <w:sym w:font="Wingdings 2" w:char="00A3"/>
            </w:r>
            <w:r>
              <w:rPr>
                <w:rFonts w:hAnsi="宋体" w:eastAsia="宋体"/>
                <w:color w:val="auto"/>
                <w:sz w:val="21"/>
                <w:szCs w:val="21"/>
              </w:rPr>
              <w:t>；源头控制</w:t>
            </w:r>
            <w:r>
              <w:rPr>
                <w:rFonts w:hAnsi="宋体" w:eastAsia="宋体"/>
                <w:color w:val="auto"/>
                <w:sz w:val="21"/>
                <w:szCs w:val="21"/>
              </w:rPr>
              <w:sym w:font="Wingdings 2" w:char="00A3"/>
            </w:r>
            <w:r>
              <w:rPr>
                <w:rFonts w:hAnsi="宋体" w:eastAsia="宋体"/>
                <w:color w:val="auto"/>
                <w:sz w:val="21"/>
                <w:szCs w:val="21"/>
              </w:rPr>
              <w:t>；过程防控</w:t>
            </w:r>
            <w:r>
              <w:rPr>
                <w:rFonts w:hAnsi="宋体" w:eastAsia="宋体"/>
                <w:color w:val="auto"/>
                <w:sz w:val="21"/>
                <w:szCs w:val="21"/>
              </w:rPr>
              <w:sym w:font="Wingdings 2" w:char="00A3"/>
            </w:r>
            <w:r>
              <w:rPr>
                <w:rFonts w:hAnsi="宋体" w:eastAsia="宋体"/>
                <w:color w:val="auto"/>
                <w:sz w:val="21"/>
                <w:szCs w:val="21"/>
              </w:rPr>
              <w:t>；其他（    ）</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vMerge w:val="restart"/>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跟踪监测</w:t>
            </w:r>
          </w:p>
        </w:tc>
        <w:tc>
          <w:tcPr>
            <w:tcW w:w="3109" w:type="dxa"/>
            <w:gridSpan w:val="3"/>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监测点数</w:t>
            </w:r>
          </w:p>
        </w:tc>
        <w:tc>
          <w:tcPr>
            <w:tcW w:w="116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监测指标</w:t>
            </w:r>
          </w:p>
        </w:tc>
        <w:tc>
          <w:tcPr>
            <w:tcW w:w="1564" w:type="dxa"/>
            <w:gridSpan w:val="2"/>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监测频次</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3109" w:type="dxa"/>
            <w:gridSpan w:val="3"/>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一个</w:t>
            </w:r>
          </w:p>
        </w:tc>
        <w:tc>
          <w:tcPr>
            <w:tcW w:w="1168" w:type="dxa"/>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rPr>
            </w:pPr>
            <w:r>
              <w:rPr>
                <w:rFonts w:hAnsi="宋体" w:eastAsia="宋体"/>
                <w:color w:val="auto"/>
                <w:sz w:val="21"/>
                <w:szCs w:val="21"/>
              </w:rPr>
              <w:t>铜</w:t>
            </w:r>
          </w:p>
        </w:tc>
        <w:tc>
          <w:tcPr>
            <w:tcW w:w="1564" w:type="dxa"/>
            <w:gridSpan w:val="2"/>
            <w:tcBorders>
              <w:tl2br w:val="nil"/>
              <w:tr2bl w:val="nil"/>
            </w:tcBorders>
            <w:noWrap w:val="0"/>
            <w:vAlign w:val="center"/>
          </w:tcPr>
          <w:p>
            <w:pPr>
              <w:pStyle w:val="450"/>
              <w:snapToGrid w:val="0"/>
              <w:spacing w:line="240" w:lineRule="atLeast"/>
              <w:ind w:firstLine="27"/>
              <w:jc w:val="center"/>
              <w:textAlignment w:val="auto"/>
              <w:rPr>
                <w:rFonts w:hint="eastAsia" w:hAnsi="宋体" w:eastAsia="宋体"/>
                <w:color w:val="auto"/>
                <w:sz w:val="21"/>
                <w:szCs w:val="21"/>
              </w:rPr>
            </w:pPr>
            <w:r>
              <w:rPr>
                <w:rFonts w:hint="eastAsia" w:hAnsi="宋体" w:eastAsia="宋体"/>
                <w:color w:val="auto"/>
                <w:sz w:val="21"/>
                <w:szCs w:val="21"/>
              </w:rPr>
              <w:t>每</w:t>
            </w:r>
            <w:r>
              <w:rPr>
                <w:rFonts w:hAnsi="宋体" w:eastAsia="宋体"/>
                <w:color w:val="auto"/>
                <w:sz w:val="21"/>
                <w:szCs w:val="21"/>
              </w:rPr>
              <w:t>五年</w:t>
            </w:r>
          </w:p>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监测一次</w:t>
            </w: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c>
          <w:tcPr>
            <w:tcW w:w="1533"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信息公开指标</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7" w:type="dxa"/>
            <w:gridSpan w:val="2"/>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r>
              <w:rPr>
                <w:rFonts w:hAnsi="宋体" w:eastAsia="宋体"/>
                <w:color w:val="auto"/>
                <w:sz w:val="21"/>
                <w:szCs w:val="21"/>
              </w:rPr>
              <w:t>评价结论</w:t>
            </w:r>
          </w:p>
        </w:tc>
        <w:tc>
          <w:tcPr>
            <w:tcW w:w="5841" w:type="dxa"/>
            <w:gridSpan w:val="6"/>
            <w:tcBorders>
              <w:tl2br w:val="nil"/>
              <w:tr2bl w:val="nil"/>
            </w:tcBorders>
            <w:noWrap w:val="0"/>
            <w:vAlign w:val="center"/>
          </w:tcPr>
          <w:p>
            <w:pPr>
              <w:pStyle w:val="450"/>
              <w:snapToGrid w:val="0"/>
              <w:spacing w:line="240" w:lineRule="atLeast"/>
              <w:ind w:firstLine="27"/>
              <w:jc w:val="left"/>
              <w:textAlignment w:val="auto"/>
              <w:rPr>
                <w:rFonts w:hAnsi="宋体" w:eastAsia="宋体"/>
                <w:color w:val="auto"/>
                <w:sz w:val="21"/>
                <w:szCs w:val="21"/>
              </w:rPr>
            </w:pPr>
          </w:p>
        </w:tc>
        <w:tc>
          <w:tcPr>
            <w:tcW w:w="998" w:type="dxa"/>
            <w:tcBorders>
              <w:tl2br w:val="nil"/>
              <w:tr2bl w:val="nil"/>
            </w:tcBorders>
            <w:noWrap w:val="0"/>
            <w:vAlign w:val="center"/>
          </w:tcPr>
          <w:p>
            <w:pPr>
              <w:pStyle w:val="450"/>
              <w:snapToGrid w:val="0"/>
              <w:spacing w:line="240" w:lineRule="atLeast"/>
              <w:ind w:firstLine="27"/>
              <w:jc w:val="center"/>
              <w:textAlignment w:val="auto"/>
              <w:rPr>
                <w:rFonts w:hAnsi="宋体"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8" w:type="dxa"/>
            <w:gridSpan w:val="8"/>
            <w:tcBorders>
              <w:tl2br w:val="nil"/>
              <w:tr2bl w:val="nil"/>
            </w:tcBorders>
            <w:noWrap w:val="0"/>
            <w:vAlign w:val="center"/>
          </w:tcPr>
          <w:p>
            <w:pPr>
              <w:pStyle w:val="450"/>
              <w:snapToGrid w:val="0"/>
              <w:spacing w:line="240" w:lineRule="atLeast"/>
              <w:ind w:firstLine="396" w:firstLineChars="200"/>
              <w:textAlignment w:val="auto"/>
              <w:rPr>
                <w:rFonts w:hAnsi="宋体" w:eastAsia="宋体"/>
                <w:color w:val="auto"/>
                <w:spacing w:val="-6"/>
                <w:sz w:val="21"/>
                <w:szCs w:val="21"/>
              </w:rPr>
            </w:pPr>
            <w:r>
              <w:rPr>
                <w:rFonts w:hAnsi="宋体" w:eastAsia="宋体"/>
                <w:color w:val="auto"/>
                <w:spacing w:val="-6"/>
                <w:sz w:val="21"/>
                <w:szCs w:val="21"/>
              </w:rPr>
              <w:t>注1：“</w:t>
            </w:r>
            <w:r>
              <w:rPr>
                <w:rFonts w:hAnsi="宋体" w:eastAsia="宋体"/>
                <w:color w:val="auto"/>
                <w:sz w:val="21"/>
                <w:szCs w:val="21"/>
              </w:rPr>
              <w:t>□</w:t>
            </w:r>
            <w:r>
              <w:rPr>
                <w:rFonts w:hAnsi="宋体" w:eastAsia="宋体"/>
                <w:color w:val="auto"/>
                <w:spacing w:val="-6"/>
                <w:sz w:val="21"/>
                <w:szCs w:val="21"/>
              </w:rPr>
              <w:t>”为勾选项，可√；“（  ）”为内容填写项；“备注”为其他补充内容。</w:t>
            </w:r>
          </w:p>
          <w:p>
            <w:pPr>
              <w:pStyle w:val="450"/>
              <w:snapToGrid w:val="0"/>
              <w:spacing w:line="240" w:lineRule="atLeast"/>
              <w:ind w:firstLine="396" w:firstLineChars="200"/>
              <w:textAlignment w:val="auto"/>
              <w:rPr>
                <w:rFonts w:hAnsi="宋体" w:eastAsia="宋体"/>
                <w:color w:val="auto"/>
                <w:spacing w:val="-6"/>
                <w:sz w:val="21"/>
                <w:szCs w:val="21"/>
              </w:rPr>
            </w:pPr>
            <w:r>
              <w:rPr>
                <w:rFonts w:hAnsi="宋体" w:eastAsia="宋体"/>
                <w:color w:val="auto"/>
                <w:spacing w:val="-6"/>
                <w:sz w:val="21"/>
                <w:szCs w:val="21"/>
              </w:rPr>
              <w:t>注2：需要分别开展土壤环境影响评级工作的，分别填写自查表。</w:t>
            </w:r>
          </w:p>
        </w:tc>
        <w:tc>
          <w:tcPr>
            <w:tcW w:w="998" w:type="dxa"/>
            <w:tcBorders>
              <w:tl2br w:val="nil"/>
              <w:tr2bl w:val="nil"/>
            </w:tcBorders>
            <w:noWrap w:val="0"/>
            <w:vAlign w:val="center"/>
          </w:tcPr>
          <w:p>
            <w:pPr>
              <w:pStyle w:val="450"/>
              <w:snapToGrid w:val="0"/>
              <w:spacing w:line="240" w:lineRule="atLeast"/>
              <w:ind w:firstLine="27"/>
              <w:textAlignment w:val="auto"/>
              <w:rPr>
                <w:rFonts w:hAnsi="宋体" w:eastAsia="宋体"/>
                <w:color w:val="auto"/>
                <w:spacing w:val="-6"/>
                <w:sz w:val="21"/>
                <w:szCs w:val="21"/>
              </w:rPr>
            </w:pPr>
          </w:p>
        </w:tc>
      </w:tr>
    </w:tbl>
    <w:p>
      <w:pPr>
        <w:pStyle w:val="2"/>
        <w:rPr>
          <w:rFonts w:hint="default"/>
          <w:color w:val="auto"/>
        </w:rPr>
      </w:pPr>
    </w:p>
    <w:p>
      <w:pPr>
        <w:pStyle w:val="4"/>
        <w:adjustRightInd w:val="0"/>
        <w:snapToGrid w:val="0"/>
        <w:spacing w:line="360" w:lineRule="auto"/>
        <w:ind w:left="0" w:firstLine="0"/>
        <w:jc w:val="both"/>
        <w:rPr>
          <w:rFonts w:hint="default" w:ascii="Times New Roman" w:hAnsi="Times New Roman" w:cs="Times New Roman"/>
          <w:bCs w:val="0"/>
          <w:color w:val="auto"/>
          <w:sz w:val="24"/>
        </w:rPr>
      </w:pPr>
      <w:bookmarkStart w:id="1051" w:name="_Toc10979"/>
      <w:bookmarkStart w:id="1052" w:name="_Toc30690"/>
      <w:bookmarkStart w:id="1053" w:name="_Toc16225"/>
      <w:bookmarkStart w:id="1054" w:name="_Toc1480"/>
      <w:bookmarkStart w:id="1055" w:name="_Toc1872_WPSOffice_Level2"/>
      <w:bookmarkStart w:id="1056" w:name="_Toc7999097"/>
      <w:bookmarkStart w:id="1057" w:name="_Toc23727_WPSOffice_Level1"/>
      <w:bookmarkStart w:id="1058" w:name="_Toc8836379"/>
      <w:bookmarkStart w:id="1059" w:name="_Toc17709305"/>
      <w:bookmarkStart w:id="1060" w:name="_Toc17709461"/>
      <w:r>
        <w:rPr>
          <w:rFonts w:hint="default" w:ascii="Times New Roman" w:hAnsi="Times New Roman" w:cs="Times New Roman"/>
          <w:bCs w:val="0"/>
          <w:color w:val="auto"/>
          <w:sz w:val="24"/>
        </w:rPr>
        <w:t>5.3生态环境影响分析</w:t>
      </w:r>
      <w:bookmarkEnd w:id="1051"/>
      <w:bookmarkEnd w:id="1052"/>
      <w:bookmarkEnd w:id="1053"/>
      <w:bookmarkEnd w:id="1054"/>
      <w:bookmarkEnd w:id="1055"/>
      <w:bookmarkEnd w:id="1056"/>
      <w:bookmarkEnd w:id="1057"/>
      <w:bookmarkEnd w:id="1058"/>
      <w:bookmarkEnd w:id="1059"/>
      <w:bookmarkEnd w:id="1060"/>
    </w:p>
    <w:p>
      <w:pPr>
        <w:adjustRightInd w:val="0"/>
        <w:snapToGrid w:val="0"/>
        <w:spacing w:line="360" w:lineRule="auto"/>
        <w:ind w:firstLine="480" w:firstLineChars="200"/>
        <w:rPr>
          <w:rFonts w:hint="default" w:ascii="Times New Roman" w:hAnsi="Times New Roman" w:cs="Times New Roman"/>
          <w:color w:val="auto"/>
          <w:sz w:val="24"/>
        </w:rPr>
      </w:pPr>
      <w:bookmarkStart w:id="1061" w:name="_Toc19547_WPSOffice_Level2"/>
      <w:r>
        <w:rPr>
          <w:rFonts w:hint="default" w:ascii="Times New Roman" w:hAnsi="Times New Roman" w:cs="Times New Roman"/>
          <w:color w:val="auto"/>
          <w:sz w:val="24"/>
        </w:rPr>
        <w:t>（1）矿井开采对当地生态环境的典型影响因素</w:t>
      </w:r>
      <w:bookmarkEnd w:id="1061"/>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根据现场调查及类比分析，矿井开采对当地生态环境造成的典型生态影响主要表现在以下方面，详见表5.3-1。</w:t>
      </w:r>
    </w:p>
    <w:p>
      <w:pPr>
        <w:ind w:firstLine="2205" w:firstLineChars="10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表5.3-1   矿山开采活动对生态的典型影响</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3579"/>
        <w:gridCol w:w="1374"/>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noWrap w:val="0"/>
            <w:vAlign w:val="center"/>
          </w:tcPr>
          <w:p>
            <w:pPr>
              <w:pStyle w:val="235"/>
              <w:adjustRightInd/>
              <w:spacing w:line="40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活动方式</w:t>
            </w: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影响方式</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有害</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restart"/>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清理场地</w:t>
            </w: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破坏地表覆盖物和植被层</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continue"/>
            <w:noWrap w:val="0"/>
            <w:vAlign w:val="center"/>
          </w:tcPr>
          <w:p>
            <w:pPr>
              <w:spacing w:line="400" w:lineRule="exact"/>
              <w:jc w:val="center"/>
              <w:rPr>
                <w:rFonts w:hint="default" w:ascii="Times New Roman" w:hAnsi="Times New Roman" w:eastAsia="宋体" w:cs="Times New Roman"/>
                <w:color w:val="auto"/>
                <w:szCs w:val="21"/>
              </w:rPr>
            </w:pP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破坏栖息地</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continue"/>
            <w:noWrap w:val="0"/>
            <w:vAlign w:val="center"/>
          </w:tcPr>
          <w:p>
            <w:pPr>
              <w:spacing w:line="400" w:lineRule="exact"/>
              <w:jc w:val="center"/>
              <w:rPr>
                <w:rFonts w:hint="default" w:ascii="Times New Roman" w:hAnsi="Times New Roman" w:eastAsia="宋体" w:cs="Times New Roman"/>
                <w:color w:val="auto"/>
                <w:szCs w:val="21"/>
              </w:rPr>
            </w:pP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丧失本地动植物</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continue"/>
            <w:noWrap w:val="0"/>
            <w:vAlign w:val="center"/>
          </w:tcPr>
          <w:p>
            <w:pPr>
              <w:spacing w:line="400" w:lineRule="exact"/>
              <w:jc w:val="center"/>
              <w:rPr>
                <w:rFonts w:hint="default" w:ascii="Times New Roman" w:hAnsi="Times New Roman" w:eastAsia="宋体" w:cs="Times New Roman"/>
                <w:color w:val="auto"/>
                <w:szCs w:val="21"/>
              </w:rPr>
            </w:pP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降低物种的多样性</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continue"/>
            <w:noWrap w:val="0"/>
            <w:vAlign w:val="center"/>
          </w:tcPr>
          <w:p>
            <w:pPr>
              <w:spacing w:line="400" w:lineRule="exact"/>
              <w:jc w:val="center"/>
              <w:rPr>
                <w:rFonts w:hint="default" w:ascii="Times New Roman" w:hAnsi="Times New Roman" w:eastAsia="宋体" w:cs="Times New Roman"/>
                <w:color w:val="auto"/>
                <w:szCs w:val="21"/>
              </w:rPr>
            </w:pP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破坏自然排水坡度</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restart"/>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道路和公路</w:t>
            </w: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增加边界效应</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31" w:type="dxa"/>
            <w:vMerge w:val="continue"/>
            <w:noWrap w:val="0"/>
            <w:vAlign w:val="center"/>
          </w:tcPr>
          <w:p>
            <w:pPr>
              <w:spacing w:line="400" w:lineRule="exact"/>
              <w:jc w:val="center"/>
              <w:rPr>
                <w:rFonts w:hint="default" w:ascii="Times New Roman" w:hAnsi="Times New Roman" w:eastAsia="宋体" w:cs="Times New Roman"/>
                <w:color w:val="auto"/>
                <w:szCs w:val="21"/>
              </w:rPr>
            </w:pPr>
          </w:p>
        </w:tc>
        <w:tc>
          <w:tcPr>
            <w:tcW w:w="3579"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妨碍动物的迁徙</w:t>
            </w:r>
          </w:p>
        </w:tc>
        <w:tc>
          <w:tcPr>
            <w:tcW w:w="1374" w:type="dxa"/>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44" w:type="dxa"/>
            <w:noWrap w:val="0"/>
            <w:vAlign w:val="center"/>
          </w:tcPr>
          <w:p>
            <w:pPr>
              <w:spacing w:line="400" w:lineRule="exact"/>
              <w:jc w:val="center"/>
              <w:rPr>
                <w:rFonts w:hint="default" w:ascii="Times New Roman" w:hAnsi="Times New Roman" w:eastAsia="宋体" w:cs="Times New Roman"/>
                <w:color w:val="auto"/>
                <w:szCs w:val="21"/>
              </w:rPr>
            </w:pPr>
          </w:p>
        </w:tc>
      </w:tr>
    </w:tbl>
    <w:p>
      <w:pPr>
        <w:adjustRightInd w:val="0"/>
        <w:snapToGrid w:val="0"/>
        <w:spacing w:line="360" w:lineRule="auto"/>
        <w:ind w:firstLine="480" w:firstLineChars="200"/>
        <w:rPr>
          <w:rFonts w:hint="default" w:ascii="Times New Roman" w:hAnsi="Times New Roman" w:cs="Times New Roman"/>
          <w:color w:val="auto"/>
          <w:sz w:val="24"/>
        </w:rPr>
      </w:pPr>
      <w:bookmarkStart w:id="1062" w:name="_Toc16253_WPSOffice_Level2"/>
      <w:r>
        <w:rPr>
          <w:rFonts w:hint="default" w:ascii="Times New Roman" w:hAnsi="Times New Roman" w:cs="Times New Roman"/>
          <w:color w:val="auto"/>
          <w:sz w:val="24"/>
        </w:rPr>
        <w:t>（2）生态环境影响特征</w:t>
      </w:r>
      <w:bookmarkEnd w:id="1062"/>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本项目建设的生态环境影响组分呈块状（工业广场等）、线状（如矿山公路等）分布，在对生态环境（如土壤、植被、野生动物等）产生影响的同时，也对区内原有景观结构产生影响。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工程的建设，使区域内景观的自然性程度降低，人文影响程度增强，土地利用格局转化为矿区用地。工程建设对区域内生态体系稳定性影响的主要途径是地表扰动，如果生态破坏程度过大或者得不到及时修复，就有可能导致区域生态环境的进一步衰退。</w:t>
      </w:r>
    </w:p>
    <w:p>
      <w:pPr>
        <w:adjustRightInd w:val="0"/>
        <w:snapToGrid w:val="0"/>
        <w:spacing w:line="360" w:lineRule="auto"/>
        <w:ind w:firstLine="480" w:firstLineChars="200"/>
        <w:rPr>
          <w:rFonts w:hint="default" w:ascii="Times New Roman" w:hAnsi="Times New Roman" w:cs="Times New Roman"/>
          <w:color w:val="auto"/>
          <w:sz w:val="24"/>
        </w:rPr>
      </w:pPr>
      <w:bookmarkStart w:id="1063" w:name="_Toc22234_WPSOffice_Level2"/>
      <w:r>
        <w:rPr>
          <w:rFonts w:hint="default" w:ascii="Times New Roman" w:hAnsi="Times New Roman" w:cs="Times New Roman"/>
          <w:color w:val="auto"/>
          <w:sz w:val="24"/>
        </w:rPr>
        <w:t>（3）建设项目生态环境影响因素变化预测</w:t>
      </w:r>
      <w:bookmarkEnd w:id="1063"/>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①生物群落变化</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矿山开发前，区域基本保持着原有天然生态特征，随着矿山开发利用，矿区内部分土地将被开发利用为场地建筑物、运输道路用地。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②改变土地利用功能，加重土壤侵蚀和水土流失</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工程的建设和采矿生产改将变区域的岩土体力学性质，使局部突然侵蚀能力加强，暴雨可造成一定程度矿山型水土流失。</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③生态景观变化</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矿山的开发，使土地使用功能发生转化，在景观上将发生根本性的变化，由原来戈壁砾幕景观变为开采区、运输道路、废石场等。</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④污染增加，环境质量下降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矿山在运营过程中排放的污染物给原生态环境会带来一定污染。运营期随着废矿石的排放等污染物，给局部区域环境带来一定的污染影响。</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064" w:name="_Toc31616"/>
      <w:bookmarkStart w:id="1065" w:name="_Toc6698"/>
      <w:bookmarkStart w:id="1066" w:name="_Toc19029"/>
      <w:bookmarkStart w:id="1067" w:name="_Toc3590"/>
      <w:bookmarkStart w:id="1068" w:name="_Toc7999098"/>
      <w:bookmarkStart w:id="1069" w:name="_Toc22759_WPSOffice_Level2"/>
      <w:bookmarkStart w:id="1070" w:name="_Toc17709462"/>
      <w:r>
        <w:rPr>
          <w:rFonts w:hint="default" w:ascii="Times New Roman" w:hAnsi="Times New Roman" w:cs="Times New Roman"/>
          <w:bCs w:val="0"/>
          <w:color w:val="auto"/>
          <w:sz w:val="24"/>
          <w:szCs w:val="24"/>
        </w:rPr>
        <w:t>5.3.1对土壤影响分析</w:t>
      </w:r>
      <w:bookmarkEnd w:id="1064"/>
      <w:bookmarkEnd w:id="1065"/>
      <w:bookmarkEnd w:id="1066"/>
      <w:bookmarkEnd w:id="1067"/>
      <w:bookmarkEnd w:id="1068"/>
      <w:bookmarkEnd w:id="1069"/>
      <w:bookmarkEnd w:id="1070"/>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（1）工程占地对土壤的影响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工程占地主要发生在建设期，其影响上文已述，不再赘述。运营期的影响主要是随井下产生废石量的增加，废石堆场的面积会逐渐扩大，直至最终达到设计面积</w:t>
      </w:r>
      <w:r>
        <w:rPr>
          <w:rFonts w:hint="default" w:ascii="Times New Roman" w:hAnsi="Times New Roman" w:cs="Times New Roman"/>
          <w:color w:val="auto"/>
          <w:sz w:val="24"/>
          <w:lang w:val="en-US" w:eastAsia="zh-CN"/>
        </w:rPr>
        <w:t>4000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；其次是由于井下开采引起地表错动，其最终影响范围0.082km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，合计33399m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，这部分土地在未恢复治理前将失去一切使用功能。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（2）工程运行对土壤环境的影响分析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具有水土保持功能的地表砾幕、植被被铲除，地面裸露，即使没有被冲刷，表土的温度变幅将增加，对土壤的理化性质即会有不利影响。其中，最明显的变化是有机质分解作用加强，使土壤内有机质含量降低，不利于植物生长。另外，因施工破坏和机械挖运，可能使土壤富集过程受阻，破坏了部分土壤结构，使局部土壤生产能力和稳定性受到一定影响，使原有自然生态系统的所有功能完全损失或削弱，导致蓄水保土功能降低或丧失。</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071" w:name="_Toc27175"/>
      <w:bookmarkStart w:id="1072" w:name="_Toc6747"/>
      <w:bookmarkStart w:id="1073" w:name="_Toc19662"/>
      <w:bookmarkStart w:id="1074" w:name="_Toc20453"/>
      <w:bookmarkStart w:id="1075" w:name="_Toc7999099"/>
      <w:bookmarkStart w:id="1076" w:name="_Toc27394_WPSOffice_Level2"/>
      <w:bookmarkStart w:id="1077" w:name="_Toc17709463"/>
      <w:r>
        <w:rPr>
          <w:rFonts w:hint="default" w:ascii="Times New Roman" w:hAnsi="Times New Roman" w:cs="Times New Roman"/>
          <w:bCs w:val="0"/>
          <w:color w:val="auto"/>
          <w:sz w:val="24"/>
          <w:szCs w:val="24"/>
        </w:rPr>
        <w:t>5.3.2对动植物的影响分析</w:t>
      </w:r>
      <w:bookmarkEnd w:id="1071"/>
      <w:bookmarkEnd w:id="1072"/>
      <w:bookmarkEnd w:id="1073"/>
      <w:bookmarkEnd w:id="1074"/>
      <w:bookmarkEnd w:id="1075"/>
      <w:bookmarkEnd w:id="1076"/>
      <w:bookmarkEnd w:id="1077"/>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（1）对动物的影响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根据本项目的特点，各种施工机械的噪声及施工人员的活动干扰，都将使原来栖息在项目区附近的各种野生动物受到惊吓而迁移别处安身，且活动范围减小。矿区总面积0.42km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相对于当地野生动物的栖息地来说，比例很小，因此对于野生动物的栖息地来说不会产生大的影响，不会导致野生动物因丧失这部分栖息地而灭绝。矿区运营过程中应加强拉运矿石的司机及矿区工作人员的环保教育，在矿区设立警示标志，禁止猎杀野生动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（2）对植物的影响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①对生物多样性的影响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矿的开发，使矿区内的用地被工业用地所代替。已有的地表植物被清除，附近植被受到人为活动不同程度的影响。在矿区建设初期，由于植被的减少、退化，野生动物的栖息地遭到破坏，动物将转移到区内其它地方或暂时迁移出本地，区域中的野生动植物的整体数量将有减少的趋势。</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②植被面积减少，生态结构改变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矿石开发，直接占用了一定面积的土地，使现有植被面积减少。系统中现有土地变为了工业用地，其土地使用功能发生了变化。现有植被资源的减少，土地的超载负荷，将新增加水土流失量，影响现有生态系统的稳定发展。</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078" w:name="_Toc7789"/>
      <w:bookmarkStart w:id="1079" w:name="_Toc31631"/>
      <w:bookmarkStart w:id="1080" w:name="_Toc27859"/>
      <w:bookmarkStart w:id="1081" w:name="_Toc16494"/>
      <w:bookmarkStart w:id="1082" w:name="_Toc7999100"/>
      <w:bookmarkStart w:id="1083" w:name="_Toc23002_WPSOffice_Level2"/>
      <w:bookmarkStart w:id="1084" w:name="_Toc17709464"/>
      <w:r>
        <w:rPr>
          <w:rFonts w:hint="default" w:ascii="Times New Roman" w:hAnsi="Times New Roman" w:cs="Times New Roman"/>
          <w:bCs w:val="0"/>
          <w:color w:val="auto"/>
          <w:sz w:val="24"/>
          <w:szCs w:val="24"/>
        </w:rPr>
        <w:t>5.3.3自然景观影响分析</w:t>
      </w:r>
      <w:bookmarkEnd w:id="1078"/>
      <w:bookmarkEnd w:id="1079"/>
      <w:bookmarkEnd w:id="1080"/>
      <w:bookmarkEnd w:id="1081"/>
      <w:bookmarkEnd w:id="1082"/>
      <w:bookmarkEnd w:id="1083"/>
      <w:bookmarkEnd w:id="1084"/>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的开发将原来的荒山景观变为开采作业区、废石场、运输道路等，使原地表形态发生直接的破坏，将使施工区域内的自然景观遭受一定程度的破坏；使局部地区由单纯的稀疏植被生态景观向着人工化、工业化的方向发展，使原来的自然景观类型变为容纳工业厂房、道路、供电通讯线路等人为景观，而且会对原来的景观进行分隔，造成空间上的非连续性和一些人为的劣质景观 ，造成与周围自然环境的不相协调。</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矿山的开发将原来的景观变为开采作业区，将使施工区域内的自然景观遭受一定程度的破坏，这些都将改变矿区的原有的自然景观。</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根据本矿山特点，要求在矿山服务后期，拆除所有建筑物、构筑物等，对地表进行清理，对废石场整理、固化等，对危险地带设置围栏等保护措施。</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085" w:name="_Toc23515"/>
      <w:bookmarkStart w:id="1086" w:name="_Toc25731"/>
      <w:bookmarkStart w:id="1087" w:name="_Toc8743"/>
      <w:bookmarkStart w:id="1088" w:name="_Toc14993"/>
      <w:bookmarkStart w:id="1089" w:name="_Toc7999101"/>
      <w:bookmarkStart w:id="1090" w:name="_Toc5131_WPSOffice_Level2"/>
      <w:bookmarkStart w:id="1091" w:name="_Toc17709465"/>
      <w:r>
        <w:rPr>
          <w:rFonts w:hint="default" w:ascii="Times New Roman" w:hAnsi="Times New Roman" w:cs="Times New Roman"/>
          <w:bCs w:val="0"/>
          <w:color w:val="auto"/>
          <w:sz w:val="24"/>
          <w:szCs w:val="24"/>
        </w:rPr>
        <w:t>5.3.4对地质结构影响分析</w:t>
      </w:r>
      <w:bookmarkEnd w:id="1085"/>
      <w:bookmarkEnd w:id="1086"/>
      <w:bookmarkEnd w:id="1087"/>
      <w:bookmarkEnd w:id="1088"/>
      <w:bookmarkEnd w:id="1089"/>
      <w:bookmarkEnd w:id="1090"/>
      <w:bookmarkEnd w:id="1091"/>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对地质结构的影响主要表象在废石场、井下工程。</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场、矿井的建设势必造成对周围的地质地貌、地面植被、地质构造和其它自然环境的影响和破坏。这种影响和破坏的程度与废石场、井下工程所处的地理位置相关；规模越大，对自然景观的影响和破坏越严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项目的建设，引起局部区域地应力的不平衡，使地质构造遭受破坏。可能引发地面沉降、滑坡、水土流失、地表及地下水流向改变等地质灾害。</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拟建项目矿体顶底板均属坚硬岩石，开采不易塌落，并且项目设计采取了应有的预防措施，诱发地质灾害的影响因素得到抑制，项目区原生地质结构虽然发生改变，但发生地质灾害的可能较小。</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092" w:name="_Toc17403"/>
      <w:bookmarkStart w:id="1093" w:name="_Toc13164"/>
      <w:bookmarkStart w:id="1094" w:name="_Toc24306"/>
      <w:bookmarkStart w:id="1095" w:name="_Toc24157"/>
      <w:bookmarkStart w:id="1096" w:name="_Toc7999102"/>
      <w:bookmarkStart w:id="1097" w:name="_Toc11965_WPSOffice_Level2"/>
      <w:bookmarkStart w:id="1098" w:name="_Toc17709466"/>
      <w:r>
        <w:rPr>
          <w:rFonts w:hint="default" w:ascii="Times New Roman" w:hAnsi="Times New Roman" w:cs="Times New Roman"/>
          <w:bCs w:val="0"/>
          <w:color w:val="auto"/>
          <w:sz w:val="24"/>
          <w:szCs w:val="24"/>
        </w:rPr>
        <w:t>5.3.5生态环境影响综合分析</w:t>
      </w:r>
      <w:bookmarkEnd w:id="1092"/>
      <w:bookmarkEnd w:id="1093"/>
      <w:bookmarkEnd w:id="1094"/>
      <w:bookmarkEnd w:id="1095"/>
      <w:bookmarkEnd w:id="1096"/>
      <w:bookmarkEnd w:id="1097"/>
      <w:bookmarkEnd w:id="1098"/>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（1）生态系统稳定性及完整性分析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占地对土壤环境的影响主要是堆积、挖掘、碾压、践踏等开发活动对土壤结构的影响。整个评价区域，由于人为的活动影响和改造，生态系统结构的稳定性将发生一定的变化，虽然改变了局部地带生态系统的完整性，但就整个区域来说 ，对生态系统的稳定性和完整性产生影响不明显。</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废石场占地为永久占地，改变了土地使用功能及地表覆盖层类型和性质。废石的堆积对堆积区的土壤结构产生一定程度的影响。废石堆放改变了表层土壤的性质和土地的使用功能。</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（2）生态系统异质性影响分析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态系统异质性是指一个生态系统区域内对一种或者更高级生物组织的存在起决定作用的资源在空间或时间上的变异程度。由于异质性组分具有不同的生态位，给动物物种和植物物种的栖息、移动以及抵御内外干扰提供了复杂和微妙的相应利用关系。</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对局部自然生态环境造成一定的破坏，但对整个评价区域自然体系的稳定性不会造成明显影响，仅使局部区域植被铲除、动物迁徒、水土流失侵蚀度增加，使局部生物量减少，局部自然生态环境遭到一定的破坏。但由于影响面积小，对评价区域内自然生态体系的稳定性和对外界环境干扰的阻抗和恢复功能影响不大，对整个评价范围内区域自然体系恢复稳定性不会产生明显的影响，评价区域内自然体系可以承受的；同时，工程建设和施工使区域生态环境局部动植物物种的移动和抵御内外界干扰受到了一定的影响，但对植被分布的空间影响不大。因此，项目实施与运行对区域自然体系中生态环境自身的异质化程度影响不大，对评价区域自然体系的稳定性不造成影响。</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（3）生态环境影响评价结论</w:t>
      </w:r>
      <w:r>
        <w:rPr>
          <w:rFonts w:hint="default" w:ascii="Times New Roman" w:hAnsi="Times New Roman" w:cs="Times New Roman"/>
          <w:color w:val="auto"/>
          <w:sz w:val="24"/>
        </w:rPr>
        <w:tab/>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综上所述，由于人为活动的影响和改造，使生态系统结构的稳定性发生了一定的变化，虽然改变了局部地带生态系统的完整性，就整个区域来说，对生态系统的稳定性和完整性不产生明显的影响。</w:t>
      </w:r>
    </w:p>
    <w:p>
      <w:pPr>
        <w:pStyle w:val="4"/>
        <w:adjustRightInd w:val="0"/>
        <w:snapToGrid w:val="0"/>
        <w:spacing w:line="360" w:lineRule="auto"/>
        <w:ind w:left="0" w:firstLine="0"/>
        <w:jc w:val="both"/>
        <w:rPr>
          <w:rFonts w:hint="default" w:ascii="Times New Roman" w:hAnsi="Times New Roman" w:cs="Times New Roman"/>
          <w:bCs w:val="0"/>
          <w:color w:val="auto"/>
          <w:sz w:val="24"/>
        </w:rPr>
      </w:pPr>
      <w:bookmarkStart w:id="1099" w:name="_Toc28468"/>
      <w:bookmarkStart w:id="1100" w:name="_Toc11526"/>
      <w:bookmarkStart w:id="1101" w:name="_Toc23758"/>
      <w:bookmarkStart w:id="1102" w:name="_Toc30098"/>
      <w:bookmarkStart w:id="1103" w:name="_Toc31592"/>
      <w:bookmarkStart w:id="1104" w:name="_Toc7181"/>
      <w:bookmarkStart w:id="1105" w:name="_Toc23482_WPSOffice_Level2"/>
      <w:bookmarkStart w:id="1106" w:name="_Toc7999103"/>
      <w:bookmarkStart w:id="1107" w:name="_Toc10885_WPSOffice_Level1"/>
      <w:bookmarkStart w:id="1108" w:name="_Toc8836380"/>
      <w:bookmarkStart w:id="1109" w:name="_Toc17709306"/>
      <w:bookmarkStart w:id="1110" w:name="_Toc17709467"/>
      <w:r>
        <w:rPr>
          <w:rFonts w:hint="default" w:ascii="Times New Roman" w:hAnsi="Times New Roman" w:cs="Times New Roman"/>
          <w:bCs w:val="0"/>
          <w:color w:val="auto"/>
          <w:sz w:val="24"/>
        </w:rPr>
        <w:t>5.</w:t>
      </w:r>
      <w:r>
        <w:rPr>
          <w:rFonts w:hint="eastAsia" w:ascii="Times New Roman" w:hAnsi="Times New Roman" w:cs="Times New Roman"/>
          <w:bCs w:val="0"/>
          <w:color w:val="auto"/>
          <w:sz w:val="24"/>
          <w:lang w:val="en-US" w:eastAsia="zh-CN"/>
        </w:rPr>
        <w:t>4</w:t>
      </w:r>
      <w:r>
        <w:rPr>
          <w:rFonts w:hint="default" w:ascii="Times New Roman" w:hAnsi="Times New Roman" w:cs="Times New Roman"/>
          <w:bCs w:val="0"/>
          <w:color w:val="auto"/>
          <w:sz w:val="24"/>
        </w:rPr>
        <w:t>爆破对环境的影响分析</w:t>
      </w:r>
      <w:bookmarkEnd w:id="1099"/>
      <w:bookmarkEnd w:id="1100"/>
      <w:bookmarkEnd w:id="1101"/>
      <w:bookmarkEnd w:id="1102"/>
      <w:bookmarkEnd w:id="1103"/>
      <w:bookmarkEnd w:id="1104"/>
      <w:bookmarkEnd w:id="1105"/>
      <w:bookmarkEnd w:id="1106"/>
      <w:bookmarkEnd w:id="1107"/>
      <w:bookmarkEnd w:id="1108"/>
      <w:bookmarkEnd w:id="1109"/>
      <w:bookmarkEnd w:id="1110"/>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本项目在矿石开采过程中有爆破作业，井下爆破对环境的影响相对较小，主要为项目开采过程中产生的影响，分析如下：</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矿石爆破过程影响环境的除了粉尘、瞬间噪声和爆破废气外，还包括爆破引起的地震、空气冲击波、个别飞散物等影响。</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bookmarkStart w:id="1111" w:name="_Toc7302_WPSOffice_Level2"/>
      <w:r>
        <w:rPr>
          <w:rFonts w:hint="default" w:ascii="Times New Roman" w:hAnsi="Times New Roman" w:cs="Times New Roman"/>
          <w:color w:val="auto"/>
          <w:sz w:val="24"/>
        </w:rPr>
        <w:t>（1）爆破引起地震影响</w:t>
      </w:r>
      <w:bookmarkEnd w:id="1111"/>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爆炸能量引起爆区周围介质质点相继沿其平衡位置发生振动而形成的地震波，地震波向外传播途中造成相关介质质点振动过程的总和，称为爆破地震。爆破地震引起介质特定点沿其平衡位置作直线的或曲线的往复运动过程称为爆破振动。项目地下爆破，炸药用量小，爆破地震效应小。</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bookmarkStart w:id="1112" w:name="_Toc31660_WPSOffice_Level2"/>
      <w:r>
        <w:rPr>
          <w:rFonts w:hint="default" w:ascii="Times New Roman" w:hAnsi="Times New Roman" w:cs="Times New Roman"/>
          <w:color w:val="auto"/>
          <w:sz w:val="24"/>
        </w:rPr>
        <w:t>（2）空气冲击波影响</w:t>
      </w:r>
      <w:bookmarkEnd w:id="1112"/>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根据《爆破安全规程》(GB6722-2014)规定，地下爆破时，对人员和其他保护对象的空气冲击波安全允许距离由设计确定。</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矿山爆破方式是多个药包爆破时以毫秒级时间间隔控制药包，按一定顺序先后起爆的爆破技术，较之多药包齐发爆破它具有许多优点：改善破岩质量；控制爆破方向，有利于添加一次爆破量，减少爆破次数；另外，对于环境保护尤为重要的是，它能减弱爆破地震效应。这是因为先爆深孔所产生的地震波消失之前，后爆深孔又产生新的地震波，则先后产生的地震波会互相干扰，减弱地震波强度 。此外，把全部深孔分组先后起爆，每组的炸药量比总药量减少很多，也减弱了地震效应。</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井下爆破时矿区人员撤离安全地带，飞散物对环境影响不大。爆破过程安全防护措施得当，开采工程的爆破活动造成的爆破地震、冲击波以及以及个别飞散物的影响很小。况且地面建筑物极少，因此，爆破产生的震动，对采场建筑影响较小，对地面影响较小。</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项目为地下开采，为井下爆破，对地面影响较小。</w:t>
      </w:r>
    </w:p>
    <w:p>
      <w:pPr>
        <w:pStyle w:val="4"/>
        <w:keepLines/>
        <w:adjustRightInd w:val="0"/>
        <w:snapToGrid w:val="0"/>
        <w:spacing w:line="360" w:lineRule="auto"/>
        <w:ind w:left="0" w:firstLine="0"/>
        <w:jc w:val="both"/>
        <w:rPr>
          <w:rFonts w:hint="default" w:ascii="Times New Roman" w:hAnsi="Times New Roman" w:cs="Times New Roman"/>
          <w:color w:val="auto"/>
          <w:sz w:val="24"/>
        </w:rPr>
      </w:pPr>
      <w:bookmarkStart w:id="1113" w:name="_Toc18287"/>
      <w:bookmarkStart w:id="1114" w:name="_Toc32239"/>
      <w:bookmarkStart w:id="1115" w:name="_Toc32684"/>
      <w:bookmarkStart w:id="1116" w:name="_Toc12786"/>
      <w:bookmarkStart w:id="1117" w:name="_Toc2227"/>
      <w:bookmarkStart w:id="1118" w:name="_Toc13470_WPSOffice_Level2"/>
      <w:bookmarkStart w:id="1119" w:name="_Toc7999104"/>
      <w:bookmarkStart w:id="1120" w:name="_Toc20270_WPSOffice_Level1"/>
      <w:bookmarkStart w:id="1121" w:name="_Toc8836381"/>
      <w:bookmarkStart w:id="1122" w:name="_Toc17709307"/>
      <w:bookmarkStart w:id="1123" w:name="_Toc17709468"/>
      <w:r>
        <w:rPr>
          <w:rFonts w:hint="default" w:ascii="Times New Roman" w:hAnsi="Times New Roman" w:cs="Times New Roman"/>
          <w:color w:val="auto"/>
          <w:sz w:val="24"/>
        </w:rPr>
        <w:t>5.</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道路运输对环境影响分析</w:t>
      </w:r>
      <w:bookmarkEnd w:id="1113"/>
      <w:bookmarkEnd w:id="1114"/>
      <w:bookmarkEnd w:id="1115"/>
      <w:bookmarkEnd w:id="1116"/>
      <w:bookmarkEnd w:id="1117"/>
      <w:bookmarkEnd w:id="1118"/>
      <w:bookmarkEnd w:id="1119"/>
      <w:bookmarkEnd w:id="1120"/>
      <w:bookmarkEnd w:id="1121"/>
      <w:bookmarkEnd w:id="1122"/>
      <w:bookmarkEnd w:id="1123"/>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本项目开采的矿石(开采矿石6万t/a，240t/d) ，不进行破碎、筛分等工序，全部由矿石运输车直接运至外售地点。</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连接矿区与场外运输道路，为简易硬结碎石土路，道路路基宽5.0m，路面宽4.5m。矿石运输道路沿线无环境敏感目标，为了减轻矿石运输过程中产生的扬尘对沿线环境的影响，环评要求对运输车辆进行限速、限载、加盖防尘篷布，夜间禁止运输，同时定期对运输道路进行洒水降尘，在采取以上措施后对区域环境影响不大。</w:t>
      </w:r>
    </w:p>
    <w:p>
      <w:pPr>
        <w:pStyle w:val="4"/>
        <w:keepLines/>
        <w:adjustRightInd w:val="0"/>
        <w:snapToGrid w:val="0"/>
        <w:spacing w:line="360" w:lineRule="auto"/>
        <w:ind w:left="0" w:firstLine="0"/>
        <w:jc w:val="both"/>
        <w:rPr>
          <w:rFonts w:hint="default" w:ascii="Times New Roman" w:hAnsi="Times New Roman" w:cs="Times New Roman"/>
          <w:b/>
          <w:bCs/>
          <w:color w:val="auto"/>
          <w:sz w:val="24"/>
        </w:rPr>
      </w:pPr>
      <w:bookmarkStart w:id="1124" w:name="_Toc6390"/>
      <w:bookmarkStart w:id="1125" w:name="_Toc23390"/>
      <w:bookmarkStart w:id="1126" w:name="_Toc7972"/>
      <w:bookmarkStart w:id="1127" w:name="_Toc2965"/>
      <w:bookmarkStart w:id="1128" w:name="_Toc32209"/>
      <w:bookmarkStart w:id="1129" w:name="_Toc10592"/>
      <w:bookmarkStart w:id="1130" w:name="_Toc25757"/>
      <w:bookmarkStart w:id="1131" w:name="_Toc10104_WPSOffice_Level2"/>
      <w:bookmarkStart w:id="1132" w:name="_Toc367284922"/>
      <w:bookmarkStart w:id="1133" w:name="_Toc7999109"/>
      <w:bookmarkStart w:id="1134" w:name="_Toc4220_WPSOffice_Level1"/>
      <w:bookmarkStart w:id="1135" w:name="_Toc8836382"/>
      <w:bookmarkStart w:id="1136" w:name="_Toc17709308"/>
      <w:bookmarkStart w:id="1137" w:name="_Toc17709469"/>
      <w:r>
        <w:rPr>
          <w:rFonts w:hint="default" w:ascii="Times New Roman" w:hAnsi="Times New Roman" w:cs="Times New Roman"/>
          <w:b/>
          <w:bCs/>
          <w:color w:val="auto"/>
          <w:sz w:val="24"/>
        </w:rPr>
        <w:t>5.</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社会环境影响分析</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138" w:name="_Toc347056678"/>
      <w:bookmarkStart w:id="1139" w:name="_Toc12202"/>
      <w:bookmarkStart w:id="1140" w:name="_Toc7398"/>
      <w:bookmarkStart w:id="1141" w:name="_Toc16320"/>
      <w:bookmarkStart w:id="1142" w:name="_Toc9393"/>
      <w:bookmarkStart w:id="1143" w:name="_Toc7999110"/>
      <w:bookmarkStart w:id="1144" w:name="_Toc11525_WPSOffice_Level2"/>
      <w:bookmarkStart w:id="1145" w:name="_Toc17709470"/>
      <w:r>
        <w:rPr>
          <w:rFonts w:hint="default" w:ascii="Times New Roman" w:hAnsi="Times New Roman" w:cs="Times New Roman"/>
          <w:bCs w:val="0"/>
          <w:color w:val="auto"/>
          <w:sz w:val="24"/>
          <w:szCs w:val="24"/>
        </w:rPr>
        <w:t>5.</w:t>
      </w:r>
      <w:r>
        <w:rPr>
          <w:rFonts w:hint="eastAsia" w:ascii="Times New Roman" w:hAnsi="Times New Roman" w:cs="Times New Roman"/>
          <w:bCs w:val="0"/>
          <w:color w:val="auto"/>
          <w:sz w:val="24"/>
          <w:szCs w:val="24"/>
          <w:lang w:val="en-US" w:eastAsia="zh-CN"/>
        </w:rPr>
        <w:t>6</w:t>
      </w:r>
      <w:r>
        <w:rPr>
          <w:rFonts w:hint="default" w:ascii="Times New Roman" w:hAnsi="Times New Roman" w:cs="Times New Roman"/>
          <w:bCs w:val="0"/>
          <w:color w:val="auto"/>
          <w:sz w:val="24"/>
          <w:szCs w:val="24"/>
        </w:rPr>
        <w:t>.1项目建设可能产生的社会环境影响</w:t>
      </w:r>
      <w:bookmarkEnd w:id="1138"/>
      <w:bookmarkEnd w:id="1139"/>
      <w:bookmarkEnd w:id="1140"/>
      <w:bookmarkEnd w:id="1141"/>
      <w:bookmarkEnd w:id="1142"/>
      <w:bookmarkEnd w:id="1143"/>
      <w:bookmarkEnd w:id="1144"/>
      <w:bookmarkEnd w:id="1145"/>
    </w:p>
    <w:p>
      <w:pPr>
        <w:adjustRightInd w:val="0"/>
        <w:snapToGrid w:val="0"/>
        <w:spacing w:line="360" w:lineRule="auto"/>
        <w:ind w:firstLine="480" w:firstLineChars="200"/>
        <w:rPr>
          <w:rFonts w:hint="default" w:ascii="Times New Roman" w:hAnsi="Times New Roman" w:cs="Times New Roman"/>
          <w:color w:val="auto"/>
          <w:sz w:val="24"/>
        </w:rPr>
      </w:pPr>
      <w:bookmarkStart w:id="1146" w:name="_Toc21947"/>
      <w:bookmarkStart w:id="1147" w:name="_Toc29171"/>
      <w:bookmarkStart w:id="1148" w:name="_Toc29902"/>
      <w:bookmarkStart w:id="1149" w:name="_Toc16738"/>
      <w:bookmarkStart w:id="1150" w:name="_Toc7999111"/>
      <w:r>
        <w:rPr>
          <w:rFonts w:hint="default" w:ascii="Times New Roman" w:hAnsi="Times New Roman" w:cs="Times New Roman"/>
          <w:color w:val="auto"/>
          <w:sz w:val="24"/>
        </w:rPr>
        <w:t>社会环境影响评价包括征地拆迁、移民安置、人文景观、人群健康、文物古迹、基地设施（如交通、水利、通信）等方面的影响评价。</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本项目建设不存在拆迁、移民安置、人文景观、文物古迹等方面的影响，主要的社会影响从人群健康、基础设施方面进行分析评价。</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rPr>
        <w:t>1）对人群健康的影响分析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根据项目污染排放特点，对人群健康产生影响的主要废气污染物，主要为粉尘，项目落实各项环保措施后，矿厂粉尘可达标排放，少量无组织排放的粉尘对厂区工作人员的健康影响及危害程度较小。</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（2）对基础设施的影响分析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今后项目生产运营，物料、产品的运输将使区域内运输量增大，带动区域交通、物流及通信行业的发展，起到积极的正面效应；同时也带来一定的负面影响，如交通量的增加，运输车辆产生的扬尘、噪声等使区域大气环境、声环境质量发生变化。</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项目建设，可以为地方带来更多的经济效益，提高就业率，带动周边第三产业发展，在一定程度上促进地方经济发展，提高居民收入。</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本项目实施不涉及移民搬迁安置工程，因而不会对周边居民生活习惯造成大的改变。</w:t>
      </w:r>
    </w:p>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151" w:name="_Toc14912_WPSOffice_Level2"/>
      <w:bookmarkStart w:id="1152" w:name="_Toc17709471"/>
      <w:r>
        <w:rPr>
          <w:rFonts w:hint="default" w:ascii="Times New Roman" w:hAnsi="Times New Roman" w:cs="Times New Roman"/>
          <w:bCs w:val="0"/>
          <w:color w:val="auto"/>
          <w:sz w:val="24"/>
          <w:szCs w:val="24"/>
        </w:rPr>
        <w:t>5.</w:t>
      </w:r>
      <w:r>
        <w:rPr>
          <w:rFonts w:hint="eastAsia" w:ascii="Times New Roman" w:hAnsi="Times New Roman" w:cs="Times New Roman"/>
          <w:bCs w:val="0"/>
          <w:color w:val="auto"/>
          <w:sz w:val="24"/>
          <w:szCs w:val="24"/>
          <w:lang w:val="en-US" w:eastAsia="zh-CN"/>
        </w:rPr>
        <w:t>6</w:t>
      </w:r>
      <w:r>
        <w:rPr>
          <w:rFonts w:hint="default" w:ascii="Times New Roman" w:hAnsi="Times New Roman" w:cs="Times New Roman"/>
          <w:bCs w:val="0"/>
          <w:color w:val="auto"/>
          <w:sz w:val="24"/>
          <w:szCs w:val="24"/>
        </w:rPr>
        <w:t>.2</w:t>
      </w:r>
      <w:bookmarkEnd w:id="1146"/>
      <w:bookmarkEnd w:id="1147"/>
      <w:bookmarkEnd w:id="1148"/>
      <w:bookmarkEnd w:id="1149"/>
      <w:bookmarkEnd w:id="1150"/>
      <w:r>
        <w:rPr>
          <w:rFonts w:hint="default" w:ascii="Times New Roman" w:hAnsi="Times New Roman" w:cs="Times New Roman"/>
          <w:bCs w:val="0"/>
          <w:color w:val="auto"/>
          <w:sz w:val="24"/>
          <w:szCs w:val="24"/>
        </w:rPr>
        <w:t>降低社会环境影响的对策措施</w:t>
      </w:r>
      <w:bookmarkEnd w:id="1151"/>
      <w:bookmarkEnd w:id="1152"/>
    </w:p>
    <w:p>
      <w:pPr>
        <w:adjustRightInd w:val="0"/>
        <w:snapToGrid w:val="0"/>
        <w:spacing w:line="360" w:lineRule="auto"/>
        <w:ind w:firstLine="480" w:firstLineChars="200"/>
        <w:rPr>
          <w:rFonts w:hint="default" w:ascii="Times New Roman" w:hAnsi="Times New Roman" w:cs="Times New Roman"/>
          <w:color w:val="auto"/>
          <w:sz w:val="24"/>
        </w:rPr>
      </w:pPr>
      <w:bookmarkStart w:id="1153" w:name="_Toc266"/>
      <w:bookmarkStart w:id="1154" w:name="_Toc24505"/>
      <w:bookmarkStart w:id="1155" w:name="_Toc13513"/>
      <w:bookmarkStart w:id="1156" w:name="_Toc7864"/>
      <w:bookmarkStart w:id="1157" w:name="_Toc7999112"/>
      <w:r>
        <w:rPr>
          <w:rFonts w:hint="default" w:ascii="Times New Roman" w:hAnsi="Times New Roman" w:cs="Times New Roman"/>
          <w:color w:val="auto"/>
          <w:sz w:val="24"/>
        </w:rPr>
        <w:t>（1）做好企业职工的职业卫生防护工作；</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（2）采取第三方面环境管理，要求运输车辆加盖篷布、禁止沿途抛撤等措施，同时制定洒水计划，定期对运输道路进行洒水，减缓对道路沿线及周边环境的影响。</w:t>
      </w:r>
    </w:p>
    <w:bookmarkEnd w:id="1153"/>
    <w:bookmarkEnd w:id="1154"/>
    <w:bookmarkEnd w:id="1155"/>
    <w:bookmarkEnd w:id="1156"/>
    <w:bookmarkEnd w:id="1157"/>
    <w:p>
      <w:pPr>
        <w:pStyle w:val="5"/>
        <w:keepLines w:val="0"/>
        <w:adjustRightInd w:val="0"/>
        <w:snapToGrid w:val="0"/>
        <w:spacing w:before="0" w:after="0" w:line="360" w:lineRule="auto"/>
        <w:rPr>
          <w:rFonts w:hint="default" w:ascii="Times New Roman" w:hAnsi="Times New Roman" w:cs="Times New Roman"/>
          <w:bCs w:val="0"/>
          <w:color w:val="auto"/>
          <w:sz w:val="24"/>
          <w:szCs w:val="24"/>
        </w:rPr>
      </w:pPr>
      <w:bookmarkStart w:id="1158" w:name="_Toc7549_WPSOffice_Level2"/>
      <w:bookmarkStart w:id="1159" w:name="_Toc17709472"/>
      <w:bookmarkStart w:id="1160" w:name="_Toc16472"/>
      <w:bookmarkStart w:id="1161" w:name="_Toc179522812"/>
      <w:bookmarkStart w:id="1162" w:name="_Toc179653271"/>
      <w:bookmarkStart w:id="1163" w:name="_Toc187800033"/>
      <w:bookmarkStart w:id="1164" w:name="_Toc170970657"/>
      <w:bookmarkStart w:id="1165" w:name="_Toc245882766"/>
      <w:bookmarkStart w:id="1166" w:name="_Toc170869061"/>
      <w:bookmarkStart w:id="1167" w:name="_Toc172698659"/>
      <w:bookmarkStart w:id="1168" w:name="_Toc180891770"/>
      <w:bookmarkStart w:id="1169" w:name="_Toc23004"/>
      <w:r>
        <w:rPr>
          <w:rFonts w:hint="default" w:ascii="Times New Roman" w:hAnsi="Times New Roman" w:cs="Times New Roman"/>
          <w:bCs w:val="0"/>
          <w:color w:val="auto"/>
          <w:sz w:val="24"/>
          <w:szCs w:val="24"/>
        </w:rPr>
        <w:t>5.</w:t>
      </w:r>
      <w:r>
        <w:rPr>
          <w:rFonts w:hint="eastAsia" w:ascii="Times New Roman" w:hAnsi="Times New Roman" w:cs="Times New Roman"/>
          <w:bCs w:val="0"/>
          <w:color w:val="auto"/>
          <w:sz w:val="24"/>
          <w:szCs w:val="24"/>
          <w:lang w:val="en-US" w:eastAsia="zh-CN"/>
        </w:rPr>
        <w:t>6</w:t>
      </w:r>
      <w:r>
        <w:rPr>
          <w:rFonts w:hint="default" w:ascii="Times New Roman" w:hAnsi="Times New Roman" w:cs="Times New Roman"/>
          <w:bCs w:val="0"/>
          <w:color w:val="auto"/>
          <w:sz w:val="24"/>
          <w:szCs w:val="24"/>
        </w:rPr>
        <w:t>.3服务期满后环境影响分析</w:t>
      </w:r>
      <w:bookmarkEnd w:id="1158"/>
      <w:bookmarkEnd w:id="1159"/>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按照边开采边恢复、终止采矿活动时必须恢复治理的原则，要做到预防为主，针对存在的问题，制定出预防措施，对生产中出现的问题要及时采取相应的措施予以解决，达到防灾、减灾的目的。</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（1）资金筹集</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闭矿后的资金问题是该期环境影响的关键，其资金因来源于开发利用该区域的生产企业，因此，企业对闭矿后的环境保护承担完全义务，在项目运营阶段，应对闭矿后的环保资金预提，留足环保治理费用，具体额度应委托设计部门作详细预算。预留资金应设立专用账户，由相关部门监督使用。</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（2）服务期满后大气环境影响分析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服务期满后项目矿区停止开采，生产期矿石的装卸及运输等产尘工序不再产生粉尘，生产性粉尘影响将消失，各类设备及建构筑物的拆除将产生一定的扬尘影响，但因工期不长，其影响是短期的，对大气环境造成的影响不大。</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（3）服务期满后地下水环境影响分析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闭矿后矿井涌水及生产生活污水均不再产生，不会对环境产生不利影响；废石进行回填，并对废石堆场进行复垦，复垦后的本项目的废石堆场对水环境影响很小。</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（4）服务期满后声环境影响分析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服务期满后采矿场停止生产活动，各类机械环境噪、车辆产生的噪声将消失，噪声较运营期将大幅降低，并逐渐恢复到环境背景值，因此，噪声对项目区及周围环境影响较小。</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（5）服务期满后固体废弃物环境影响分析</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各类设备的分拆会产生一定量的废弃物，这些废弃物主要为各设备的零部件、破损的设备碎块等，如不这些废弃物进行妥善处理，将对项目区环境产生影响，故建议工作人员在工作过程中，注意被遗弃的设备零部件、破损的设备碎块等的收集，委托回收公司进行回收再利用，减少废弃设备零部件等对周边环境的影响；</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②建构筑物在拆除的过程中，会产生一定量的砖、石、渣土等建筑垃圾，建议拆除下来的建筑垃圾用于场地平整。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（6）服务期满后生态环境影响分析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矿区潜在地面塌陷土地恢复：对土地资源的破坏程度较严重，破坏方式为塌陷坑，破坏了原有的完整岩体（不易恢复），该区域无灌溉条件，土壤母质为砂砾质，无剥离土方量，从地形地貌与周边环境分析，不适宜复垦为耕地、林地及草地，土地复垦方向为恢复为与周边地貌景观基本相适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区、废石场、工业广场、尾矿库等区域恢复：破坏的方式为压占（易恢复），土地未污染，地形平坦，区内无灌溉条件，土壤母质为砂砾质，有机结合量少，从地形地貌与周边环境分析，不适宜复垦为耕地、林地。确定土地复垦方向：恢复原有的地形地貌景观、恢复原土地利用状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土地复垦工作进度安排：根据项目建设及运行工艺、矿区服务年限、开采顺序及进度和土地破坏程度等，按照土地复垦方案，制定出土地复垦工程进度，以保证尽快及时复垦被破坏土地。</w:t>
      </w:r>
    </w:p>
    <w:p>
      <w:pPr>
        <w:pStyle w:val="4"/>
        <w:keepLines/>
        <w:adjustRightInd w:val="0"/>
        <w:snapToGrid w:val="0"/>
        <w:spacing w:line="360" w:lineRule="auto"/>
        <w:ind w:left="0" w:firstLine="0"/>
        <w:jc w:val="both"/>
        <w:rPr>
          <w:rFonts w:hint="eastAsia" w:ascii="Times New Roman" w:hAnsi="Times New Roman" w:cs="Times New Roman"/>
          <w:b/>
          <w:bCs/>
          <w:color w:val="auto"/>
          <w:sz w:val="24"/>
          <w:lang w:val="en-US" w:eastAsia="zh-CN"/>
        </w:rPr>
      </w:pPr>
      <w:bookmarkStart w:id="1170" w:name="_Toc465252094"/>
      <w:bookmarkStart w:id="1171" w:name="_Toc14990"/>
      <w:bookmarkStart w:id="1172" w:name="_Toc459588680"/>
      <w:r>
        <w:rPr>
          <w:rFonts w:hint="eastAsia" w:ascii="Times New Roman" w:hAnsi="Times New Roman" w:cs="Times New Roman"/>
          <w:b/>
          <w:bCs/>
          <w:color w:val="auto"/>
          <w:sz w:val="24"/>
          <w:lang w:val="en-US" w:eastAsia="zh-CN"/>
        </w:rPr>
        <w:t>5.7</w:t>
      </w:r>
      <w:r>
        <w:rPr>
          <w:rFonts w:hint="eastAsia" w:ascii="Times New Roman" w:hAnsi="Times New Roman" w:cs="Times New Roman"/>
          <w:b/>
          <w:bCs/>
          <w:color w:val="auto"/>
          <w:sz w:val="24"/>
        </w:rPr>
        <w:t>环境风险</w:t>
      </w:r>
      <w:bookmarkEnd w:id="1170"/>
      <w:bookmarkEnd w:id="1171"/>
      <w:bookmarkEnd w:id="1172"/>
      <w:r>
        <w:rPr>
          <w:rFonts w:hint="eastAsia" w:ascii="Times New Roman" w:hAnsi="Times New Roman" w:cs="Times New Roman"/>
          <w:b/>
          <w:bCs/>
          <w:color w:val="auto"/>
          <w:sz w:val="24"/>
          <w:lang w:eastAsia="zh-CN"/>
        </w:rPr>
        <w:t>影响分析</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pStyle w:val="5"/>
        <w:keepLines w:val="0"/>
        <w:adjustRightInd w:val="0"/>
        <w:snapToGrid w:val="0"/>
        <w:spacing w:before="0" w:after="0" w:line="360" w:lineRule="auto"/>
        <w:rPr>
          <w:rFonts w:hint="default" w:ascii="Times New Roman" w:hAnsi="Times New Roman" w:cs="Times New Roman"/>
          <w:b/>
          <w:bCs/>
          <w:color w:val="auto"/>
          <w:sz w:val="24"/>
          <w:szCs w:val="24"/>
        </w:rPr>
      </w:pPr>
      <w:bookmarkStart w:id="1173" w:name="_Toc459588681"/>
      <w:bookmarkStart w:id="1174" w:name="_Toc465252095"/>
      <w:bookmarkStart w:id="1175" w:name="_Toc396169030"/>
      <w:bookmarkStart w:id="1176" w:name="_Toc17857"/>
      <w:bookmarkStart w:id="1177" w:name="_Toc358026777"/>
      <w:r>
        <w:rPr>
          <w:rFonts w:hint="eastAsia" w:ascii="Times New Roman" w:hAnsi="Times New Roman" w:cs="Times New Roman"/>
          <w:b/>
          <w:bCs/>
          <w:color w:val="auto"/>
          <w:sz w:val="24"/>
          <w:szCs w:val="24"/>
          <w:lang w:val="en-US" w:eastAsia="zh-CN"/>
        </w:rPr>
        <w:t>5.7.1</w:t>
      </w:r>
      <w:r>
        <w:rPr>
          <w:rFonts w:hint="default" w:ascii="Times New Roman" w:hAnsi="Times New Roman" w:cs="Times New Roman"/>
          <w:b/>
          <w:bCs/>
          <w:color w:val="auto"/>
          <w:sz w:val="24"/>
          <w:szCs w:val="24"/>
        </w:rPr>
        <w:t>评价工作等级</w:t>
      </w:r>
      <w:bookmarkEnd w:id="1173"/>
      <w:bookmarkEnd w:id="1174"/>
      <w:bookmarkEnd w:id="1175"/>
      <w:bookmarkEnd w:id="1176"/>
      <w:bookmarkEnd w:id="1177"/>
    </w:p>
    <w:p>
      <w:pPr>
        <w:pStyle w:val="315"/>
        <w:jc w:val="both"/>
        <w:rPr>
          <w:rFonts w:ascii="Times New Roman"/>
          <w:color w:val="auto"/>
          <w:sz w:val="24"/>
          <w:szCs w:val="24"/>
        </w:rPr>
      </w:pPr>
      <w:bookmarkStart w:id="1178" w:name="_Toc358026778"/>
      <w:r>
        <w:rPr>
          <w:rFonts w:ascii="Times New Roman"/>
          <w:color w:val="auto"/>
          <w:sz w:val="24"/>
          <w:szCs w:val="24"/>
        </w:rPr>
        <w:t>根据《建设项目环境风险评价技术导则》（HJ169-2018），风险评价等级判别确定见表</w:t>
      </w:r>
      <w:r>
        <w:rPr>
          <w:rFonts w:hint="eastAsia" w:ascii="Times New Roman"/>
          <w:color w:val="auto"/>
          <w:sz w:val="24"/>
          <w:szCs w:val="24"/>
          <w:lang w:val="en-US" w:eastAsia="zh-CN"/>
        </w:rPr>
        <w:t>5.7</w:t>
      </w:r>
      <w:r>
        <w:rPr>
          <w:rFonts w:hint="eastAsia" w:ascii="Times New Roman"/>
          <w:color w:val="auto"/>
          <w:sz w:val="24"/>
          <w:szCs w:val="24"/>
        </w:rPr>
        <w:t>-1</w:t>
      </w:r>
      <w:r>
        <w:rPr>
          <w:rFonts w:ascii="Times New Roman"/>
          <w:color w:val="auto"/>
          <w:sz w:val="24"/>
          <w:szCs w:val="24"/>
        </w:rPr>
        <w:t>。</w:t>
      </w:r>
    </w:p>
    <w:p>
      <w:pPr>
        <w:ind w:firstLine="2205" w:firstLineChars="10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-1</w:t>
      </w:r>
      <w:r>
        <w:rPr>
          <w:rFonts w:hint="default" w:ascii="Times New Roman" w:hAnsi="Times New Roman" w:eastAsia="黑体" w:cs="Times New Roman"/>
          <w:color w:val="auto"/>
          <w:szCs w:val="21"/>
        </w:rPr>
        <w:t xml:space="preserve">    </w:t>
      </w:r>
      <w:r>
        <w:rPr>
          <w:rFonts w:hint="eastAsia" w:ascii="Times New Roman" w:hAnsi="Times New Roman" w:eastAsia="黑体" w:cs="Times New Roman"/>
          <w:color w:val="auto"/>
          <w:szCs w:val="21"/>
        </w:rPr>
        <w:t>评价工作等级划分</w:t>
      </w:r>
      <w:r>
        <w:rPr>
          <w:rFonts w:hint="default" w:ascii="Times New Roman" w:hAnsi="Times New Roman" w:eastAsia="黑体" w:cs="Times New Roman"/>
          <w:color w:val="auto"/>
          <w:szCs w:val="21"/>
        </w:rPr>
        <w:t>表</w:t>
      </w:r>
    </w:p>
    <w:tbl>
      <w:tblPr>
        <w:tblStyle w:val="7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39"/>
        <w:gridCol w:w="1560"/>
        <w:gridCol w:w="1615"/>
        <w:gridCol w:w="2227"/>
        <w:gridCol w:w="1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806" w:type="pct"/>
            <w:tcBorders>
              <w:tl2br w:val="nil"/>
              <w:tr2bl w:val="nil"/>
            </w:tcBorders>
            <w:noWrap w:val="0"/>
            <w:vAlign w:val="center"/>
          </w:tcPr>
          <w:p>
            <w:pPr>
              <w:pStyle w:val="176"/>
              <w:rPr>
                <w:color w:val="auto"/>
              </w:rPr>
            </w:pPr>
            <w:r>
              <w:rPr>
                <w:rFonts w:hint="eastAsia"/>
                <w:color w:val="auto"/>
              </w:rPr>
              <w:t>环境风险潜势</w:t>
            </w:r>
          </w:p>
        </w:tc>
        <w:tc>
          <w:tcPr>
            <w:tcW w:w="939" w:type="pct"/>
            <w:tcBorders>
              <w:tl2br w:val="nil"/>
              <w:tr2bl w:val="nil"/>
            </w:tcBorders>
            <w:noWrap w:val="0"/>
            <w:vAlign w:val="center"/>
          </w:tcPr>
          <w:p>
            <w:pPr>
              <w:pStyle w:val="176"/>
              <w:rPr>
                <w:color w:val="auto"/>
              </w:rPr>
            </w:pPr>
            <w:r>
              <w:rPr>
                <w:color w:val="auto"/>
                <w:sz w:val="24"/>
              </w:rPr>
              <w:fldChar w:fldCharType="begin"/>
            </w:r>
            <w:r>
              <w:rPr>
                <w:color w:val="auto"/>
                <w:sz w:val="24"/>
              </w:rPr>
              <w:instrText xml:space="preserve"> </w:instrText>
            </w:r>
            <w:r>
              <w:rPr>
                <w:rFonts w:hint="eastAsia"/>
                <w:color w:val="auto"/>
                <w:sz w:val="24"/>
              </w:rPr>
              <w:instrText xml:space="preserve">= 4 \* ROMAN</w:instrText>
            </w:r>
            <w:r>
              <w:rPr>
                <w:color w:val="auto"/>
                <w:sz w:val="24"/>
              </w:rPr>
              <w:instrText xml:space="preserve"> </w:instrText>
            </w:r>
            <w:r>
              <w:rPr>
                <w:color w:val="auto"/>
                <w:sz w:val="24"/>
              </w:rPr>
              <w:fldChar w:fldCharType="separate"/>
            </w:r>
            <w:r>
              <w:rPr>
                <w:color w:val="auto"/>
                <w:sz w:val="24"/>
              </w:rPr>
              <w:t>IV</w:t>
            </w:r>
            <w:r>
              <w:rPr>
                <w:color w:val="auto"/>
                <w:sz w:val="24"/>
              </w:rPr>
              <w:fldChar w:fldCharType="end"/>
            </w:r>
            <w:r>
              <w:rPr>
                <w:color w:val="auto"/>
                <w:sz w:val="24"/>
              </w:rPr>
              <w:t>、</w:t>
            </w:r>
            <w:r>
              <w:rPr>
                <w:color w:val="auto"/>
                <w:sz w:val="24"/>
              </w:rPr>
              <w:fldChar w:fldCharType="begin"/>
            </w:r>
            <w:r>
              <w:rPr>
                <w:color w:val="auto"/>
                <w:sz w:val="24"/>
              </w:rPr>
              <w:instrText xml:space="preserve"> </w:instrText>
            </w:r>
            <w:r>
              <w:rPr>
                <w:rFonts w:hint="eastAsia"/>
                <w:color w:val="auto"/>
                <w:sz w:val="24"/>
              </w:rPr>
              <w:instrText xml:space="preserve">= 4 \* ROMAN</w:instrText>
            </w:r>
            <w:r>
              <w:rPr>
                <w:color w:val="auto"/>
                <w:sz w:val="24"/>
              </w:rPr>
              <w:instrText xml:space="preserve"> </w:instrText>
            </w:r>
            <w:r>
              <w:rPr>
                <w:color w:val="auto"/>
                <w:sz w:val="24"/>
              </w:rPr>
              <w:fldChar w:fldCharType="separate"/>
            </w:r>
            <w:r>
              <w:rPr>
                <w:color w:val="auto"/>
                <w:sz w:val="24"/>
              </w:rPr>
              <w:t>IV</w:t>
            </w:r>
            <w:r>
              <w:rPr>
                <w:color w:val="auto"/>
                <w:sz w:val="24"/>
              </w:rPr>
              <w:fldChar w:fldCharType="end"/>
            </w:r>
            <w:r>
              <w:rPr>
                <w:color w:val="auto"/>
                <w:sz w:val="24"/>
                <w:vertAlign w:val="superscript"/>
              </w:rPr>
              <w:t>+</w:t>
            </w:r>
          </w:p>
        </w:tc>
        <w:tc>
          <w:tcPr>
            <w:tcW w:w="972" w:type="pct"/>
            <w:tcBorders>
              <w:tl2br w:val="nil"/>
              <w:tr2bl w:val="nil"/>
            </w:tcBorders>
            <w:noWrap w:val="0"/>
            <w:vAlign w:val="center"/>
          </w:tcPr>
          <w:p>
            <w:pPr>
              <w:pStyle w:val="176"/>
              <w:rPr>
                <w:color w:val="auto"/>
                <w:spacing w:val="-10"/>
              </w:rPr>
            </w:pPr>
            <w:r>
              <w:rPr>
                <w:color w:val="auto"/>
                <w:spacing w:val="-10"/>
              </w:rPr>
              <w:fldChar w:fldCharType="begin"/>
            </w:r>
            <w:r>
              <w:rPr>
                <w:color w:val="auto"/>
                <w:spacing w:val="-10"/>
              </w:rPr>
              <w:instrText xml:space="preserve"> </w:instrText>
            </w:r>
            <w:r>
              <w:rPr>
                <w:rFonts w:hint="eastAsia"/>
                <w:color w:val="auto"/>
                <w:spacing w:val="-10"/>
              </w:rPr>
              <w:instrText xml:space="preserve">= 3 \* ROMAN</w:instrText>
            </w:r>
            <w:r>
              <w:rPr>
                <w:color w:val="auto"/>
                <w:spacing w:val="-10"/>
              </w:rPr>
              <w:instrText xml:space="preserve"> </w:instrText>
            </w:r>
            <w:r>
              <w:rPr>
                <w:color w:val="auto"/>
                <w:spacing w:val="-10"/>
              </w:rPr>
              <w:fldChar w:fldCharType="separate"/>
            </w:r>
            <w:r>
              <w:rPr>
                <w:color w:val="auto"/>
                <w:spacing w:val="-10"/>
              </w:rPr>
              <w:t>III</w:t>
            </w:r>
            <w:r>
              <w:rPr>
                <w:color w:val="auto"/>
                <w:spacing w:val="-10"/>
              </w:rPr>
              <w:fldChar w:fldCharType="end"/>
            </w:r>
          </w:p>
        </w:tc>
        <w:tc>
          <w:tcPr>
            <w:tcW w:w="1340" w:type="pct"/>
            <w:tcBorders>
              <w:tl2br w:val="nil"/>
              <w:tr2bl w:val="nil"/>
            </w:tcBorders>
            <w:noWrap w:val="0"/>
            <w:vAlign w:val="center"/>
          </w:tcPr>
          <w:p>
            <w:pPr>
              <w:pStyle w:val="176"/>
              <w:rPr>
                <w:color w:val="auto"/>
              </w:rPr>
            </w:pPr>
            <w:r>
              <w:rPr>
                <w:color w:val="auto"/>
              </w:rPr>
              <w:fldChar w:fldCharType="begin"/>
            </w:r>
            <w:r>
              <w:rPr>
                <w:color w:val="auto"/>
              </w:rPr>
              <w:instrText xml:space="preserve"> </w:instrText>
            </w:r>
            <w:r>
              <w:rPr>
                <w:rFonts w:hint="eastAsia"/>
                <w:color w:val="auto"/>
              </w:rPr>
              <w:instrText xml:space="preserve">= 2 \* ROMAN</w:instrText>
            </w:r>
            <w:r>
              <w:rPr>
                <w:color w:val="auto"/>
              </w:rPr>
              <w:instrText xml:space="preserve"> </w:instrText>
            </w:r>
            <w:r>
              <w:rPr>
                <w:color w:val="auto"/>
              </w:rPr>
              <w:fldChar w:fldCharType="separate"/>
            </w:r>
            <w:r>
              <w:rPr>
                <w:color w:val="auto"/>
              </w:rPr>
              <w:t>II</w:t>
            </w:r>
            <w:r>
              <w:rPr>
                <w:color w:val="auto"/>
              </w:rPr>
              <w:fldChar w:fldCharType="end"/>
            </w:r>
          </w:p>
        </w:tc>
        <w:tc>
          <w:tcPr>
            <w:tcW w:w="939" w:type="pct"/>
            <w:tcBorders>
              <w:tl2br w:val="nil"/>
              <w:tr2bl w:val="nil"/>
            </w:tcBorders>
            <w:noWrap w:val="0"/>
            <w:vAlign w:val="center"/>
          </w:tcPr>
          <w:p>
            <w:pPr>
              <w:pStyle w:val="176"/>
              <w:rPr>
                <w:color w:val="auto"/>
              </w:rPr>
            </w:pPr>
            <w:r>
              <w:rPr>
                <w:color w:val="auto"/>
              </w:rPr>
              <w:fldChar w:fldCharType="begin"/>
            </w:r>
            <w:r>
              <w:rPr>
                <w:color w:val="auto"/>
              </w:rPr>
              <w:instrText xml:space="preserve"> </w:instrText>
            </w:r>
            <w:r>
              <w:rPr>
                <w:rFonts w:hint="eastAsia"/>
                <w:color w:val="auto"/>
              </w:rPr>
              <w:instrText xml:space="preserve">= 1 \* ROMAN</w:instrText>
            </w:r>
            <w:r>
              <w:rPr>
                <w:color w:val="auto"/>
              </w:rPr>
              <w:instrText xml:space="preserve"> </w:instrText>
            </w:r>
            <w:r>
              <w:rPr>
                <w:color w:val="auto"/>
              </w:rPr>
              <w:fldChar w:fldCharType="separate"/>
            </w:r>
            <w:r>
              <w:rPr>
                <w:color w:val="auto"/>
              </w:rPr>
              <w:t>I</w:t>
            </w:r>
            <w:r>
              <w:rPr>
                <w:color w:val="auto"/>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06" w:type="pct"/>
            <w:tcBorders>
              <w:tl2br w:val="nil"/>
              <w:tr2bl w:val="nil"/>
            </w:tcBorders>
            <w:noWrap w:val="0"/>
            <w:vAlign w:val="center"/>
          </w:tcPr>
          <w:p>
            <w:pPr>
              <w:pStyle w:val="176"/>
              <w:rPr>
                <w:color w:val="auto"/>
              </w:rPr>
            </w:pPr>
            <w:r>
              <w:rPr>
                <w:rFonts w:hint="eastAsia"/>
                <w:color w:val="auto"/>
              </w:rPr>
              <w:t>评价工作等级</w:t>
            </w:r>
          </w:p>
        </w:tc>
        <w:tc>
          <w:tcPr>
            <w:tcW w:w="939" w:type="pct"/>
            <w:tcBorders>
              <w:tl2br w:val="nil"/>
              <w:tr2bl w:val="nil"/>
            </w:tcBorders>
            <w:noWrap w:val="0"/>
            <w:vAlign w:val="center"/>
          </w:tcPr>
          <w:p>
            <w:pPr>
              <w:pStyle w:val="176"/>
              <w:rPr>
                <w:color w:val="auto"/>
              </w:rPr>
            </w:pPr>
            <w:r>
              <w:rPr>
                <w:rFonts w:hint="eastAsia"/>
                <w:color w:val="auto"/>
              </w:rPr>
              <w:t>一</w:t>
            </w:r>
          </w:p>
        </w:tc>
        <w:tc>
          <w:tcPr>
            <w:tcW w:w="972" w:type="pct"/>
            <w:tcBorders>
              <w:tl2br w:val="nil"/>
              <w:tr2bl w:val="nil"/>
            </w:tcBorders>
            <w:noWrap w:val="0"/>
            <w:vAlign w:val="center"/>
          </w:tcPr>
          <w:p>
            <w:pPr>
              <w:pStyle w:val="176"/>
              <w:rPr>
                <w:color w:val="auto"/>
              </w:rPr>
            </w:pPr>
            <w:r>
              <w:rPr>
                <w:rFonts w:hint="eastAsia"/>
                <w:color w:val="auto"/>
              </w:rPr>
              <w:t>二</w:t>
            </w:r>
          </w:p>
        </w:tc>
        <w:tc>
          <w:tcPr>
            <w:tcW w:w="1340" w:type="pct"/>
            <w:tcBorders>
              <w:tl2br w:val="nil"/>
              <w:tr2bl w:val="nil"/>
            </w:tcBorders>
            <w:noWrap w:val="0"/>
            <w:vAlign w:val="center"/>
          </w:tcPr>
          <w:p>
            <w:pPr>
              <w:pStyle w:val="176"/>
              <w:rPr>
                <w:color w:val="auto"/>
              </w:rPr>
            </w:pPr>
            <w:r>
              <w:rPr>
                <w:rFonts w:hint="eastAsia"/>
                <w:color w:val="auto"/>
              </w:rPr>
              <w:t>三</w:t>
            </w:r>
          </w:p>
        </w:tc>
        <w:tc>
          <w:tcPr>
            <w:tcW w:w="939" w:type="pct"/>
            <w:tcBorders>
              <w:tl2br w:val="nil"/>
              <w:tr2bl w:val="nil"/>
            </w:tcBorders>
            <w:noWrap w:val="0"/>
            <w:vAlign w:val="center"/>
          </w:tcPr>
          <w:p>
            <w:pPr>
              <w:pStyle w:val="176"/>
              <w:rPr>
                <w:color w:val="auto"/>
              </w:rPr>
            </w:pPr>
            <w:r>
              <w:rPr>
                <w:rFonts w:hint="eastAsia"/>
                <w:color w:val="auto"/>
              </w:rPr>
              <w:t>简单分析</w:t>
            </w:r>
            <w:r>
              <w:rPr>
                <w:rFonts w:hint="eastAsia"/>
                <w:color w:val="auto"/>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000" w:type="pct"/>
            <w:gridSpan w:val="5"/>
            <w:tcBorders>
              <w:tl2br w:val="nil"/>
              <w:tr2bl w:val="nil"/>
            </w:tcBorders>
            <w:noWrap w:val="0"/>
            <w:vAlign w:val="center"/>
          </w:tcPr>
          <w:p>
            <w:pPr>
              <w:pStyle w:val="176"/>
              <w:ind w:left="420" w:hanging="420" w:hangingChars="200"/>
              <w:jc w:val="both"/>
              <w:rPr>
                <w:rFonts w:hint="eastAsia"/>
                <w:color w:val="auto"/>
              </w:rPr>
            </w:pPr>
            <w:r>
              <w:rPr>
                <w:rFonts w:hint="eastAsia"/>
                <w:color w:val="auto"/>
              </w:rPr>
              <w:t xml:space="preserve"> </w:t>
            </w:r>
            <w:r>
              <w:rPr>
                <w:rFonts w:hint="eastAsia"/>
                <w:color w:val="auto"/>
                <w:vertAlign w:val="superscript"/>
              </w:rPr>
              <w:t>a</w:t>
            </w:r>
            <w:r>
              <w:rPr>
                <w:color w:val="auto"/>
                <w:vertAlign w:val="superscript"/>
              </w:rPr>
              <w:t xml:space="preserve">    </w:t>
            </w:r>
            <w:r>
              <w:rPr>
                <w:rFonts w:hint="eastAsia"/>
                <w:color w:val="auto"/>
              </w:rPr>
              <w:t>是相对于详细评价工作内容而言，在描述危险物质、环境影响途径、环境危害后果、风险防范措施等方面给出定性的说明。见附录A。</w:t>
            </w:r>
          </w:p>
        </w:tc>
      </w:tr>
    </w:tbl>
    <w:p>
      <w:pPr>
        <w:pStyle w:val="176"/>
        <w:rPr>
          <w:color w:val="auto"/>
        </w:rPr>
      </w:pPr>
    </w:p>
    <w:p>
      <w:pPr>
        <w:pStyle w:val="315"/>
        <w:jc w:val="both"/>
        <w:rPr>
          <w:rFonts w:ascii="Times New Roman"/>
          <w:color w:val="auto"/>
          <w:sz w:val="24"/>
          <w:szCs w:val="24"/>
        </w:rPr>
      </w:pPr>
      <w:r>
        <w:rPr>
          <w:rFonts w:hint="eastAsia" w:ascii="Times New Roman"/>
          <w:color w:val="auto"/>
          <w:sz w:val="24"/>
          <w:szCs w:val="24"/>
        </w:rPr>
        <w:t>建设项目环境风险趋势划分为</w:t>
      </w:r>
      <w:r>
        <w:rPr>
          <w:rFonts w:ascii="Times New Roman"/>
          <w:color w:val="auto"/>
          <w:sz w:val="24"/>
          <w:szCs w:val="24"/>
        </w:rPr>
        <w:fldChar w:fldCharType="begin"/>
      </w:r>
      <w:r>
        <w:rPr>
          <w:rFonts w:ascii="Times New Roman"/>
          <w:color w:val="auto"/>
          <w:sz w:val="24"/>
          <w:szCs w:val="24"/>
        </w:rPr>
        <w:instrText xml:space="preserve"> </w:instrText>
      </w:r>
      <w:r>
        <w:rPr>
          <w:rFonts w:hint="eastAsia" w:ascii="Times New Roman"/>
          <w:color w:val="auto"/>
          <w:sz w:val="24"/>
          <w:szCs w:val="24"/>
        </w:rPr>
        <w:instrText xml:space="preserve">= 1 \* ROMAN</w:instrText>
      </w:r>
      <w:r>
        <w:rPr>
          <w:rFonts w:ascii="Times New Roman"/>
          <w:color w:val="auto"/>
          <w:sz w:val="24"/>
          <w:szCs w:val="24"/>
        </w:rPr>
        <w:instrText xml:space="preserve"> </w:instrText>
      </w:r>
      <w:r>
        <w:rPr>
          <w:rFonts w:ascii="Times New Roman"/>
          <w:color w:val="auto"/>
          <w:sz w:val="24"/>
          <w:szCs w:val="24"/>
        </w:rPr>
        <w:fldChar w:fldCharType="separate"/>
      </w:r>
      <w:r>
        <w:rPr>
          <w:rFonts w:ascii="Times New Roman"/>
          <w:color w:val="auto"/>
          <w:sz w:val="24"/>
          <w:szCs w:val="24"/>
        </w:rPr>
        <w:t>I</w:t>
      </w:r>
      <w:r>
        <w:rPr>
          <w:rFonts w:ascii="Times New Roman"/>
          <w:color w:val="auto"/>
          <w:sz w:val="24"/>
          <w:szCs w:val="24"/>
        </w:rPr>
        <w:fldChar w:fldCharType="end"/>
      </w:r>
      <w:r>
        <w:rPr>
          <w:rFonts w:ascii="Times New Roman"/>
          <w:color w:val="auto"/>
          <w:sz w:val="24"/>
          <w:szCs w:val="24"/>
        </w:rPr>
        <w:t>、</w:t>
      </w:r>
      <w:r>
        <w:rPr>
          <w:rFonts w:ascii="Times New Roman"/>
          <w:color w:val="auto"/>
          <w:sz w:val="24"/>
          <w:szCs w:val="24"/>
        </w:rPr>
        <w:fldChar w:fldCharType="begin"/>
      </w:r>
      <w:r>
        <w:rPr>
          <w:rFonts w:ascii="Times New Roman"/>
          <w:color w:val="auto"/>
          <w:sz w:val="24"/>
          <w:szCs w:val="24"/>
        </w:rPr>
        <w:instrText xml:space="preserve"> </w:instrText>
      </w:r>
      <w:r>
        <w:rPr>
          <w:rFonts w:hint="eastAsia" w:ascii="Times New Roman"/>
          <w:color w:val="auto"/>
          <w:sz w:val="24"/>
          <w:szCs w:val="24"/>
        </w:rPr>
        <w:instrText xml:space="preserve">= 2 \* ROMAN</w:instrText>
      </w:r>
      <w:r>
        <w:rPr>
          <w:rFonts w:ascii="Times New Roman"/>
          <w:color w:val="auto"/>
          <w:sz w:val="24"/>
          <w:szCs w:val="24"/>
        </w:rPr>
        <w:instrText xml:space="preserve"> </w:instrText>
      </w:r>
      <w:r>
        <w:rPr>
          <w:rFonts w:ascii="Times New Roman"/>
          <w:color w:val="auto"/>
          <w:sz w:val="24"/>
          <w:szCs w:val="24"/>
        </w:rPr>
        <w:fldChar w:fldCharType="separate"/>
      </w:r>
      <w:r>
        <w:rPr>
          <w:rFonts w:ascii="Times New Roman"/>
          <w:color w:val="auto"/>
          <w:sz w:val="24"/>
          <w:szCs w:val="24"/>
        </w:rPr>
        <w:t>II</w:t>
      </w:r>
      <w:r>
        <w:rPr>
          <w:rFonts w:ascii="Times New Roman"/>
          <w:color w:val="auto"/>
          <w:sz w:val="24"/>
          <w:szCs w:val="24"/>
        </w:rPr>
        <w:fldChar w:fldCharType="end"/>
      </w:r>
      <w:r>
        <w:rPr>
          <w:rFonts w:ascii="Times New Roman"/>
          <w:color w:val="auto"/>
          <w:sz w:val="24"/>
          <w:szCs w:val="24"/>
        </w:rPr>
        <w:t>、</w:t>
      </w:r>
      <w:r>
        <w:rPr>
          <w:rFonts w:ascii="Times New Roman"/>
          <w:color w:val="auto"/>
          <w:sz w:val="24"/>
          <w:szCs w:val="24"/>
        </w:rPr>
        <w:fldChar w:fldCharType="begin"/>
      </w:r>
      <w:r>
        <w:rPr>
          <w:rFonts w:ascii="Times New Roman"/>
          <w:color w:val="auto"/>
          <w:sz w:val="24"/>
          <w:szCs w:val="24"/>
        </w:rPr>
        <w:instrText xml:space="preserve"> </w:instrText>
      </w:r>
      <w:r>
        <w:rPr>
          <w:rFonts w:hint="eastAsia" w:ascii="Times New Roman"/>
          <w:color w:val="auto"/>
          <w:sz w:val="24"/>
          <w:szCs w:val="24"/>
        </w:rPr>
        <w:instrText xml:space="preserve">= 3 \* ROMAN</w:instrText>
      </w:r>
      <w:r>
        <w:rPr>
          <w:rFonts w:ascii="Times New Roman"/>
          <w:color w:val="auto"/>
          <w:sz w:val="24"/>
          <w:szCs w:val="24"/>
        </w:rPr>
        <w:instrText xml:space="preserve"> </w:instrText>
      </w:r>
      <w:r>
        <w:rPr>
          <w:rFonts w:ascii="Times New Roman"/>
          <w:color w:val="auto"/>
          <w:sz w:val="24"/>
          <w:szCs w:val="24"/>
        </w:rPr>
        <w:fldChar w:fldCharType="separate"/>
      </w:r>
      <w:r>
        <w:rPr>
          <w:rFonts w:ascii="Times New Roman"/>
          <w:color w:val="auto"/>
          <w:sz w:val="24"/>
          <w:szCs w:val="24"/>
        </w:rPr>
        <w:t>III</w:t>
      </w:r>
      <w:r>
        <w:rPr>
          <w:rFonts w:ascii="Times New Roman"/>
          <w:color w:val="auto"/>
          <w:sz w:val="24"/>
          <w:szCs w:val="24"/>
        </w:rPr>
        <w:fldChar w:fldCharType="end"/>
      </w:r>
      <w:r>
        <w:rPr>
          <w:rFonts w:ascii="Times New Roman"/>
          <w:color w:val="auto"/>
          <w:sz w:val="24"/>
          <w:szCs w:val="24"/>
        </w:rPr>
        <w:t>、</w:t>
      </w:r>
      <w:r>
        <w:rPr>
          <w:rFonts w:ascii="Times New Roman"/>
          <w:color w:val="auto"/>
          <w:sz w:val="24"/>
          <w:szCs w:val="24"/>
        </w:rPr>
        <w:fldChar w:fldCharType="begin"/>
      </w:r>
      <w:r>
        <w:rPr>
          <w:rFonts w:ascii="Times New Roman"/>
          <w:color w:val="auto"/>
          <w:sz w:val="24"/>
          <w:szCs w:val="24"/>
        </w:rPr>
        <w:instrText xml:space="preserve"> </w:instrText>
      </w:r>
      <w:r>
        <w:rPr>
          <w:rFonts w:hint="eastAsia" w:ascii="Times New Roman"/>
          <w:color w:val="auto"/>
          <w:sz w:val="24"/>
          <w:szCs w:val="24"/>
        </w:rPr>
        <w:instrText xml:space="preserve">= 4 \* ROMAN</w:instrText>
      </w:r>
      <w:r>
        <w:rPr>
          <w:rFonts w:ascii="Times New Roman"/>
          <w:color w:val="auto"/>
          <w:sz w:val="24"/>
          <w:szCs w:val="24"/>
        </w:rPr>
        <w:instrText xml:space="preserve"> </w:instrText>
      </w:r>
      <w:r>
        <w:rPr>
          <w:rFonts w:ascii="Times New Roman"/>
          <w:color w:val="auto"/>
          <w:sz w:val="24"/>
          <w:szCs w:val="24"/>
        </w:rPr>
        <w:fldChar w:fldCharType="separate"/>
      </w:r>
      <w:r>
        <w:rPr>
          <w:rFonts w:ascii="Times New Roman"/>
          <w:color w:val="auto"/>
          <w:sz w:val="24"/>
          <w:szCs w:val="24"/>
        </w:rPr>
        <w:t>IV</w:t>
      </w:r>
      <w:r>
        <w:rPr>
          <w:rFonts w:ascii="Times New Roman"/>
          <w:color w:val="auto"/>
          <w:sz w:val="24"/>
          <w:szCs w:val="24"/>
        </w:rPr>
        <w:fldChar w:fldCharType="end"/>
      </w:r>
      <w:r>
        <w:rPr>
          <w:rFonts w:ascii="Times New Roman"/>
          <w:color w:val="auto"/>
          <w:sz w:val="24"/>
          <w:szCs w:val="24"/>
        </w:rPr>
        <w:t>/</w:t>
      </w:r>
      <w:r>
        <w:rPr>
          <w:rFonts w:ascii="Times New Roman"/>
          <w:color w:val="auto"/>
          <w:sz w:val="24"/>
          <w:szCs w:val="24"/>
        </w:rPr>
        <w:fldChar w:fldCharType="begin"/>
      </w:r>
      <w:r>
        <w:rPr>
          <w:rFonts w:ascii="Times New Roman"/>
          <w:color w:val="auto"/>
          <w:sz w:val="24"/>
          <w:szCs w:val="24"/>
        </w:rPr>
        <w:instrText xml:space="preserve"> </w:instrText>
      </w:r>
      <w:r>
        <w:rPr>
          <w:rFonts w:hint="eastAsia" w:ascii="Times New Roman"/>
          <w:color w:val="auto"/>
          <w:sz w:val="24"/>
          <w:szCs w:val="24"/>
        </w:rPr>
        <w:instrText xml:space="preserve">= 4 \* ROMAN</w:instrText>
      </w:r>
      <w:r>
        <w:rPr>
          <w:rFonts w:ascii="Times New Roman"/>
          <w:color w:val="auto"/>
          <w:sz w:val="24"/>
          <w:szCs w:val="24"/>
        </w:rPr>
        <w:instrText xml:space="preserve"> </w:instrText>
      </w:r>
      <w:r>
        <w:rPr>
          <w:rFonts w:ascii="Times New Roman"/>
          <w:color w:val="auto"/>
          <w:sz w:val="24"/>
          <w:szCs w:val="24"/>
        </w:rPr>
        <w:fldChar w:fldCharType="separate"/>
      </w:r>
      <w:r>
        <w:rPr>
          <w:rFonts w:ascii="Times New Roman"/>
          <w:color w:val="auto"/>
          <w:sz w:val="24"/>
          <w:szCs w:val="24"/>
        </w:rPr>
        <w:t>IV</w:t>
      </w:r>
      <w:r>
        <w:rPr>
          <w:rFonts w:ascii="Times New Roman"/>
          <w:color w:val="auto"/>
          <w:sz w:val="24"/>
          <w:szCs w:val="24"/>
        </w:rPr>
        <w:fldChar w:fldCharType="end"/>
      </w:r>
      <w:r>
        <w:rPr>
          <w:rFonts w:ascii="Times New Roman"/>
          <w:color w:val="auto"/>
          <w:sz w:val="24"/>
          <w:szCs w:val="24"/>
        </w:rPr>
        <w:t>+</w:t>
      </w:r>
      <w:r>
        <w:rPr>
          <w:rFonts w:hint="eastAsia" w:ascii="Times New Roman"/>
          <w:color w:val="auto"/>
          <w:sz w:val="24"/>
          <w:szCs w:val="24"/>
        </w:rPr>
        <w:t>级。根据建设项目涉及的物质和工艺系统的危险性及其所在地的环境敏感程度，结合事故情形下环境影响途径，对建设项目潜在环境危害程度进行概化分析，按照表</w:t>
      </w:r>
      <w:r>
        <w:rPr>
          <w:rFonts w:hint="eastAsia" w:ascii="Times New Roman"/>
          <w:color w:val="auto"/>
          <w:sz w:val="24"/>
          <w:szCs w:val="24"/>
          <w:lang w:val="en-US" w:eastAsia="zh-CN"/>
        </w:rPr>
        <w:t>5.7-2</w:t>
      </w:r>
      <w:r>
        <w:rPr>
          <w:rFonts w:hint="eastAsia" w:ascii="Times New Roman"/>
          <w:color w:val="auto"/>
          <w:sz w:val="24"/>
          <w:szCs w:val="24"/>
        </w:rPr>
        <w:t>确定环境风险趋势。</w:t>
      </w:r>
    </w:p>
    <w:p>
      <w:pPr>
        <w:ind w:firstLine="2205" w:firstLineChars="1050"/>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5.7-2</w:t>
      </w:r>
      <w:r>
        <w:rPr>
          <w:rFonts w:hint="eastAsia" w:ascii="Times New Roman" w:hAnsi="Times New Roman" w:eastAsia="黑体" w:cs="Times New Roman"/>
          <w:color w:val="auto"/>
          <w:szCs w:val="21"/>
        </w:rPr>
        <w:t xml:space="preserve">  建设项目环境风险趋势划分</w:t>
      </w:r>
    </w:p>
    <w:tbl>
      <w:tblPr>
        <w:tblStyle w:val="7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1430"/>
        <w:gridCol w:w="1628"/>
        <w:gridCol w:w="1702"/>
        <w:gridCol w:w="1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pct"/>
            <w:vMerge w:val="restar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环境敏感程度（E）</w:t>
            </w:r>
          </w:p>
        </w:tc>
        <w:tc>
          <w:tcPr>
            <w:tcW w:w="3797" w:type="pct"/>
            <w:gridSpan w:val="4"/>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pct"/>
            <w:vMerge w:val="continue"/>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p>
        </w:tc>
        <w:tc>
          <w:tcPr>
            <w:tcW w:w="83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极高危害（P1）</w:t>
            </w:r>
          </w:p>
        </w:tc>
        <w:tc>
          <w:tcPr>
            <w:tcW w:w="95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高度危害</w:t>
            </w:r>
          </w:p>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（P2）</w:t>
            </w:r>
          </w:p>
        </w:tc>
        <w:tc>
          <w:tcPr>
            <w:tcW w:w="99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中度危害</w:t>
            </w:r>
          </w:p>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（P3）</w:t>
            </w:r>
          </w:p>
        </w:tc>
        <w:tc>
          <w:tcPr>
            <w:tcW w:w="1003"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轻度危害</w:t>
            </w:r>
          </w:p>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环境高度敏感区（E1）</w:t>
            </w:r>
          </w:p>
        </w:tc>
        <w:tc>
          <w:tcPr>
            <w:tcW w:w="83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IV</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vertAlign w:val="superscript"/>
              </w:rPr>
              <w:t>+</w:t>
            </w:r>
          </w:p>
        </w:tc>
        <w:tc>
          <w:tcPr>
            <w:tcW w:w="95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IV</w:t>
            </w:r>
            <w:r>
              <w:rPr>
                <w:rFonts w:hint="default" w:ascii="Times New Roman" w:hAnsi="Times New Roman" w:cs="Times New Roman"/>
                <w:color w:val="auto"/>
                <w:sz w:val="21"/>
                <w:szCs w:val="21"/>
              </w:rPr>
              <w:fldChar w:fldCharType="end"/>
            </w:r>
          </w:p>
        </w:tc>
        <w:tc>
          <w:tcPr>
            <w:tcW w:w="99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c>
          <w:tcPr>
            <w:tcW w:w="1003"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环境中度敏感区（E2）</w:t>
            </w:r>
          </w:p>
        </w:tc>
        <w:tc>
          <w:tcPr>
            <w:tcW w:w="83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IV</w:t>
            </w:r>
            <w:r>
              <w:rPr>
                <w:rFonts w:hint="default" w:ascii="Times New Roman" w:hAnsi="Times New Roman" w:cs="Times New Roman"/>
                <w:color w:val="auto"/>
                <w:sz w:val="21"/>
                <w:szCs w:val="21"/>
              </w:rPr>
              <w:fldChar w:fldCharType="end"/>
            </w:r>
          </w:p>
        </w:tc>
        <w:tc>
          <w:tcPr>
            <w:tcW w:w="95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c>
          <w:tcPr>
            <w:tcW w:w="99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c>
          <w:tcPr>
            <w:tcW w:w="1003"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w:t>
            </w:r>
            <w:r>
              <w:rPr>
                <w:rFonts w:hint="default" w:ascii="Times New Roman" w:hAnsi="Times New Roman" w:cs="Times New Roman"/>
                <w:color w:val="auto"/>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环境低度敏感区（E3）</w:t>
            </w:r>
          </w:p>
        </w:tc>
        <w:tc>
          <w:tcPr>
            <w:tcW w:w="83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c>
          <w:tcPr>
            <w:tcW w:w="95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fldChar w:fldCharType="begin"/>
            </w:r>
            <w:r>
              <w:rPr>
                <w:rFonts w:hint="default" w:ascii="Times New Roman" w:hAnsi="Times New Roman" w:cs="Times New Roman"/>
                <w:color w:val="auto"/>
                <w:spacing w:val="-10"/>
                <w:sz w:val="21"/>
                <w:szCs w:val="21"/>
              </w:rPr>
              <w:instrText xml:space="preserve"> = 3 \* ROMAN </w:instrText>
            </w:r>
            <w:r>
              <w:rPr>
                <w:rFonts w:hint="default" w:ascii="Times New Roman" w:hAnsi="Times New Roman" w:cs="Times New Roman"/>
                <w:color w:val="auto"/>
                <w:spacing w:val="-10"/>
                <w:sz w:val="21"/>
                <w:szCs w:val="21"/>
              </w:rPr>
              <w:fldChar w:fldCharType="separate"/>
            </w:r>
            <w:r>
              <w:rPr>
                <w:rFonts w:hint="default" w:ascii="Times New Roman" w:hAnsi="Times New Roman" w:cs="Times New Roman"/>
                <w:color w:val="auto"/>
                <w:spacing w:val="-10"/>
                <w:sz w:val="21"/>
                <w:szCs w:val="21"/>
              </w:rPr>
              <w:t>III</w:t>
            </w:r>
            <w:r>
              <w:rPr>
                <w:rFonts w:hint="default" w:ascii="Times New Roman" w:hAnsi="Times New Roman" w:cs="Times New Roman"/>
                <w:color w:val="auto"/>
                <w:spacing w:val="-10"/>
                <w:sz w:val="21"/>
                <w:szCs w:val="21"/>
              </w:rPr>
              <w:fldChar w:fldCharType="end"/>
            </w:r>
          </w:p>
        </w:tc>
        <w:tc>
          <w:tcPr>
            <w:tcW w:w="99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w:t>
            </w:r>
            <w:r>
              <w:rPr>
                <w:rFonts w:hint="default" w:ascii="Times New Roman" w:hAnsi="Times New Roman" w:cs="Times New Roman"/>
                <w:color w:val="auto"/>
                <w:sz w:val="21"/>
                <w:szCs w:val="21"/>
              </w:rPr>
              <w:fldChar w:fldCharType="end"/>
            </w:r>
          </w:p>
        </w:tc>
        <w:tc>
          <w:tcPr>
            <w:tcW w:w="1003"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w:t>
            </w:r>
            <w:r>
              <w:rPr>
                <w:rFonts w:hint="default" w:ascii="Times New Roman" w:hAnsi="Times New Roman" w:cs="Times New Roman"/>
                <w:color w:val="auto"/>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hint="eastAsia" w:cs="Times New Roman"/>
                <w:color w:val="auto"/>
                <w:sz w:val="21"/>
                <w:szCs w:val="21"/>
              </w:rPr>
              <w:t>注：</w:t>
            </w: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 4 \* ROMAN</w:instrText>
            </w:r>
            <w:r>
              <w:rPr>
                <w:color w:val="auto"/>
                <w:sz w:val="21"/>
                <w:szCs w:val="21"/>
              </w:rPr>
              <w:instrText xml:space="preserve"> </w:instrText>
            </w:r>
            <w:r>
              <w:rPr>
                <w:color w:val="auto"/>
                <w:sz w:val="21"/>
                <w:szCs w:val="21"/>
              </w:rPr>
              <w:fldChar w:fldCharType="separate"/>
            </w:r>
            <w:r>
              <w:rPr>
                <w:color w:val="auto"/>
                <w:sz w:val="21"/>
                <w:szCs w:val="21"/>
              </w:rPr>
              <w:t>IV</w:t>
            </w:r>
            <w:r>
              <w:rPr>
                <w:color w:val="auto"/>
                <w:sz w:val="21"/>
                <w:szCs w:val="21"/>
              </w:rPr>
              <w:fldChar w:fldCharType="end"/>
            </w:r>
            <w:r>
              <w:rPr>
                <w:color w:val="auto"/>
                <w:sz w:val="21"/>
                <w:szCs w:val="21"/>
                <w:vertAlign w:val="superscript"/>
              </w:rPr>
              <w:t>+</w:t>
            </w:r>
            <w:r>
              <w:rPr>
                <w:rFonts w:hint="eastAsia"/>
                <w:color w:val="auto"/>
                <w:sz w:val="21"/>
                <w:szCs w:val="21"/>
              </w:rPr>
              <w:t>为极高环境风险</w:t>
            </w:r>
          </w:p>
        </w:tc>
      </w:tr>
    </w:tbl>
    <w:p>
      <w:pPr>
        <w:pStyle w:val="114"/>
        <w:adjustRightInd w:val="0"/>
        <w:snapToGrid w:val="0"/>
        <w:ind w:firstLine="480" w:firstLineChars="200"/>
        <w:rPr>
          <w:rFonts w:hint="eastAsia" w:cs="Times New Roman"/>
          <w:color w:val="auto"/>
        </w:rPr>
      </w:pP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项目区周边5km范围内居住区、医疗卫生、文化教育、科研、行政办公等机构人口总数</w:t>
      </w:r>
      <w:r>
        <w:rPr>
          <w:rFonts w:hint="eastAsia" w:ascii="Times New Roman" w:hAnsi="Times New Roman" w:cs="Times New Roman"/>
          <w:color w:val="auto"/>
          <w:lang w:eastAsia="zh-CN"/>
        </w:rPr>
        <w:t>小于</w:t>
      </w:r>
      <w:r>
        <w:rPr>
          <w:rFonts w:hint="eastAsia" w:ascii="Times New Roman" w:hAnsi="Times New Roman" w:cs="Times New Roman"/>
          <w:color w:val="auto"/>
          <w:lang w:val="en-US" w:eastAsia="zh-CN"/>
        </w:rPr>
        <w:t>1</w:t>
      </w:r>
      <w:r>
        <w:rPr>
          <w:rFonts w:hint="default" w:ascii="Times New Roman" w:hAnsi="Times New Roman" w:cs="Times New Roman"/>
          <w:color w:val="auto"/>
        </w:rPr>
        <w:t>万人，因此按照表</w:t>
      </w:r>
      <w:r>
        <w:rPr>
          <w:rFonts w:hint="default" w:ascii="Times New Roman" w:hAnsi="Times New Roman" w:cs="Times New Roman"/>
          <w:color w:val="auto"/>
          <w:lang w:val="en-US" w:eastAsia="zh-CN"/>
        </w:rPr>
        <w:t>5.7-3</w:t>
      </w:r>
      <w:r>
        <w:rPr>
          <w:rFonts w:hint="default" w:ascii="Times New Roman" w:hAnsi="Times New Roman" w:cs="Times New Roman"/>
          <w:color w:val="auto"/>
        </w:rPr>
        <w:t>，本项目大气环境敏感程度分级为E3。</w:t>
      </w:r>
    </w:p>
    <w:p>
      <w:pPr>
        <w:ind w:firstLine="2205" w:firstLineChars="1050"/>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-3     大气环境敏感程度分级表</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分级</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E1</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E2</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E3</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周边5km范围内居住区、医疗卫生、文化教育、科研、行政办公等机构人口总数小于1万人，或周边500m范围内人口总数小于500人；油气、化学品输送管线管段周边200m范围内，每千米管段人口数小于100人</w:t>
            </w:r>
          </w:p>
        </w:tc>
      </w:tr>
    </w:tbl>
    <w:p>
      <w:pPr>
        <w:pStyle w:val="495"/>
        <w:spacing w:before="156"/>
        <w:ind w:firstLine="480" w:firstLineChars="20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本项目工艺废水“闭路循环，不外排”，按照表</w:t>
      </w:r>
      <w:r>
        <w:rPr>
          <w:rFonts w:hint="default"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-4、表</w:t>
      </w:r>
      <w:r>
        <w:rPr>
          <w:rFonts w:hint="default"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-5和表</w:t>
      </w:r>
      <w:r>
        <w:rPr>
          <w:rFonts w:hint="default"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-6，本项目地表水环境敏感程度分级为E3。</w:t>
      </w:r>
    </w:p>
    <w:p>
      <w:pPr>
        <w:ind w:firstLine="2835" w:firstLineChars="1350"/>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-4  地表水环境敏感程度分级</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5"/>
        <w:gridCol w:w="1787"/>
        <w:gridCol w:w="2038"/>
        <w:gridCol w:w="2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vMerge w:val="restar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环境敏感目标</w:t>
            </w:r>
          </w:p>
        </w:tc>
        <w:tc>
          <w:tcPr>
            <w:tcW w:w="3495" w:type="pct"/>
            <w:gridSpan w:val="3"/>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vMerge w:val="continue"/>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p>
        </w:tc>
        <w:tc>
          <w:tcPr>
            <w:tcW w:w="104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w:t>
            </w:r>
          </w:p>
        </w:tc>
        <w:tc>
          <w:tcPr>
            <w:tcW w:w="119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F2</w:t>
            </w:r>
          </w:p>
        </w:tc>
        <w:tc>
          <w:tcPr>
            <w:tcW w:w="1251"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S1</w:t>
            </w:r>
          </w:p>
        </w:tc>
        <w:tc>
          <w:tcPr>
            <w:tcW w:w="104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119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1251"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S2</w:t>
            </w:r>
          </w:p>
        </w:tc>
        <w:tc>
          <w:tcPr>
            <w:tcW w:w="104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119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c>
          <w:tcPr>
            <w:tcW w:w="1251"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w:t>
            </w:r>
          </w:p>
        </w:tc>
        <w:tc>
          <w:tcPr>
            <w:tcW w:w="1048"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1195"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c>
          <w:tcPr>
            <w:tcW w:w="1251"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r>
    </w:tbl>
    <w:p>
      <w:pPr>
        <w:keepNext w:val="0"/>
        <w:keepLines w:val="0"/>
        <w:pageBreakBefore w:val="0"/>
        <w:widowControl w:val="0"/>
        <w:kinsoku/>
        <w:wordWrap/>
        <w:overflowPunct/>
        <w:topLinePunct w:val="0"/>
        <w:autoSpaceDE/>
        <w:autoSpaceDN/>
        <w:bidi w:val="0"/>
        <w:adjustRightInd/>
        <w:snapToGrid/>
        <w:spacing w:before="313" w:beforeLines="100"/>
        <w:ind w:firstLine="2835" w:firstLineChars="1350"/>
        <w:textAlignment w:val="auto"/>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-5  地表水功能敏感性分区</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敏感性</w:t>
            </w:r>
          </w:p>
        </w:tc>
        <w:tc>
          <w:tcPr>
            <w:tcW w:w="4254" w:type="pct"/>
            <w:tcBorders>
              <w:tl2br w:val="nil"/>
              <w:tr2bl w:val="nil"/>
            </w:tcBorders>
            <w:noWrap w:val="0"/>
            <w:vAlign w:val="top"/>
          </w:tcPr>
          <w:p>
            <w:pPr>
              <w:widowControl/>
              <w:adjustRightInd w:val="0"/>
              <w:snapToGrid w:val="0"/>
              <w:ind w:firstLine="1890" w:firstLineChars="900"/>
              <w:jc w:val="left"/>
              <w:rPr>
                <w:rFonts w:hint="eastAsia" w:ascii="宋体" w:hAnsi="宋体" w:eastAsia="宋体"/>
                <w:color w:val="auto"/>
                <w:sz w:val="21"/>
                <w:szCs w:val="21"/>
              </w:rPr>
            </w:pPr>
            <w:r>
              <w:rPr>
                <w:rFonts w:hint="eastAsia" w:ascii="宋体" w:hAnsi="宋体" w:eastAsia="宋体"/>
                <w:color w:val="auto"/>
                <w:sz w:val="21"/>
                <w:szCs w:val="21"/>
              </w:rPr>
              <w:t>地表水环境敏感特征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敏感F1</w:t>
            </w:r>
          </w:p>
        </w:tc>
        <w:tc>
          <w:tcPr>
            <w:tcW w:w="4254" w:type="pct"/>
            <w:tcBorders>
              <w:tl2br w:val="nil"/>
              <w:tr2bl w:val="nil"/>
            </w:tcBorders>
            <w:noWrap w:val="0"/>
            <w:vAlign w:val="top"/>
          </w:tcPr>
          <w:p>
            <w:pPr>
              <w:widowControl/>
              <w:adjustRightInd w:val="0"/>
              <w:snapToGrid w:val="0"/>
              <w:jc w:val="left"/>
              <w:rPr>
                <w:rFonts w:hint="eastAsia" w:ascii="宋体" w:hAnsi="宋体" w:eastAsia="宋体"/>
                <w:color w:val="auto"/>
                <w:sz w:val="21"/>
                <w:szCs w:val="21"/>
              </w:rPr>
            </w:pPr>
            <w:r>
              <w:rPr>
                <w:rFonts w:hint="eastAsia" w:ascii="宋体" w:hAnsi="宋体" w:eastAsia="宋体"/>
                <w:color w:val="auto"/>
                <w:sz w:val="21"/>
                <w:szCs w:val="21"/>
              </w:rPr>
              <w:t>排放点进入地表水水源环境功能为</w:t>
            </w:r>
            <w:r>
              <w:rPr>
                <w:rFonts w:hint="eastAsia" w:ascii="宋体" w:hAnsi="宋体" w:eastAsia="宋体"/>
                <w:color w:val="auto"/>
                <w:sz w:val="21"/>
                <w:szCs w:val="21"/>
              </w:rPr>
              <w:fldChar w:fldCharType="begin"/>
            </w:r>
            <w:r>
              <w:rPr>
                <w:rFonts w:hint="eastAsia" w:ascii="宋体" w:hAnsi="宋体" w:eastAsia="宋体"/>
                <w:color w:val="auto"/>
                <w:sz w:val="21"/>
                <w:szCs w:val="21"/>
              </w:rPr>
              <w:instrText xml:space="preserve"> = 2 \* ROMAN </w:instrText>
            </w:r>
            <w:r>
              <w:rPr>
                <w:rFonts w:hint="eastAsia" w:ascii="宋体" w:hAnsi="宋体" w:eastAsia="宋体"/>
                <w:color w:val="auto"/>
                <w:sz w:val="21"/>
                <w:szCs w:val="21"/>
              </w:rPr>
              <w:fldChar w:fldCharType="separate"/>
            </w:r>
            <w:r>
              <w:rPr>
                <w:rFonts w:hint="eastAsia" w:ascii="宋体" w:hAnsi="宋体" w:eastAsia="宋体"/>
                <w:color w:val="auto"/>
                <w:sz w:val="21"/>
                <w:szCs w:val="21"/>
              </w:rPr>
              <w:t>II</w:t>
            </w:r>
            <w:r>
              <w:rPr>
                <w:rFonts w:hint="eastAsia" w:ascii="宋体" w:hAnsi="宋体" w:eastAsia="宋体"/>
                <w:color w:val="auto"/>
                <w:sz w:val="21"/>
                <w:szCs w:val="21"/>
              </w:rPr>
              <w:fldChar w:fldCharType="end"/>
            </w:r>
            <w:r>
              <w:rPr>
                <w:rFonts w:hint="eastAsia" w:ascii="宋体" w:hAnsi="宋体" w:eastAsia="宋体"/>
                <w:color w:val="auto"/>
                <w:sz w:val="21"/>
                <w:szCs w:val="21"/>
              </w:rPr>
              <w:t>类及以上，或海水水质分类第一类；或以上发生事故时，危险物质泄漏到水体的排放点算起，排放进入受纳河流最大流速时，24h流经范围内涉跨国界的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较敏感F2</w:t>
            </w:r>
          </w:p>
        </w:tc>
        <w:tc>
          <w:tcPr>
            <w:tcW w:w="4254" w:type="pct"/>
            <w:tcBorders>
              <w:tl2br w:val="nil"/>
              <w:tr2bl w:val="nil"/>
            </w:tcBorders>
            <w:noWrap w:val="0"/>
            <w:vAlign w:val="top"/>
          </w:tcPr>
          <w:p>
            <w:pPr>
              <w:widowControl/>
              <w:adjustRightInd w:val="0"/>
              <w:snapToGrid w:val="0"/>
              <w:jc w:val="left"/>
              <w:rPr>
                <w:rFonts w:hint="eastAsia" w:ascii="宋体" w:hAnsi="宋体" w:eastAsia="宋体"/>
                <w:color w:val="auto"/>
                <w:sz w:val="21"/>
                <w:szCs w:val="21"/>
              </w:rPr>
            </w:pPr>
            <w:r>
              <w:rPr>
                <w:rFonts w:hint="eastAsia" w:ascii="宋体" w:hAnsi="宋体" w:eastAsia="宋体"/>
                <w:color w:val="auto"/>
                <w:sz w:val="21"/>
                <w:szCs w:val="21"/>
              </w:rPr>
              <w:t>排放点进入地表水水源环境功能为</w:t>
            </w:r>
            <w:r>
              <w:rPr>
                <w:rFonts w:hint="eastAsia" w:ascii="宋体" w:hAnsi="宋体" w:eastAsia="宋体"/>
                <w:color w:val="auto"/>
                <w:sz w:val="21"/>
                <w:szCs w:val="21"/>
              </w:rPr>
              <w:fldChar w:fldCharType="begin"/>
            </w:r>
            <w:r>
              <w:rPr>
                <w:rFonts w:hint="eastAsia" w:ascii="宋体" w:hAnsi="宋体" w:eastAsia="宋体"/>
                <w:color w:val="auto"/>
                <w:sz w:val="21"/>
                <w:szCs w:val="21"/>
              </w:rPr>
              <w:instrText xml:space="preserve"> = 2 \* ROMAN </w:instrText>
            </w:r>
            <w:r>
              <w:rPr>
                <w:rFonts w:hint="eastAsia" w:ascii="宋体" w:hAnsi="宋体" w:eastAsia="宋体"/>
                <w:color w:val="auto"/>
                <w:sz w:val="21"/>
                <w:szCs w:val="21"/>
              </w:rPr>
              <w:fldChar w:fldCharType="separate"/>
            </w:r>
            <w:r>
              <w:rPr>
                <w:rFonts w:hint="eastAsia" w:ascii="宋体" w:hAnsi="宋体" w:eastAsia="宋体"/>
                <w:color w:val="auto"/>
                <w:sz w:val="21"/>
                <w:szCs w:val="21"/>
              </w:rPr>
              <w:fldChar w:fldCharType="begin"/>
            </w:r>
            <w:r>
              <w:rPr>
                <w:rFonts w:hint="eastAsia" w:ascii="宋体" w:hAnsi="宋体" w:eastAsia="宋体"/>
                <w:color w:val="auto"/>
                <w:sz w:val="21"/>
                <w:szCs w:val="21"/>
              </w:rPr>
              <w:instrText xml:space="preserve"> = 3 \* ROMAN </w:instrText>
            </w:r>
            <w:r>
              <w:rPr>
                <w:rFonts w:hint="eastAsia" w:ascii="宋体" w:hAnsi="宋体" w:eastAsia="宋体"/>
                <w:color w:val="auto"/>
                <w:sz w:val="21"/>
                <w:szCs w:val="21"/>
              </w:rPr>
              <w:fldChar w:fldCharType="separate"/>
            </w:r>
            <w:r>
              <w:rPr>
                <w:rFonts w:hint="eastAsia" w:ascii="宋体" w:hAnsi="宋体" w:eastAsia="宋体"/>
                <w:color w:val="auto"/>
                <w:sz w:val="21"/>
                <w:szCs w:val="21"/>
              </w:rPr>
              <w:t>III</w:t>
            </w:r>
            <w:r>
              <w:rPr>
                <w:rFonts w:hint="eastAsia" w:ascii="宋体" w:hAnsi="宋体" w:eastAsia="宋体"/>
                <w:color w:val="auto"/>
                <w:sz w:val="21"/>
                <w:szCs w:val="21"/>
              </w:rPr>
              <w:fldChar w:fldCharType="end"/>
            </w:r>
            <w:r>
              <w:rPr>
                <w:rFonts w:hint="eastAsia" w:ascii="宋体" w:hAnsi="宋体" w:eastAsia="宋体"/>
                <w:color w:val="auto"/>
                <w:sz w:val="21"/>
                <w:szCs w:val="21"/>
              </w:rPr>
              <w:fldChar w:fldCharType="end"/>
            </w:r>
            <w:r>
              <w:rPr>
                <w:rFonts w:hint="eastAsia" w:ascii="宋体" w:hAnsi="宋体" w:eastAsia="宋体"/>
                <w:color w:val="auto"/>
                <w:sz w:val="21"/>
                <w:szCs w:val="21"/>
              </w:rPr>
              <w:t>类及以上，或海水水质分类第二类；或以上发生事故时，危险物质泄漏到水体的排放点算起，排放进入受纳河流最大流速时，24h流经范围内涉跨省界的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低敏感F3</w:t>
            </w:r>
          </w:p>
        </w:tc>
        <w:tc>
          <w:tcPr>
            <w:tcW w:w="4254" w:type="pct"/>
            <w:tcBorders>
              <w:tl2br w:val="nil"/>
              <w:tr2bl w:val="nil"/>
            </w:tcBorders>
            <w:noWrap w:val="0"/>
            <w:vAlign w:val="top"/>
          </w:tcPr>
          <w:p>
            <w:pPr>
              <w:widowControl/>
              <w:adjustRightInd w:val="0"/>
              <w:snapToGrid w:val="0"/>
              <w:jc w:val="left"/>
              <w:rPr>
                <w:rFonts w:hint="eastAsia" w:ascii="宋体" w:hAnsi="宋体" w:eastAsia="宋体"/>
                <w:color w:val="auto"/>
                <w:sz w:val="21"/>
                <w:szCs w:val="21"/>
              </w:rPr>
            </w:pPr>
            <w:r>
              <w:rPr>
                <w:rFonts w:hint="eastAsia" w:ascii="宋体" w:hAnsi="宋体" w:eastAsia="宋体"/>
                <w:color w:val="auto"/>
                <w:sz w:val="21"/>
                <w:szCs w:val="21"/>
              </w:rPr>
              <w:t>上述地区之外的其他地区</w:t>
            </w:r>
          </w:p>
        </w:tc>
      </w:tr>
    </w:tbl>
    <w:p>
      <w:pPr>
        <w:keepNext w:val="0"/>
        <w:keepLines w:val="0"/>
        <w:pageBreakBefore w:val="0"/>
        <w:widowControl w:val="0"/>
        <w:kinsoku/>
        <w:wordWrap/>
        <w:overflowPunct/>
        <w:topLinePunct w:val="0"/>
        <w:autoSpaceDE/>
        <w:autoSpaceDN/>
        <w:bidi w:val="0"/>
        <w:adjustRightInd/>
        <w:snapToGrid/>
        <w:spacing w:before="313" w:beforeLines="100"/>
        <w:ind w:firstLine="2835" w:firstLineChars="1350"/>
        <w:textAlignment w:val="auto"/>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-6   环境敏感目标分级</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海滨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顺水流向）10km范围内、近岸海域一个潮周期水质点可能达到的最大水平距离的两倍范围内，有如下一类或多类环境风险受体；水产养殖区；天然渔场；森林工园；地质公园；海拔风景游览区；具有重要经济价值的海洋生物生存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排放点下游（顺水留下）10km范围、近岸海域一个潮周期水质点可能达到的最大水平距离的两倍范围内无上述类型1和类型2包括的敏感保护目标</w:t>
            </w:r>
          </w:p>
        </w:tc>
      </w:tr>
    </w:tbl>
    <w:p>
      <w:pPr>
        <w:pStyle w:val="495"/>
        <w:spacing w:before="156"/>
        <w:ind w:firstLine="480" w:firstLineChars="20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本项目区不属于集中式饮用水源准保护区和补给径流区，按照表</w:t>
      </w:r>
      <w:r>
        <w:rPr>
          <w:rFonts w:hint="eastAsia"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-7、表</w:t>
      </w:r>
      <w:r>
        <w:rPr>
          <w:rFonts w:hint="eastAsia"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-8和表</w:t>
      </w:r>
      <w:r>
        <w:rPr>
          <w:rFonts w:hint="eastAsia" w:ascii="Times New Roman" w:hAnsi="Times New Roman" w:eastAsia="宋体" w:cs="Times New Roman"/>
          <w:color w:val="auto"/>
          <w:szCs w:val="24"/>
          <w:lang w:val="en-US" w:eastAsia="zh-CN"/>
        </w:rPr>
        <w:t>5.7</w:t>
      </w:r>
      <w:r>
        <w:rPr>
          <w:rFonts w:hint="default" w:ascii="Times New Roman" w:hAnsi="Times New Roman" w:eastAsia="宋体" w:cs="Times New Roman"/>
          <w:color w:val="auto"/>
          <w:szCs w:val="24"/>
        </w:rPr>
        <w:t>-9地下水功能敏感性为G3，厂区内包气带最小厚度H为291m，包气带垂向平均渗透系数4.66×10</w:t>
      </w:r>
      <w:r>
        <w:rPr>
          <w:rFonts w:hint="default" w:ascii="Times New Roman" w:hAnsi="Times New Roman" w:eastAsia="宋体" w:cs="Times New Roman"/>
          <w:color w:val="auto"/>
          <w:szCs w:val="24"/>
          <w:vertAlign w:val="superscript"/>
        </w:rPr>
        <w:t>-5</w:t>
      </w:r>
      <w:r>
        <w:rPr>
          <w:rFonts w:hint="default" w:ascii="Times New Roman" w:hAnsi="Times New Roman" w:cs="Times New Roman"/>
          <w:color w:val="auto"/>
          <w:szCs w:val="21"/>
        </w:rPr>
        <w:t>cm/s</w:t>
      </w:r>
      <w:r>
        <w:rPr>
          <w:rFonts w:hint="default" w:ascii="Times New Roman" w:hAnsi="Times New Roman" w:eastAsia="宋体" w:cs="Times New Roman"/>
          <w:color w:val="auto"/>
          <w:szCs w:val="24"/>
        </w:rPr>
        <w:t>，包气带防污性能为D2，因此地下水环境敏感程度分级为E3。</w:t>
      </w:r>
    </w:p>
    <w:p>
      <w:pPr>
        <w:ind w:firstLine="2835" w:firstLineChars="1350"/>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-7    地下水环境敏感程度分级</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5"/>
        <w:gridCol w:w="1787"/>
        <w:gridCol w:w="2038"/>
        <w:gridCol w:w="2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vMerge w:val="restar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hint="eastAsia" w:cs="Times New Roman"/>
                <w:color w:val="auto"/>
                <w:sz w:val="21"/>
                <w:szCs w:val="21"/>
              </w:rPr>
              <w:t>包气带防污性能</w:t>
            </w:r>
          </w:p>
        </w:tc>
        <w:tc>
          <w:tcPr>
            <w:tcW w:w="3495" w:type="pct"/>
            <w:gridSpan w:val="3"/>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hint="eastAsia" w:cs="Times New Roman"/>
                <w:color w:val="auto"/>
                <w:sz w:val="21"/>
                <w:szCs w:val="21"/>
              </w:rPr>
              <w:t>地下水功能敏感性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vMerge w:val="continue"/>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p>
        </w:tc>
        <w:tc>
          <w:tcPr>
            <w:tcW w:w="1048"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G1</w:t>
            </w:r>
          </w:p>
        </w:tc>
        <w:tc>
          <w:tcPr>
            <w:tcW w:w="1195"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G2</w:t>
            </w:r>
          </w:p>
        </w:tc>
        <w:tc>
          <w:tcPr>
            <w:tcW w:w="1251"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G3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D</w:t>
            </w:r>
            <w:r>
              <w:rPr>
                <w:rFonts w:hint="eastAsia" w:cs="Times New Roman"/>
                <w:color w:val="auto"/>
                <w:sz w:val="21"/>
                <w:szCs w:val="21"/>
              </w:rPr>
              <w:t>1</w:t>
            </w:r>
          </w:p>
        </w:tc>
        <w:tc>
          <w:tcPr>
            <w:tcW w:w="1048"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E1</w:t>
            </w:r>
          </w:p>
        </w:tc>
        <w:tc>
          <w:tcPr>
            <w:tcW w:w="1195"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E1</w:t>
            </w:r>
          </w:p>
        </w:tc>
        <w:tc>
          <w:tcPr>
            <w:tcW w:w="1251"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D2</w:t>
            </w:r>
          </w:p>
        </w:tc>
        <w:tc>
          <w:tcPr>
            <w:tcW w:w="1048"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E1</w:t>
            </w:r>
          </w:p>
        </w:tc>
        <w:tc>
          <w:tcPr>
            <w:tcW w:w="1195"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E2</w:t>
            </w:r>
          </w:p>
        </w:tc>
        <w:tc>
          <w:tcPr>
            <w:tcW w:w="1251"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rFonts w:cs="Times New Roman"/>
                <w:color w:val="auto"/>
                <w:sz w:val="21"/>
                <w:szCs w:val="21"/>
              </w:rPr>
              <w:t>D3</w:t>
            </w:r>
          </w:p>
        </w:tc>
        <w:tc>
          <w:tcPr>
            <w:tcW w:w="1048"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E2</w:t>
            </w:r>
          </w:p>
        </w:tc>
        <w:tc>
          <w:tcPr>
            <w:tcW w:w="1195"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E3</w:t>
            </w:r>
          </w:p>
        </w:tc>
        <w:tc>
          <w:tcPr>
            <w:tcW w:w="1251" w:type="pct"/>
            <w:tcBorders>
              <w:tl2br w:val="nil"/>
              <w:tr2bl w:val="nil"/>
            </w:tcBorders>
            <w:noWrap w:val="0"/>
            <w:vAlign w:val="center"/>
          </w:tcPr>
          <w:p>
            <w:pPr>
              <w:pStyle w:val="114"/>
              <w:adjustRightInd w:val="0"/>
              <w:snapToGrid w:val="0"/>
              <w:spacing w:line="240" w:lineRule="auto"/>
              <w:jc w:val="center"/>
              <w:rPr>
                <w:rFonts w:hint="eastAsia" w:cs="Times New Roman"/>
                <w:color w:val="auto"/>
                <w:sz w:val="21"/>
                <w:szCs w:val="21"/>
              </w:rPr>
            </w:pPr>
            <w:r>
              <w:rPr>
                <w:color w:val="auto"/>
                <w:sz w:val="21"/>
                <w:szCs w:val="21"/>
              </w:rPr>
              <w:t>E3</w:t>
            </w:r>
          </w:p>
        </w:tc>
      </w:tr>
    </w:tbl>
    <w:p>
      <w:pPr>
        <w:keepNext w:val="0"/>
        <w:keepLines w:val="0"/>
        <w:pageBreakBefore w:val="0"/>
        <w:widowControl w:val="0"/>
        <w:kinsoku/>
        <w:wordWrap/>
        <w:overflowPunct/>
        <w:topLinePunct w:val="0"/>
        <w:autoSpaceDE/>
        <w:autoSpaceDN/>
        <w:bidi w:val="0"/>
        <w:adjustRightInd/>
        <w:snapToGrid/>
        <w:spacing w:before="157" w:beforeLines="50"/>
        <w:ind w:firstLine="2835" w:firstLineChars="1350"/>
        <w:textAlignment w:val="auto"/>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-8   地下水功能敏感性分区</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top"/>
          </w:tcPr>
          <w:p>
            <w:pPr>
              <w:widowControl/>
              <w:adjustRightInd w:val="0"/>
              <w:snapToGrid w:val="0"/>
              <w:jc w:val="left"/>
              <w:rPr>
                <w:rFonts w:hint="eastAsia" w:ascii="宋体" w:hAnsi="宋体" w:eastAsia="宋体"/>
                <w:color w:val="auto"/>
                <w:sz w:val="21"/>
                <w:szCs w:val="21"/>
              </w:rPr>
            </w:pPr>
            <w:r>
              <w:rPr>
                <w:rFonts w:hint="eastAsia" w:ascii="宋体" w:hAnsi="宋体" w:eastAsia="宋体"/>
                <w:color w:val="auto"/>
                <w:sz w:val="21"/>
                <w:szCs w:val="21"/>
              </w:rPr>
              <w:t>敏感性</w:t>
            </w:r>
          </w:p>
        </w:tc>
        <w:tc>
          <w:tcPr>
            <w:tcW w:w="4254" w:type="pct"/>
            <w:tcBorders>
              <w:tl2br w:val="nil"/>
              <w:tr2bl w:val="nil"/>
            </w:tcBorders>
            <w:noWrap w:val="0"/>
            <w:vAlign w:val="top"/>
          </w:tcPr>
          <w:p>
            <w:pPr>
              <w:widowControl/>
              <w:adjustRightInd w:val="0"/>
              <w:snapToGrid w:val="0"/>
              <w:jc w:val="left"/>
              <w:rPr>
                <w:rFonts w:hint="eastAsia" w:ascii="宋体" w:hAnsi="宋体" w:eastAsia="宋体"/>
                <w:color w:val="auto"/>
                <w:sz w:val="21"/>
                <w:szCs w:val="21"/>
              </w:rPr>
            </w:pPr>
            <w:r>
              <w:rPr>
                <w:rFonts w:hint="eastAsia" w:ascii="宋体" w:hAnsi="宋体" w:eastAsia="宋体"/>
                <w:color w:val="auto"/>
                <w:sz w:val="21"/>
                <w:szCs w:val="21"/>
              </w:rPr>
              <w:t>地表水环境敏感特征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敏感G1</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较敏感G2</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低敏感G3</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上述地区之外的其他地区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A“环境敏感区”是指《建设项目环境影响评价分类管理名录》中所界定的涉及地下水的环境敏感区</w:t>
            </w:r>
          </w:p>
        </w:tc>
      </w:tr>
    </w:tbl>
    <w:p>
      <w:pPr>
        <w:keepNext w:val="0"/>
        <w:keepLines w:val="0"/>
        <w:pageBreakBefore w:val="0"/>
        <w:widowControl w:val="0"/>
        <w:kinsoku/>
        <w:wordWrap/>
        <w:overflowPunct/>
        <w:topLinePunct w:val="0"/>
        <w:autoSpaceDE/>
        <w:autoSpaceDN/>
        <w:bidi w:val="0"/>
        <w:adjustRightInd/>
        <w:snapToGrid/>
        <w:spacing w:before="157" w:beforeLines="50"/>
        <w:ind w:firstLine="2835" w:firstLineChars="1350"/>
        <w:textAlignment w:val="auto"/>
        <w:rPr>
          <w:rFonts w:hint="eastAsia" w:ascii="Times New Roman" w:hAnsi="Times New Roman" w:eastAsia="黑体" w:cs="Times New Roman"/>
          <w:color w:val="auto"/>
          <w:szCs w:val="21"/>
        </w:rPr>
      </w:pPr>
      <w:r>
        <w:rPr>
          <w:rFonts w:hint="eastAsia"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w:t>
      </w:r>
      <w:r>
        <w:rPr>
          <w:rFonts w:hint="eastAsia" w:ascii="Times New Roman" w:hAnsi="Times New Roman" w:eastAsia="黑体" w:cs="Times New Roman"/>
          <w:color w:val="auto"/>
          <w:szCs w:val="21"/>
        </w:rPr>
        <w:t>-9   包气带防污性能分级</w:t>
      </w:r>
    </w:p>
    <w:tbl>
      <w:tblPr>
        <w:tblStyle w:val="7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top"/>
          </w:tcPr>
          <w:p>
            <w:pPr>
              <w:widowControl/>
              <w:adjustRightInd w:val="0"/>
              <w:snapToGrid w:val="0"/>
              <w:ind w:firstLine="210" w:firstLineChars="1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包气带盐土的渗透性能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D3</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Mb≥1.0m，K≤1.0×10</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0.5m≤Mb＜1.0m，K≤1.0×10</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w:t>
            </w:r>
          </w:p>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Mb≥1.0m， 1.0×10</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cm/s＜K≤1.0×10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w:t>
            </w:r>
          </w:p>
        </w:tc>
        <w:tc>
          <w:tcPr>
            <w:tcW w:w="4254" w:type="pct"/>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岩（土）层不满足上述“D2”和“D3”条件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l2br w:val="nil"/>
              <w:tr2bl w:val="nil"/>
            </w:tcBorders>
            <w:noWrap w:val="0"/>
            <w:vAlign w:val="top"/>
          </w:tcPr>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Mb：盐土层单层厚度。</w:t>
            </w:r>
          </w:p>
          <w:p>
            <w:pPr>
              <w:widowControl/>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K：渗透系数。</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本项目涉及的主要危险性物质主要为炸药。根据《建设项目环境风险评价技术导则》（HJ169-2018）附录B，硝酸铵临界量为50t，本项目所用炸药由</w:t>
      </w:r>
      <w:r>
        <w:rPr>
          <w:rFonts w:hint="default" w:ascii="Times New Roman" w:hAnsi="Times New Roman" w:eastAsia="宋体" w:cs="Times New Roman"/>
          <w:color w:val="auto"/>
          <w:kern w:val="0"/>
          <w:sz w:val="24"/>
          <w:szCs w:val="24"/>
        </w:rPr>
        <w:t>专业爆破公司</w:t>
      </w:r>
      <w:r>
        <w:rPr>
          <w:rFonts w:hint="default" w:ascii="Times New Roman" w:hAnsi="Times New Roman" w:eastAsia="宋体" w:cs="Times New Roman"/>
          <w:color w:val="auto"/>
          <w:sz w:val="24"/>
          <w:szCs w:val="24"/>
        </w:rPr>
        <w:t>定时定量配送并且即时用于爆破作业，矿区不建炸药库，本项目一日使用量约为127.3kg （0.1273t），本项目所涉及危险物质的临界量见表</w:t>
      </w:r>
      <w:r>
        <w:rPr>
          <w:rFonts w:hint="eastAsia" w:ascii="Times New Roman" w:hAnsi="Times New Roman" w:eastAsia="宋体" w:cs="Times New Roman"/>
          <w:color w:val="auto"/>
          <w:sz w:val="24"/>
          <w:szCs w:val="24"/>
          <w:lang w:val="en-US" w:eastAsia="zh-CN"/>
        </w:rPr>
        <w:t>5.7-10</w:t>
      </w:r>
      <w:r>
        <w:rPr>
          <w:rFonts w:hint="default" w:ascii="Times New Roman" w:hAnsi="Times New Roman" w:eastAsia="宋体" w:cs="Times New Roman"/>
          <w:color w:val="auto"/>
          <w:sz w:val="24"/>
          <w:szCs w:val="24"/>
        </w:rPr>
        <w:t>。</w:t>
      </w:r>
    </w:p>
    <w:p>
      <w:pPr>
        <w:overflowPunct w:val="0"/>
        <w:ind w:firstLine="1890" w:firstLineChars="9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5.7-10</w:t>
      </w:r>
      <w:r>
        <w:rPr>
          <w:rFonts w:hint="default" w:ascii="Times New Roman" w:hAnsi="Times New Roman" w:eastAsia="黑体" w:cs="Times New Roman"/>
          <w:color w:val="auto"/>
          <w:szCs w:val="21"/>
        </w:rPr>
        <w:t xml:space="preserve">   本项目危险物质辨识一览表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1396"/>
        <w:gridCol w:w="1091"/>
        <w:gridCol w:w="1655"/>
        <w:gridCol w:w="1653"/>
        <w:gridCol w:w="20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829"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w:t>
            </w:r>
          </w:p>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5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981"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最大存在总量q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980"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临界量Q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11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29"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硝酸铵</w:t>
            </w:r>
          </w:p>
        </w:tc>
        <w:tc>
          <w:tcPr>
            <w:tcW w:w="587" w:type="pct"/>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6484-52-2</w:t>
            </w:r>
          </w:p>
        </w:tc>
        <w:tc>
          <w:tcPr>
            <w:tcW w:w="981" w:type="pct"/>
            <w:noWrap w:val="0"/>
            <w:vAlign w:val="center"/>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0.1273</w:t>
            </w:r>
          </w:p>
        </w:tc>
        <w:tc>
          <w:tcPr>
            <w:tcW w:w="980"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50</w:t>
            </w:r>
          </w:p>
        </w:tc>
        <w:tc>
          <w:tcPr>
            <w:tcW w:w="1187"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rPr>
              <w:t>0</w:t>
            </w:r>
            <w:r>
              <w:rPr>
                <w:rFonts w:hint="default" w:ascii="Times New Roman" w:hAnsi="Times New Roman" w:eastAsia="宋体" w:cs="Times New Roman"/>
                <w:color w:val="auto"/>
                <w:sz w:val="21"/>
                <w:szCs w:val="21"/>
              </w:rPr>
              <w:t>2546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13" w:type="pct"/>
            <w:gridSpan w:val="5"/>
            <w:noWrap w:val="0"/>
            <w:vAlign w:val="top"/>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项目Q值</w:t>
            </w:r>
          </w:p>
        </w:tc>
        <w:tc>
          <w:tcPr>
            <w:tcW w:w="1187" w:type="pct"/>
            <w:noWrap w:val="0"/>
            <w:vAlign w:val="top"/>
          </w:tcPr>
          <w:p>
            <w:pPr>
              <w:pStyle w:val="114"/>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w:t>
            </w:r>
            <w:r>
              <w:rPr>
                <w:rFonts w:hint="default" w:ascii="Times New Roman" w:hAnsi="Times New Roman" w:eastAsia="宋体" w:cs="Times New Roman"/>
                <w:color w:val="auto"/>
                <w:sz w:val="21"/>
                <w:szCs w:val="21"/>
              </w:rPr>
              <w:t>025</w:t>
            </w:r>
          </w:p>
        </w:tc>
      </w:tr>
    </w:tbl>
    <w:p>
      <w:pPr>
        <w:pStyle w:val="114"/>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项目所属行业及生产工艺特点，评估生产工艺情况。具有多套工艺单元的项目，对每套生产工艺分别评分并求和。将M划分为（1）M＞20；（2）10＜M</w:t>
      </w:r>
      <w:r>
        <w:rPr>
          <w:rFonts w:hint="default" w:ascii="Times New Roman" w:hAnsi="Times New Roman" w:eastAsia="仿宋" w:cs="Times New Roman"/>
          <w:color w:val="auto"/>
        </w:rPr>
        <w:t>≤</w:t>
      </w:r>
      <w:r>
        <w:rPr>
          <w:rFonts w:hint="default" w:ascii="Times New Roman" w:hAnsi="Times New Roman" w:cs="Times New Roman"/>
          <w:color w:val="auto"/>
        </w:rPr>
        <w:t>20；（3）5＜M</w:t>
      </w:r>
      <w:r>
        <w:rPr>
          <w:rFonts w:hint="default" w:ascii="Times New Roman" w:hAnsi="Times New Roman" w:eastAsia="仿宋" w:cs="Times New Roman"/>
          <w:color w:val="auto"/>
        </w:rPr>
        <w:t>≤</w:t>
      </w:r>
      <w:r>
        <w:rPr>
          <w:rFonts w:hint="default" w:ascii="Times New Roman" w:hAnsi="Times New Roman" w:cs="Times New Roman"/>
          <w:color w:val="auto"/>
        </w:rPr>
        <w:t>10；（4）M=5，分别以M1、M2、M3和M4表示。</w:t>
      </w:r>
    </w:p>
    <w:p>
      <w:pPr>
        <w:ind w:firstLine="2835" w:firstLineChars="1350"/>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表5.7-11  行业及生产工艺（M）</w:t>
      </w:r>
    </w:p>
    <w:tbl>
      <w:tblPr>
        <w:tblStyle w:val="7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5465"/>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03"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w:t>
            </w: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评估依据</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Merge w:val="restar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石化、化工、医药、轻工、化纤、有色冶炼等</w:t>
            </w: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Merge w:val="continue"/>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无机酸制酸工艺、焦化工艺</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Merge w:val="continue"/>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其他高温或高压，且涉及危险物质的工艺过程</w:t>
            </w:r>
            <w:r>
              <w:rPr>
                <w:rFonts w:hint="default" w:ascii="Times New Roman" w:hAnsi="Times New Roman" w:eastAsia="宋体" w:cs="Times New Roman"/>
                <w:color w:val="auto"/>
                <w:sz w:val="21"/>
                <w:szCs w:val="21"/>
                <w:vertAlign w:val="superscript"/>
              </w:rPr>
              <w:t>a</w:t>
            </w:r>
            <w:r>
              <w:rPr>
                <w:rFonts w:hint="default" w:ascii="Times New Roman" w:hAnsi="Times New Roman" w:eastAsia="宋体" w:cs="Times New Roman"/>
                <w:color w:val="auto"/>
                <w:sz w:val="21"/>
                <w:szCs w:val="21"/>
              </w:rPr>
              <w:t>、危险物质贮存罐区</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5/套（罐区）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管道、港口/码头等</w:t>
            </w: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涉及危险物质管道运输项目、港口/码头等</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石油天然气</w:t>
            </w: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石油、天然气、页岩气开采（含净化），气库（不含加气站的气库），油库（不含加气站的油库）、油气管线</w:t>
            </w:r>
            <w:r>
              <w:rPr>
                <w:rFonts w:hint="default" w:ascii="Times New Roman" w:hAnsi="Times New Roman" w:eastAsia="宋体" w:cs="Times New Roman"/>
                <w:color w:val="auto"/>
                <w:sz w:val="21"/>
                <w:szCs w:val="21"/>
                <w:vertAlign w:val="superscript"/>
              </w:rPr>
              <w:t>b</w:t>
            </w:r>
            <w:r>
              <w:rPr>
                <w:rFonts w:hint="default" w:ascii="Times New Roman" w:hAnsi="Times New Roman" w:eastAsia="宋体" w:cs="Times New Roman"/>
                <w:color w:val="auto"/>
                <w:sz w:val="21"/>
                <w:szCs w:val="21"/>
              </w:rPr>
              <w:t>（不含城镇燃气管线）</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3205" w:type="pct"/>
            <w:tcBorders>
              <w:tl2br w:val="nil"/>
              <w:tr2bl w:val="nil"/>
            </w:tcBorders>
            <w:noWrap w:val="0"/>
            <w:vAlign w:val="center"/>
          </w:tcPr>
          <w:p>
            <w:pPr>
              <w:pStyle w:val="495"/>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涉及危险物质使用、贮存的项目</w:t>
            </w:r>
          </w:p>
        </w:tc>
        <w:tc>
          <w:tcPr>
            <w:tcW w:w="591" w:type="pct"/>
            <w:tcBorders>
              <w:tl2br w:val="nil"/>
              <w:tr2bl w:val="nil"/>
            </w:tcBorders>
            <w:noWrap w:val="0"/>
            <w:vAlign w:val="center"/>
          </w:tcPr>
          <w:p>
            <w:pPr>
              <w:pStyle w:val="495"/>
              <w:spacing w:before="100" w:beforeAutospacing="1" w:after="100" w:afterAutospacing="1"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pPr>
              <w:pStyle w:val="495"/>
              <w:spacing w:before="0" w:after="0"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a</w:t>
            </w:r>
            <w:r>
              <w:rPr>
                <w:rFonts w:hint="default" w:ascii="Times New Roman" w:hAnsi="Times New Roman" w:eastAsia="宋体" w:cs="Times New Roman"/>
                <w:color w:val="auto"/>
                <w:sz w:val="21"/>
                <w:szCs w:val="21"/>
              </w:rPr>
              <w:t>高温指工艺温度≥300，高压指压力容器的设计压力（P）≥10.0MPa；</w:t>
            </w:r>
          </w:p>
          <w:p>
            <w:pPr>
              <w:pStyle w:val="495"/>
              <w:spacing w:before="0" w:after="0"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b</w:t>
            </w:r>
            <w:r>
              <w:rPr>
                <w:rFonts w:hint="default" w:ascii="Times New Roman" w:hAnsi="Times New Roman" w:eastAsia="宋体" w:cs="Times New Roman"/>
                <w:color w:val="auto"/>
                <w:sz w:val="21"/>
                <w:szCs w:val="21"/>
              </w:rPr>
              <w:t>长输管道运输项目应按战场、管线分段进行评价。</w:t>
            </w:r>
          </w:p>
        </w:tc>
      </w:tr>
    </w:tbl>
    <w:p>
      <w:pPr>
        <w:pStyle w:val="114"/>
        <w:adjustRightInd w:val="0"/>
        <w:snapToGrid w:val="0"/>
        <w:ind w:firstLine="480" w:firstLineChars="200"/>
        <w:rPr>
          <w:color w:val="auto"/>
        </w:rPr>
      </w:pP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本项目为铜矿</w:t>
      </w:r>
      <w:r>
        <w:rPr>
          <w:rFonts w:hint="default" w:ascii="Times New Roman" w:hAnsi="Times New Roman" w:cs="Times New Roman"/>
          <w:color w:val="auto"/>
          <w:lang w:eastAsia="zh-CN"/>
        </w:rPr>
        <w:t>开采</w:t>
      </w:r>
      <w:r>
        <w:rPr>
          <w:rFonts w:hint="default" w:ascii="Times New Roman" w:hAnsi="Times New Roman" w:cs="Times New Roman"/>
          <w:color w:val="auto"/>
        </w:rPr>
        <w:t>项目，按照表</w:t>
      </w:r>
      <w:r>
        <w:rPr>
          <w:rFonts w:hint="default" w:ascii="Times New Roman" w:hAnsi="Times New Roman" w:cs="Times New Roman"/>
          <w:color w:val="auto"/>
          <w:lang w:val="en-US" w:eastAsia="zh-CN"/>
        </w:rPr>
        <w:t>5.7</w:t>
      </w:r>
      <w:r>
        <w:rPr>
          <w:rFonts w:hint="default" w:ascii="Times New Roman" w:hAnsi="Times New Roman" w:cs="Times New Roman"/>
          <w:color w:val="auto"/>
        </w:rPr>
        <w:t>-11行业及生产工艺，本行业及生产工艺属于M4。</w:t>
      </w: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危险物质及工艺系统危险性等级判定情况见表</w:t>
      </w:r>
      <w:r>
        <w:rPr>
          <w:rFonts w:hint="default" w:ascii="Times New Roman" w:hAnsi="Times New Roman" w:cs="Times New Roman"/>
          <w:color w:val="auto"/>
          <w:lang w:val="en-US" w:eastAsia="zh-CN"/>
        </w:rPr>
        <w:t>5.7</w:t>
      </w:r>
      <w:r>
        <w:rPr>
          <w:rFonts w:hint="default" w:ascii="Times New Roman" w:hAnsi="Times New Roman" w:cs="Times New Roman"/>
          <w:color w:val="auto"/>
        </w:rPr>
        <w:t>-12。</w:t>
      </w:r>
    </w:p>
    <w:p>
      <w:pPr>
        <w:ind w:firstLine="2310" w:firstLineChars="1100"/>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表5.7-12   危险物质及工艺系统危险性等级判断（P）</w:t>
      </w:r>
    </w:p>
    <w:tbl>
      <w:tblPr>
        <w:tblStyle w:val="7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4"/>
        <w:gridCol w:w="1704"/>
        <w:gridCol w:w="1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Merge w:val="restar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危险物质数量与临界量比值（Q）</w:t>
            </w:r>
          </w:p>
        </w:tc>
        <w:tc>
          <w:tcPr>
            <w:tcW w:w="4000" w:type="pct"/>
            <w:gridSpan w:val="4"/>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Merge w:val="continue"/>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M1</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M2</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M3</w:t>
            </w:r>
          </w:p>
        </w:tc>
        <w:tc>
          <w:tcPr>
            <w:tcW w:w="1000"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Q≥100</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P2</w:t>
            </w:r>
          </w:p>
        </w:tc>
        <w:tc>
          <w:tcPr>
            <w:tcW w:w="1000"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10≤Q＜100</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P2</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P3</w:t>
            </w:r>
          </w:p>
        </w:tc>
        <w:tc>
          <w:tcPr>
            <w:tcW w:w="1000"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1≤Q＜10</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P2</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P3</w:t>
            </w:r>
          </w:p>
        </w:tc>
        <w:tc>
          <w:tcPr>
            <w:tcW w:w="999"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P4</w:t>
            </w:r>
          </w:p>
        </w:tc>
        <w:tc>
          <w:tcPr>
            <w:tcW w:w="1000" w:type="pct"/>
            <w:tcBorders>
              <w:tl2br w:val="nil"/>
              <w:tr2bl w:val="nil"/>
            </w:tcBorders>
            <w:noWrap w:val="0"/>
            <w:vAlign w:val="center"/>
          </w:tcPr>
          <w:p>
            <w:pPr>
              <w:pStyle w:val="114"/>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P4</w:t>
            </w:r>
          </w:p>
        </w:tc>
      </w:tr>
    </w:tbl>
    <w:p>
      <w:pPr>
        <w:pStyle w:val="114"/>
        <w:adjustRightInd w:val="0"/>
        <w:snapToGrid w:val="0"/>
        <w:ind w:firstLine="480" w:firstLineChars="200"/>
        <w:rPr>
          <w:rFonts w:hint="eastAsia"/>
          <w:color w:val="auto"/>
        </w:rPr>
      </w:pP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本项目危险物质数量与临界量比值（Q）为0.0</w:t>
      </w:r>
      <w:r>
        <w:rPr>
          <w:rFonts w:hint="eastAsia" w:ascii="Times New Roman" w:hAnsi="Times New Roman" w:cs="Times New Roman"/>
          <w:color w:val="auto"/>
          <w:lang w:val="en-US" w:eastAsia="zh-CN"/>
        </w:rPr>
        <w:t>025</w:t>
      </w:r>
      <w:r>
        <w:rPr>
          <w:rFonts w:hint="default" w:ascii="Times New Roman" w:hAnsi="Times New Roman" w:cs="Times New Roman"/>
          <w:color w:val="auto"/>
        </w:rPr>
        <w:t>，行业及生产工艺属于M4，因此本项目危险物质及工艺系统危险性等级判断为P4。</w:t>
      </w:r>
    </w:p>
    <w:p>
      <w:pPr>
        <w:pStyle w:val="114"/>
        <w:adjustRightInd w:val="0"/>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本项目大气环境敏感程度分级为E3，项目属于轻度危害（P4），建设项目环境风险趋势为Ⅰ，因此采选环境风险为简单分析。</w:t>
      </w:r>
    </w:p>
    <w:p>
      <w:pPr>
        <w:pStyle w:val="5"/>
        <w:keepLines w:val="0"/>
        <w:adjustRightInd w:val="0"/>
        <w:snapToGrid w:val="0"/>
        <w:spacing w:before="0" w:after="0" w:line="360" w:lineRule="auto"/>
        <w:rPr>
          <w:rFonts w:hint="eastAsia" w:ascii="Times New Roman" w:hAnsi="Times New Roman" w:cs="Times New Roman"/>
          <w:b/>
          <w:bCs/>
          <w:color w:val="auto"/>
          <w:sz w:val="24"/>
          <w:szCs w:val="24"/>
          <w:lang w:val="en-US" w:eastAsia="zh-CN"/>
        </w:rPr>
      </w:pPr>
      <w:bookmarkStart w:id="1179" w:name="_Toc396169031"/>
      <w:bookmarkStart w:id="1180" w:name="_Toc459588682"/>
      <w:bookmarkStart w:id="1181" w:name="_Toc6073"/>
      <w:bookmarkStart w:id="1182" w:name="_Toc465252096"/>
      <w:r>
        <w:rPr>
          <w:rFonts w:hint="eastAsia" w:ascii="Times New Roman" w:hAnsi="Times New Roman" w:cs="Times New Roman"/>
          <w:b/>
          <w:bCs/>
          <w:color w:val="auto"/>
          <w:sz w:val="24"/>
          <w:szCs w:val="24"/>
          <w:lang w:val="en-US" w:eastAsia="zh-CN"/>
        </w:rPr>
        <w:t>5.7.2风险因素识别</w:t>
      </w:r>
      <w:bookmarkEnd w:id="1178"/>
      <w:bookmarkEnd w:id="1179"/>
      <w:bookmarkEnd w:id="1180"/>
      <w:bookmarkEnd w:id="1181"/>
      <w:bookmarkEnd w:id="1182"/>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事故风险分析的目的就是通过分析运营期可能发生的事故及其影响程度和范围，为工程设计提供反馈意见。</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实施后，其生产过程在带来效益的同时也会产生一定的负面影响，尤其是在发生事故或遇到突发自然灾害时，其影响不容忽视。根据本项目采矿生产特点及所处地理环境，其事故风险主要表现为采矿场炸药在运输、储存、使用过程中遇明火易发生爆炸；矿山开采过程中遇暴雨，造成矿床充水；因矿体属于地下开采，采空区面积大，易造成采空区地表塌陷；又因其所在环境植被稀少导致水土流失，地表形态改变给环境带来危害。</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（1）开采风险分析</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矿山采用</w:t>
      </w:r>
      <w:r>
        <w:rPr>
          <w:rFonts w:ascii="Times New Roman" w:hAnsi="Times New Roman" w:eastAsia="宋体"/>
          <w:color w:val="auto"/>
          <w:spacing w:val="-4"/>
          <w:sz w:val="24"/>
        </w:rPr>
        <w:t>上向水平分层干式充填采矿法、浅孔留矿采矿法和留矿全面法开采</w:t>
      </w:r>
      <w:r>
        <w:rPr>
          <w:rFonts w:hint="eastAsia" w:ascii="宋体" w:hAnsi="宋体" w:eastAsia="宋体" w:cs="宋体"/>
          <w:color w:val="auto"/>
          <w:sz w:val="24"/>
          <w:szCs w:val="24"/>
        </w:rPr>
        <w:t>。各专业在矿井运输、提升、排水、矿井供电、通风防尘、井巷断面尺寸、安全设施等方面都按有关规程和技术规范设计，但在矿井各生产工艺实施过程中仍存在一些不安全因素，生产中应引起高度重视。风险因素如下：</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①巷道冒落及顶板危石坠落对人员的伤害。</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②爆破产生的震动波、冲击波等危害；早爆、迟爆和盲炮等不安全因素：爆破器材的储存、运输和使用过程中也存在危险因素。</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③通风条件不好时，炮烟中毒、粉尘对人员的伤害。</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④由于道路条件和天气的影响，运输车辆运输过程中存在的危险因素。</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⑤山洪灾害危险因素。</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⑥坑内采场工人在生产过程中受到物体打击、车辆伤害、机械伤害、触电、高处坠落等伤害。</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⑦矿山开采中必须时刻注意采矿巷道和采空区的威胁。</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⑧矿山开采中用电安全、工业场地的防火安全等。</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（2）危险品风险分析</w:t>
      </w:r>
    </w:p>
    <w:p>
      <w:pPr>
        <w:autoSpaceDE w:val="0"/>
        <w:autoSpaceDN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本项目所使用的化学危险品包括炸药、导爆管雷管、火雷管、导火线。本项目物料运输、存放、使用过程中从客观条件上存在一定的事故风险。</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由于有危险品的存在，可能造成人员身体损伤或者死亡。炸药、导爆管雷管、</w:t>
      </w:r>
      <w:r>
        <w:rPr>
          <w:rFonts w:hint="default" w:ascii="Times New Roman" w:hAnsi="Times New Roman" w:eastAsia="宋体" w:cs="Times New Roman"/>
          <w:color w:val="auto"/>
          <w:sz w:val="24"/>
          <w:szCs w:val="24"/>
        </w:rPr>
        <w:t>火雷管在运输、贮存、使用过程中如果发生意外，对人体将造成伤害。</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危险品运输过程对沿途生活区等敏感目标存在一定风险。</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（3）危险物质</w:t>
      </w:r>
    </w:p>
    <w:p>
      <w:pPr>
        <w:pStyle w:val="31"/>
        <w:spacing w:after="0" w:line="360" w:lineRule="auto"/>
        <w:ind w:firstLine="480" w:firstLineChars="200"/>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对照《危险化学品名录2012版》，硝铵炸药属于第1类炸药品中的第1项具有整体爆炸危险的物质和物品（危险货物编号为11084），矿石及废石等不属于危险化学品。</w:t>
      </w:r>
    </w:p>
    <w:p>
      <w:pPr>
        <w:pStyle w:val="31"/>
        <w:spacing w:after="0"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硝铵炸药性质见表</w:t>
      </w:r>
      <w:r>
        <w:rPr>
          <w:rFonts w:hint="default" w:ascii="Times New Roman" w:hAnsi="Times New Roman" w:eastAsia="宋体" w:cs="Times New Roman"/>
          <w:color w:val="auto"/>
          <w:sz w:val="24"/>
          <w:szCs w:val="24"/>
          <w:lang w:val="en-US" w:eastAsia="zh-CN"/>
        </w:rPr>
        <w:t>5.7-13。</w:t>
      </w:r>
    </w:p>
    <w:p>
      <w:pPr>
        <w:ind w:firstLine="2310" w:firstLineChars="1100"/>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表5.7-13   硝铵炸药性质</w:t>
      </w:r>
    </w:p>
    <w:tbl>
      <w:tblPr>
        <w:tblStyle w:val="7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63"/>
        <w:gridCol w:w="76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vMerge w:val="restar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理化</w:t>
            </w:r>
          </w:p>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性质</w:t>
            </w: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外观与形状：白色颗粒状结晶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vMerge w:val="continue"/>
            <w:tcBorders>
              <w:tl2br w:val="nil"/>
              <w:tr2bl w:val="nil"/>
            </w:tcBorders>
            <w:noWrap w:val="0"/>
            <w:vAlign w:val="center"/>
          </w:tcPr>
          <w:p>
            <w:pPr>
              <w:rPr>
                <w:rFonts w:hint="default" w:ascii="Times New Roman" w:hAnsi="Times New Roman" w:eastAsia="宋体" w:cs="Times New Roman"/>
                <w:color w:val="auto"/>
                <w:sz w:val="21"/>
              </w:rPr>
            </w:pP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熔点（℃）：169.6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vMerge w:val="continue"/>
            <w:tcBorders>
              <w:tl2br w:val="nil"/>
              <w:tr2bl w:val="nil"/>
            </w:tcBorders>
            <w:noWrap w:val="0"/>
            <w:vAlign w:val="center"/>
          </w:tcPr>
          <w:p>
            <w:pPr>
              <w:rPr>
                <w:rFonts w:hint="default" w:ascii="Times New Roman" w:hAnsi="Times New Roman" w:eastAsia="宋体" w:cs="Times New Roman"/>
                <w:color w:val="auto"/>
                <w:sz w:val="21"/>
              </w:rPr>
            </w:pP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沸点（℃）210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vMerge w:val="continue"/>
            <w:tcBorders>
              <w:tl2br w:val="nil"/>
              <w:tr2bl w:val="nil"/>
            </w:tcBorders>
            <w:noWrap w:val="0"/>
            <w:vAlign w:val="center"/>
          </w:tcPr>
          <w:p>
            <w:pPr>
              <w:rPr>
                <w:rFonts w:hint="default" w:ascii="Times New Roman" w:hAnsi="Times New Roman" w:eastAsia="宋体" w:cs="Times New Roman"/>
                <w:color w:val="auto"/>
                <w:sz w:val="21"/>
              </w:rPr>
            </w:pP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溶解性：易溶于水、乙醇、丙酮、氨水，不溶于乙醚。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vMerge w:val="continue"/>
            <w:tcBorders>
              <w:tl2br w:val="nil"/>
              <w:tr2bl w:val="nil"/>
            </w:tcBorders>
            <w:noWrap w:val="0"/>
            <w:vAlign w:val="center"/>
          </w:tcPr>
          <w:p>
            <w:pPr>
              <w:rPr>
                <w:rFonts w:hint="default" w:ascii="Times New Roman" w:hAnsi="Times New Roman" w:eastAsia="宋体" w:cs="Times New Roman"/>
                <w:color w:val="auto"/>
                <w:sz w:val="21"/>
              </w:rPr>
            </w:pP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主要用途：硝铵炸药是粉状的爆炸性机械混合物，是应用最广泛的工业炸药品种之一。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危险性概述</w:t>
            </w:r>
          </w:p>
        </w:tc>
        <w:tc>
          <w:tcPr>
            <w:tcW w:w="4493" w:type="pct"/>
            <w:tcBorders>
              <w:tl2br w:val="nil"/>
              <w:tr2bl w:val="nil"/>
            </w:tcBorders>
            <w:noWrap w:val="0"/>
            <w:vAlign w:val="top"/>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具有中等威力和一定的敏感性。它具有吸湿性与结块性，受潮后敏感性和威力显著降低，同时产生毒气。起爆药在较弱外部激发能（如机械、热、电、光）的作用下，即可发生燃烧，并能迅速转变成爆轰的敏感炸药。纯硝酸铵在常温下是稳定的，对打击、碰撞或摩擦均不敏感。但在高温、高压和有可被氧化的物质存在下会发生爆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6" w:type="pct"/>
            <w:tcBorders>
              <w:tl2br w:val="nil"/>
              <w:tr2bl w:val="nil"/>
            </w:tcBorders>
            <w:noWrap w:val="0"/>
            <w:vAlign w:val="center"/>
          </w:tcPr>
          <w:p>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操作处置与储存</w:t>
            </w:r>
          </w:p>
        </w:tc>
        <w:tc>
          <w:tcPr>
            <w:tcW w:w="4493" w:type="pct"/>
            <w:tcBorders>
              <w:tl2br w:val="nil"/>
              <w:tr2bl w:val="nil"/>
            </w:tcBorders>
            <w:noWrap w:val="0"/>
            <w:vAlign w:val="center"/>
          </w:tcPr>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操作处置注意事项：密闭操作，全面通风。操作人员必须经过专门培训，严格遵守操作规程。远离火种、热源，工作场所严禁吸烟。远离易燃、可燃物。避免产生粉尘。避免与还原剂、酸类、活性金属粉末接触。搬运时要轻装轻卸，配备相应品种和数量的消防器材及泄漏应急处理设备。</w:t>
            </w:r>
          </w:p>
          <w:p>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储存注意事项：储存于阴凉、通风的库房。远离火种、热源。应与易（可）燃物、还原剂、酸类、活性金属粉末分开存放，切忌混储。储区应备有合适的材料收容泄漏物。禁止震动、撞击和摩擦。</w:t>
            </w:r>
          </w:p>
        </w:tc>
      </w:tr>
    </w:tbl>
    <w:p>
      <w:pPr>
        <w:pStyle w:val="31"/>
        <w:spacing w:after="0"/>
        <w:ind w:firstLine="420" w:firstLineChars="200"/>
        <w:rPr>
          <w:rFonts w:hint="eastAsia" w:ascii="宋体" w:hAnsi="宋体" w:eastAsia="宋体" w:cs="宋体"/>
          <w:color w:val="auto"/>
        </w:rPr>
      </w:pPr>
      <w:bookmarkStart w:id="1183" w:name="_Toc396169033"/>
    </w:p>
    <w:bookmarkEnd w:id="1183"/>
    <w:p>
      <w:pPr>
        <w:pStyle w:val="5"/>
        <w:keepLines w:val="0"/>
        <w:adjustRightInd w:val="0"/>
        <w:snapToGrid w:val="0"/>
        <w:spacing w:before="0" w:after="0" w:line="360" w:lineRule="auto"/>
        <w:rPr>
          <w:rFonts w:hint="eastAsia" w:ascii="Times New Roman" w:hAnsi="Times New Roman" w:cs="Times New Roman"/>
          <w:b/>
          <w:bCs/>
          <w:color w:val="auto"/>
          <w:sz w:val="24"/>
          <w:szCs w:val="24"/>
          <w:lang w:val="en-US" w:eastAsia="zh-CN"/>
        </w:rPr>
      </w:pPr>
      <w:bookmarkStart w:id="1184" w:name="_Toc396169036"/>
      <w:bookmarkStart w:id="1185" w:name="_Toc32147"/>
      <w:bookmarkStart w:id="1186" w:name="_Toc459588684"/>
      <w:bookmarkStart w:id="1187" w:name="_Toc465252098"/>
      <w:r>
        <w:rPr>
          <w:rFonts w:hint="eastAsia" w:ascii="Times New Roman" w:hAnsi="Times New Roman" w:cs="Times New Roman"/>
          <w:b/>
          <w:bCs/>
          <w:color w:val="auto"/>
          <w:sz w:val="24"/>
          <w:szCs w:val="24"/>
          <w:lang w:val="en-US" w:eastAsia="zh-CN"/>
        </w:rPr>
        <w:t>5.7.3事故风险分析</w:t>
      </w:r>
      <w:bookmarkEnd w:id="1184"/>
      <w:bookmarkEnd w:id="1185"/>
      <w:bookmarkEnd w:id="1186"/>
      <w:bookmarkEnd w:id="1187"/>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default" w:ascii="Times New Roman" w:hAnsi="Times New Roman" w:cs="Times New Roman"/>
          <w:color w:val="auto"/>
          <w:sz w:val="24"/>
          <w:szCs w:val="22"/>
          <w:lang w:val="en-US" w:eastAsia="zh-CN"/>
        </w:rPr>
      </w:pPr>
      <w:bookmarkStart w:id="1188" w:name="_Toc396169038"/>
      <w:r>
        <w:rPr>
          <w:rFonts w:hint="eastAsia" w:ascii="Times New Roman" w:hAnsi="Times New Roman" w:cs="Times New Roman"/>
          <w:color w:val="auto"/>
          <w:sz w:val="24"/>
          <w:szCs w:val="22"/>
          <w:lang w:val="en-US" w:eastAsia="zh-CN"/>
        </w:rPr>
        <w:t>5.7.3.1</w:t>
      </w:r>
      <w:r>
        <w:rPr>
          <w:rFonts w:hint="default" w:ascii="Times New Roman" w:hAnsi="Times New Roman" w:cs="Times New Roman"/>
          <w:color w:val="auto"/>
          <w:sz w:val="24"/>
          <w:szCs w:val="22"/>
          <w:lang w:val="en-US" w:eastAsia="zh-CN"/>
        </w:rPr>
        <w:t>采矿事故风险分析</w:t>
      </w:r>
      <w:bookmarkEnd w:id="1188"/>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本项目为井下采矿工程，建设及运行过程中存在以下环境风险：</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（1）地质灾害风险；</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（2）井下安全事故风险。</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5.7.3.2风险表征</w:t>
      </w:r>
    </w:p>
    <w:p>
      <w:pPr>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矿井突水、崩塌安全隐患灾害对人体和环境的损害见表</w:t>
      </w:r>
      <w:r>
        <w:rPr>
          <w:rFonts w:hint="eastAsia" w:ascii="Times New Roman" w:hAnsi="Times New Roman" w:eastAsia="宋体"/>
          <w:color w:val="auto"/>
          <w:sz w:val="24"/>
          <w:szCs w:val="24"/>
          <w:lang w:val="en-US" w:eastAsia="zh-CN"/>
        </w:rPr>
        <w:t>5.7-14</w:t>
      </w:r>
      <w:r>
        <w:rPr>
          <w:rFonts w:ascii="Times New Roman" w:hAnsi="Times New Roman" w:eastAsia="宋体"/>
          <w:color w:val="auto"/>
          <w:sz w:val="24"/>
          <w:szCs w:val="24"/>
        </w:rPr>
        <w:t>。</w:t>
      </w:r>
    </w:p>
    <w:p>
      <w:pPr>
        <w:ind w:firstLine="2310" w:firstLineChars="1100"/>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表5.7-14       风险表征表</w:t>
      </w:r>
    </w:p>
    <w:tbl>
      <w:tblPr>
        <w:tblStyle w:val="7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6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31" w:type="pct"/>
            <w:tcBorders>
              <w:tl2br w:val="nil"/>
              <w:tr2bl w:val="nil"/>
            </w:tcBorders>
            <w:noWrap w:val="0"/>
            <w:vAlign w:val="center"/>
          </w:tcPr>
          <w:p>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风险类型</w:t>
            </w:r>
          </w:p>
        </w:tc>
        <w:tc>
          <w:tcPr>
            <w:tcW w:w="4068" w:type="pct"/>
            <w:tcBorders>
              <w:tl2br w:val="nil"/>
              <w:tr2bl w:val="nil"/>
            </w:tcBorders>
            <w:noWrap w:val="0"/>
            <w:vAlign w:val="center"/>
          </w:tcPr>
          <w:p>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对人体与环境损害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31" w:type="pct"/>
            <w:tcBorders>
              <w:tl2br w:val="nil"/>
              <w:tr2bl w:val="nil"/>
            </w:tcBorders>
            <w:noWrap w:val="0"/>
            <w:vAlign w:val="center"/>
          </w:tcPr>
          <w:p>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地质灾害</w:t>
            </w:r>
          </w:p>
        </w:tc>
        <w:tc>
          <w:tcPr>
            <w:tcW w:w="4068" w:type="pct"/>
            <w:tcBorders>
              <w:tl2br w:val="nil"/>
              <w:tr2bl w:val="nil"/>
            </w:tcBorders>
            <w:noWrap w:val="0"/>
            <w:vAlign w:val="center"/>
          </w:tcPr>
          <w:p>
            <w:pPr>
              <w:spacing w:line="3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山体滑坡、塌方危及坡下建（构）筑物的安全。地表裂缝会使影响范围内的建（构）筑物及天然地物受到破坏；行人、机械及车辆等误入错动区会受到损害；暴雨洪水汇入会危及井下安全。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31" w:type="pct"/>
            <w:tcBorders>
              <w:tl2br w:val="nil"/>
              <w:tr2bl w:val="nil"/>
            </w:tcBorders>
            <w:noWrap w:val="0"/>
            <w:vAlign w:val="center"/>
          </w:tcPr>
          <w:p>
            <w:pPr>
              <w:pStyle w:val="67"/>
              <w:spacing w:line="34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矿井突水</w:t>
            </w:r>
          </w:p>
        </w:tc>
        <w:tc>
          <w:tcPr>
            <w:tcW w:w="4068" w:type="pct"/>
            <w:tcBorders>
              <w:tl2br w:val="nil"/>
              <w:tr2bl w:val="nil"/>
            </w:tcBorders>
            <w:noWrap w:val="0"/>
            <w:vAlign w:val="center"/>
          </w:tcPr>
          <w:p>
            <w:pPr>
              <w:pStyle w:val="116"/>
              <w:spacing w:line="34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对井下人员和内、外环境造成损害，发生率较大，瞬间会发生淹井，造成人员伤亡，改变地下水环境原有状况、补给径流、排泄途径，局部影响地表水与地下水的水力联系，并增加了排水量。</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5.7.3.3地质灾害风险</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（1）地表塌陷危害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营运期至服务期满时，根据开发利用方案可能发生地表塌陷或沉降，影响范围内除出现裂缝、地表沉降、塌陷坑，当暴雨洪水汇入塌陷区后，会通过裂缝渗入采区，会发生淹井事故，危及井下人员生命安全及造成财产损失。</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由于矿体位于中～低山山间地带，地表塌陷主要表现为地形高度的改变、地裂缝、塌陷坑，主要危及地表和井下作业人员生命和生产设备，需采取一定的防范措施，降低危害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（2）地震</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在设计中应考虑防震因素，以避免地震造成井下设备、设施损害引发的一系列严重事故。</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（3）崩塌危害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巷道顶板冒落突然崩塌，主要危及井下作业人员生命，毁坏井下生产设备，对地表环境影响不大。</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（4）滑坡、滑塌或泥石流</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滑坡是因边坡开挖后，破坏了岩体内部初始应力的平衡引起岩体大规模位移的现象。按破坏形式，滑坡可分为塌落和倾倒式破坏。滑坡发生时对处于危险区的设备、设施可能造成破坏，对处于危险区人员可能构成伤亡。</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引起滑坡的主要原因有：不良地质条件；地压过高；凿岩爆破不当；降水影响；维护加固不当；边坡过高过陡等。</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废石在重力的作用下，有可能出现滑坡、塌方事件；废石场选址为相对低洼地带，占地非泄洪通道，且上游修建截排水沟，可有效避免遇洪水对废石场的浸泡和冲刷，降低引发滑坡、泥石流的概率；废石场周边修建挡土墙，可有效避免出现滑坡、塌方事件；本矿不形成废石山，也不堆入沟谷阻挡泄洪通道，但因废石为松散的堆积物，在震动、地表径流冲刷等外力作用下存在发生废石堆体滑塌及泥石流的可能性，造成人民生命财产损失，污染下游土壤。</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项目废石场非废石山、非泄洪通道，在采取设计、可研和本环评中提出的防范措施后，可降低废石场发生滑坡和泥石流的可能性。</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（5）机械性危害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机械性危害主要指运动的机械部件对人体的挤压、撕裂、切割、碰撞等形式的伤害。在井下作业时，处于运行状态的机械设备，如空压机、提升机、风机、凿岩机等，都可能对人体构成伤害。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机械性伤害是可能导致事故的隐患之一。</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（6）洪水</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矿区位于中～低山区域，在春季融雪期和多雨季节容易形成洪流，根据对本矿的现场调查，在修建截排水渠、等防洪措施的前提下，不会对本矿工业场地、矿井构成严重威胁。</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为确保工业场地、矿井安全，设计在矿区（上游）设置截排洪沟，井口修筑围堰等防洪设施来防治洪水威胁。</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5.7.3.4矿井开采的风险事故分析</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本矿井下安全事故一般有顶板冒落、矿井突水等。灾害发生后会造成井下人员伤亡，对井下工人的人生安全造成危害。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（1）矿井突水危害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井巷施工时，岩层中的地下水和与井下相通的地表水突然大量涌入井下，就可能发生水灾事故。</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当矿井发生突水事故时，排水量急聚增大，约为正常排水量的5～10倍，水质比正常排水差，主要是悬浮物高。突水情况发生后，不仅会造成淹井事故，同时排出的大量涌水会对地面设施造成破坏，并产生污染事故。</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（2）崩塌危害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巷道突然崩塌，主要危及进下作业人员危害，对地表环境影响不大。</w:t>
      </w:r>
    </w:p>
    <w:p>
      <w:pPr>
        <w:pStyle w:val="5"/>
        <w:keepNext/>
        <w:keepLines w:val="0"/>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5.7.4事故风险防范措施及应急预案</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5.7.4.1地质灾害防患措施</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（1）矿井设立地测机构，对采矿后地表的形态变化进行及时测定及预报。</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（2）在开采过程中及时清理危岩，预防山体垮塌。</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（3）对已确定的错动范围及时标识。</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（4）按设计方案做好工业场内的防洪工作，按地质环境评价要求，做好工业场地山体的防塌方工程。场外道路辟山修路段的两侧要完善维护工程，消除危石。</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5.7.4.2井下事故风险防范措施</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①井下各采掘工作面设置指示警报器。</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②所有下井人员需配备自救器，并考虑了10%的备用量，所有下井人员必须携带自救器。</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③采矿、掘进工作面按要求配备相应的风量，为各用风点供风，并按设计要求设置各种通风构筑物，对井下通风设施应定期检查、维修，并能保证当井下发生灾害矿井反风时，各通风设施处于正常使用状态。</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④配备粉尘观测仪器，定期在运输巷道内测定含尘量，井下每个月测定两次，井上每个月测定一次。</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⑤井上、井下设消防洒水系统，对容易产尘的地点进行洒水降尘。</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⑥主要进、回风巷道设置隔水棚。</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⑦在相关巷道中设置有风门和调节风门，各主要通风巷道中设有测风站，加强井下各种通风设施的管理，发现问题及时维修，保证主要扇风机反风时，通风设施处于正常工作状态，以便矿井发生事故时能迅速有效地进行反风。</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⑧矿井配备集中监测监控系统一套，随时掌握井下各类动态，发现问题及时解决。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⑨掘进工作面必须坚持有疑必探、先探后掘的原则。掘进时应密切注意观察探水孔中涌水量变化情况，并采取可靠的预防措施。</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⑩留设隔离保护矿柱。</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⑾采空区上部的错动坑及裂隙带周围必须设截洪沟等防洪措施，防止冰雪消融期及暴雨形成的洪水进入井下采空区。</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项目区域平均年降水量</w:t>
      </w:r>
      <w:r>
        <w:rPr>
          <w:rFonts w:hint="eastAsia" w:ascii="Times New Roman" w:hAnsi="Times New Roman" w:eastAsia="宋体"/>
          <w:color w:val="auto"/>
          <w:sz w:val="24"/>
          <w:szCs w:val="24"/>
        </w:rPr>
        <w:t>33.72</w:t>
      </w:r>
      <w:r>
        <w:rPr>
          <w:rFonts w:ascii="Times New Roman" w:hAnsi="Times New Roman" w:eastAsia="宋体"/>
          <w:color w:val="auto"/>
          <w:sz w:val="24"/>
          <w:szCs w:val="24"/>
        </w:rPr>
        <w:t>mm，蒸发量</w:t>
      </w:r>
      <w:r>
        <w:rPr>
          <w:rFonts w:hint="eastAsia" w:ascii="Times New Roman" w:hAnsi="Times New Roman" w:eastAsia="宋体"/>
          <w:color w:val="auto"/>
          <w:sz w:val="24"/>
          <w:szCs w:val="24"/>
        </w:rPr>
        <w:t>2838</w:t>
      </w:r>
      <w:r>
        <w:rPr>
          <w:rFonts w:ascii="Times New Roman" w:hAnsi="Times New Roman" w:eastAsia="宋体"/>
          <w:color w:val="auto"/>
          <w:sz w:val="24"/>
          <w:szCs w:val="24"/>
        </w:rPr>
        <w:t>mm，蒸发量远大于降水量，矿区内水系不很发育，除夏秋两季下阵雨有间歇性流水和3～4月份少量冰雪融化水形成临时性地表迳流外，其它时间段多为干沟。水文地质类型属裂隙含水层充水为主的矿床，水文地质复杂程度属简单类型。</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矿区为较典型的中～低山区地形地貌，地形切割较强烈，坡度一般在15°～25°之间，个别可达30°以上，地形有利于自然排水。</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结合项目水文地质资料及地形资料，上游设置截洪沟工程可行。</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3"/>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5.7.4.3井下事故风险应急预案</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a.应急拯救方案</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预防是防止事故发生的根本措施，但一旦发生事故，处置是否得当，关系到事故蔓延的范围，损失大小，因此，也应有应急措施。</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b.应急处置措施</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事故处置的核心是及时报警，正确决策，迅速补救。为采取有效行动，应有充分的处理措施。</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①除装备有矿井安全监测、监控系统外，应设立事故处理领导指挥体系。</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②事先制定有效处理事故的行动方案，方案要经有关部门认同，并能与矿山、救护队、医务室、消防队充分配合，协调行动。</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③应有制止事故蔓延，控制和减少影响范围的程序救护的具体行动计划，包括救护措施，保护矿工、国家财产及周围环境安全必须采取的措施和方法。</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④矿区安全部门工作人员和富有事故处置经验的人员，要轮流值班，监视事故现场及其处置实施直至事故结果。</w:t>
      </w:r>
    </w:p>
    <w:p>
      <w:pPr>
        <w:pStyle w:val="490"/>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⑤训练事故处置人员（包括事故发生时的处置和补救）。</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小结：本项目采用成熟可靠的生产工艺和设备，在设计中严格执行有关规范中的安全条款，对影响安全的因素，均采取了措施予以预防，正常情况下能够保证安全生产和达到工作场所有害因素职业接触限值的要求。</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通过采取以上措施，项目在建成后能有效的防止突水、崩塌、炸药爆炸等事故的发生，一旦发生事故，依靠矿区内的安全防护设施和事故应急措施也能及时控制事故，防止事故的蔓延，矿区防灾减灾问题基本得以解决。</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因此，只要严格遵守各项安全操作规程和制度，加强安全管理，本项目完工后，其生产是安全可靠的。要求厂内主要负责人、主要安全管理人员经安监部门培训，考核合格后持证上岗；各种作业人员必须经过有关部门专业培训持证上岗。其他从业人员均应经过三级安全教育，持证上岗。该项目（工程）建成后，除了进行必要的工程质量、施工等方面的验收外，还必须经公安消防部门审核合格，具有国家安全评价资质的评价机构进行安全验收评价，报请国家主管部门审批后，方可投入正常生产。</w:t>
      </w:r>
    </w:p>
    <w:p>
      <w:pPr>
        <w:pStyle w:val="4"/>
        <w:keepLines/>
        <w:adjustRightInd w:val="0"/>
        <w:snapToGrid w:val="0"/>
        <w:spacing w:line="360" w:lineRule="auto"/>
        <w:ind w:left="0" w:firstLine="0"/>
        <w:jc w:val="both"/>
        <w:rPr>
          <w:rFonts w:hint="eastAsia" w:ascii="Times New Roman" w:hAnsi="Times New Roman" w:cs="Times New Roman"/>
          <w:b/>
          <w:bCs/>
          <w:color w:val="auto"/>
          <w:sz w:val="24"/>
          <w:lang w:val="en-US" w:eastAsia="zh-CN"/>
        </w:rPr>
      </w:pPr>
      <w:bookmarkStart w:id="1189" w:name="_Toc465252099"/>
      <w:bookmarkStart w:id="1190" w:name="_Toc5362"/>
      <w:bookmarkStart w:id="1191" w:name="_Toc358026781"/>
      <w:bookmarkStart w:id="1192" w:name="_Toc396169040"/>
      <w:bookmarkStart w:id="1193" w:name="_Toc459588685"/>
      <w:r>
        <w:rPr>
          <w:rFonts w:hint="eastAsia" w:ascii="Times New Roman" w:hAnsi="Times New Roman" w:cs="Times New Roman"/>
          <w:b/>
          <w:bCs/>
          <w:color w:val="auto"/>
          <w:sz w:val="24"/>
          <w:lang w:val="en-US" w:eastAsia="zh-CN"/>
        </w:rPr>
        <w:t>5.8环境风险评价结论</w:t>
      </w:r>
      <w:bookmarkEnd w:id="1189"/>
      <w:bookmarkEnd w:id="1190"/>
      <w:bookmarkEnd w:id="1191"/>
      <w:bookmarkEnd w:id="1192"/>
      <w:bookmarkEnd w:id="1193"/>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（1）修建防洪设施防止暴雨洪水及地质灾害对尾矿库的影响，对尾矿库坝底采取加固、防洪等措施，避免尾矿库坍塌、外溢造成的环境影响。</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（2）在选矿厂尾矿泵站附近修建1000m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事故池，在尾矿输送管线沿途加强巡检，及时启用事故池。</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（3）认真落实环境风险预防措施和应急预案，将环境风险概率降到最低。</w:t>
      </w:r>
    </w:p>
    <w:p>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（4）根据《尾矿库环境风险评估技术导则(试行)》（HJ740-2015）的有关要求，在该项目尾矿库运行后对尾矿库进行环境风险评估，编制该项目尾矿库环境风险评估报告。</w:t>
      </w:r>
    </w:p>
    <w:p>
      <w:pPr>
        <w:pStyle w:val="2"/>
        <w:rPr>
          <w:rFonts w:hint="default"/>
          <w:color w:val="auto"/>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pageBreakBefore/>
        <w:spacing w:line="360" w:lineRule="auto"/>
        <w:jc w:val="center"/>
        <w:outlineLvl w:val="0"/>
        <w:rPr>
          <w:rFonts w:hint="default" w:ascii="Times New Roman" w:hAnsi="Times New Roman" w:cs="Times New Roman"/>
          <w:b/>
          <w:color w:val="auto"/>
          <w:sz w:val="30"/>
          <w:szCs w:val="30"/>
        </w:rPr>
      </w:pPr>
      <w:bookmarkStart w:id="1194" w:name="_Toc19945"/>
      <w:bookmarkStart w:id="1195" w:name="_Toc17709309"/>
      <w:bookmarkStart w:id="1196" w:name="_Toc17709473"/>
      <w:bookmarkStart w:id="1197" w:name="_Toc7999113"/>
      <w:bookmarkStart w:id="1198" w:name="_Toc7999157"/>
      <w:bookmarkStart w:id="1199" w:name="_Toc30891_WPSOffice_Level2"/>
      <w:bookmarkStart w:id="1200" w:name="_Toc8836383"/>
      <w:r>
        <w:rPr>
          <w:rFonts w:hint="default" w:ascii="Times New Roman" w:hAnsi="Times New Roman" w:cs="Times New Roman"/>
          <w:b/>
          <w:color w:val="auto"/>
          <w:sz w:val="30"/>
          <w:szCs w:val="30"/>
        </w:rPr>
        <w:t>6 环境保护措施及其可行性</w:t>
      </w:r>
      <w:bookmarkEnd w:id="1160"/>
      <w:bookmarkEnd w:id="1194"/>
      <w:r>
        <w:rPr>
          <w:rFonts w:hint="default" w:ascii="Times New Roman" w:hAnsi="Times New Roman" w:cs="Times New Roman"/>
          <w:b/>
          <w:color w:val="auto"/>
          <w:sz w:val="30"/>
          <w:szCs w:val="30"/>
        </w:rPr>
        <w:t>论证</w:t>
      </w:r>
      <w:bookmarkEnd w:id="1195"/>
      <w:bookmarkEnd w:id="1196"/>
      <w:bookmarkEnd w:id="1197"/>
      <w:bookmarkEnd w:id="1198"/>
      <w:bookmarkEnd w:id="1199"/>
      <w:bookmarkEnd w:id="120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采是对生态环境影响较大的行业，由于矿体的形态及分布不同，开采后可形成采空区、地表形态变化等，矿山开采对生态破坏的具体表现为植被破坏、扰动土壤、表土破坏、水土流失等问题。采矿生产活动中噪声、扬尘的产生，对周围动、植物也产生不良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的生态恢复过程是一个渐进过程，也是一个逐年改善的过程，随时间推移，不仅可消除由采矿所造成的影响，还会使当地区域生态环境得到一定改善，除了植被和生物量的增加，一些鸟类、爬行动物、哺乳动物将在这里活动、栖息和繁衍。</w:t>
      </w:r>
    </w:p>
    <w:p>
      <w:pPr>
        <w:pStyle w:val="4"/>
        <w:keepLines/>
        <w:spacing w:line="360" w:lineRule="auto"/>
        <w:ind w:left="661" w:hanging="661" w:hangingChars="235"/>
        <w:jc w:val="both"/>
        <w:rPr>
          <w:rFonts w:hint="default" w:ascii="Times New Roman" w:hAnsi="Times New Roman" w:cs="Times New Roman"/>
          <w:color w:val="auto"/>
          <w:sz w:val="28"/>
          <w:szCs w:val="28"/>
        </w:rPr>
      </w:pPr>
      <w:bookmarkStart w:id="1201" w:name="_Toc7999114"/>
      <w:bookmarkStart w:id="1202" w:name="_Toc8506"/>
      <w:bookmarkStart w:id="1203" w:name="_Toc19272"/>
      <w:bookmarkStart w:id="1204" w:name="_Toc1644"/>
      <w:bookmarkStart w:id="1205" w:name="_Toc16476"/>
      <w:bookmarkStart w:id="1206" w:name="_Toc30675"/>
      <w:bookmarkStart w:id="1207" w:name="_Toc17709310"/>
      <w:bookmarkStart w:id="1208" w:name="_Toc8836384"/>
      <w:bookmarkStart w:id="1209" w:name="_Toc17709474"/>
      <w:r>
        <w:rPr>
          <w:rFonts w:hint="default" w:ascii="Times New Roman" w:hAnsi="Times New Roman" w:cs="Times New Roman"/>
          <w:color w:val="auto"/>
          <w:sz w:val="28"/>
          <w:szCs w:val="28"/>
        </w:rPr>
        <w:t>6.1生态保护与减缓措施</w:t>
      </w:r>
      <w:bookmarkEnd w:id="1201"/>
      <w:bookmarkEnd w:id="1202"/>
      <w:bookmarkEnd w:id="1203"/>
      <w:bookmarkEnd w:id="1204"/>
      <w:bookmarkEnd w:id="1205"/>
      <w:bookmarkEnd w:id="1206"/>
      <w:bookmarkEnd w:id="1207"/>
      <w:bookmarkEnd w:id="1208"/>
      <w:bookmarkEnd w:id="1209"/>
    </w:p>
    <w:p>
      <w:pPr>
        <w:pStyle w:val="5"/>
        <w:tabs>
          <w:tab w:val="left" w:pos="567"/>
        </w:tabs>
        <w:spacing w:before="0" w:after="0" w:line="360" w:lineRule="auto"/>
        <w:ind w:left="566" w:hanging="566" w:hangingChars="235"/>
        <w:rPr>
          <w:rFonts w:hint="default" w:ascii="Times New Roman" w:hAnsi="Times New Roman" w:cs="Times New Roman"/>
          <w:color w:val="auto"/>
          <w:sz w:val="24"/>
        </w:rPr>
      </w:pPr>
      <w:bookmarkStart w:id="1210" w:name="_Toc21172"/>
      <w:bookmarkStart w:id="1211" w:name="_Toc17709475"/>
      <w:bookmarkStart w:id="1212" w:name="_Toc23035"/>
      <w:bookmarkStart w:id="1213" w:name="_Toc7999115"/>
      <w:bookmarkStart w:id="1214" w:name="_Toc2218"/>
      <w:bookmarkStart w:id="1215" w:name="_Toc30608"/>
      <w:bookmarkStart w:id="1216" w:name="_Toc21649"/>
      <w:r>
        <w:rPr>
          <w:rFonts w:hint="default" w:ascii="Times New Roman" w:hAnsi="Times New Roman" w:cs="Times New Roman"/>
          <w:color w:val="auto"/>
          <w:sz w:val="24"/>
        </w:rPr>
        <w:t>6.1.1生态环境影响减缓措施</w:t>
      </w:r>
      <w:bookmarkEnd w:id="1210"/>
      <w:bookmarkEnd w:id="1211"/>
      <w:bookmarkEnd w:id="1212"/>
      <w:bookmarkEnd w:id="1213"/>
      <w:bookmarkEnd w:id="1214"/>
      <w:bookmarkEnd w:id="1215"/>
      <w:bookmarkEnd w:id="1216"/>
    </w:p>
    <w:p>
      <w:pPr>
        <w:adjustRightInd w:val="0"/>
        <w:snapToGrid w:val="0"/>
        <w:spacing w:line="360" w:lineRule="auto"/>
        <w:outlineLvl w:val="3"/>
        <w:rPr>
          <w:rFonts w:hint="default" w:ascii="Times New Roman" w:hAnsi="Times New Roman" w:cs="Times New Roman"/>
          <w:color w:val="auto"/>
          <w:sz w:val="24"/>
          <w:szCs w:val="22"/>
        </w:rPr>
      </w:pPr>
      <w:bookmarkStart w:id="1217" w:name="_Toc9997"/>
      <w:bookmarkStart w:id="1218" w:name="_Toc16948"/>
      <w:bookmarkStart w:id="1219" w:name="_Toc12236"/>
      <w:r>
        <w:rPr>
          <w:rFonts w:hint="default" w:ascii="Times New Roman" w:hAnsi="Times New Roman" w:cs="Times New Roman"/>
          <w:color w:val="auto"/>
          <w:sz w:val="24"/>
          <w:szCs w:val="22"/>
        </w:rPr>
        <w:t>6.1.1.1施工期生态环境影响减缓措施</w:t>
      </w:r>
      <w:bookmarkEnd w:id="1217"/>
      <w:bookmarkEnd w:id="1218"/>
      <w:bookmarkEnd w:id="1219"/>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（1）充分利用区域内自然地形地貌 ，尽可能减少占地面积，减小对植被的破坏面积；减少挖方、填方量，尽量做到工程自身土石方平衡；</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（2）各施工场地施工时，在各开挖场地周围应采取临时拦挡措施。挖方及时回填，不能立即回填的，堆放在指定场所，并做好临时防挡措施；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（3）道路建设过程中必须将道路两侧的绿化同时考虑，种植当地易活耐旱、寒植被，并且要做好施工场地的防护措施，减少扬尘对周围环境的影响；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（4）制定严格的施工操作规范，严禁施工车辆随意开辟施工便道；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（5）对因项目建设过程中形成的裸露地表，应及时采取绿化措施，选择适宜当地生长的植被品种。</w:t>
      </w:r>
    </w:p>
    <w:p>
      <w:pPr>
        <w:adjustRightInd w:val="0"/>
        <w:snapToGrid w:val="0"/>
        <w:spacing w:line="360" w:lineRule="auto"/>
        <w:outlineLvl w:val="3"/>
        <w:rPr>
          <w:rFonts w:hint="default" w:ascii="Times New Roman" w:hAnsi="Times New Roman" w:cs="Times New Roman"/>
          <w:color w:val="auto"/>
          <w:sz w:val="24"/>
          <w:szCs w:val="22"/>
        </w:rPr>
      </w:pPr>
      <w:bookmarkStart w:id="1220" w:name="_Toc30265"/>
      <w:bookmarkStart w:id="1221" w:name="_Toc23172"/>
      <w:bookmarkStart w:id="1222" w:name="_Toc2572"/>
      <w:r>
        <w:rPr>
          <w:rFonts w:hint="default" w:ascii="Times New Roman" w:hAnsi="Times New Roman" w:cs="Times New Roman"/>
          <w:color w:val="auto"/>
          <w:sz w:val="24"/>
          <w:szCs w:val="22"/>
        </w:rPr>
        <w:t>6.1.1.2运营期生态环境影响减缓措施</w:t>
      </w:r>
      <w:bookmarkEnd w:id="1220"/>
      <w:bookmarkEnd w:id="1221"/>
      <w:bookmarkEnd w:id="1222"/>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运营期生态环境影响减缓措施如下：</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（1）被剥离的岩石必须排卸至废石场，禁止随意排弃废石，避免在矿区内增加新的地表扰动和水土流失；</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（2）进行绿化形成隔离带，减少扬尘、噪声、水土流失等的影响程度，岩石与矿石的装卸应严格控制在倒装场范围内，严禁占压外围土地。</w:t>
      </w:r>
    </w:p>
    <w:p>
      <w:pPr>
        <w:adjustRightInd w:val="0"/>
        <w:snapToGrid w:val="0"/>
        <w:spacing w:line="360" w:lineRule="auto"/>
        <w:outlineLvl w:val="3"/>
        <w:rPr>
          <w:rFonts w:hint="default" w:ascii="Times New Roman" w:hAnsi="Times New Roman" w:cs="Times New Roman"/>
          <w:color w:val="auto"/>
          <w:sz w:val="24"/>
          <w:szCs w:val="22"/>
        </w:rPr>
      </w:pPr>
      <w:bookmarkStart w:id="1223" w:name="_Toc11786"/>
      <w:bookmarkStart w:id="1224" w:name="_Toc995"/>
      <w:bookmarkStart w:id="1225" w:name="_Toc2511"/>
      <w:r>
        <w:rPr>
          <w:rFonts w:hint="default" w:ascii="Times New Roman" w:hAnsi="Times New Roman" w:cs="Times New Roman"/>
          <w:color w:val="auto"/>
          <w:sz w:val="24"/>
          <w:szCs w:val="22"/>
        </w:rPr>
        <w:t>6.1.1.3矿山服务期满后采取的措施</w:t>
      </w:r>
      <w:bookmarkEnd w:id="1223"/>
      <w:bookmarkEnd w:id="1224"/>
      <w:bookmarkEnd w:id="1225"/>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轻矿山开采对区域生态环境的影响，要求按照边开采边恢复、终止采矿活动时必须恢复治理的原则，要做到预防为主，针对存在的问题，制定出预防措施，对生产中出现的问题要及时采取相应的措施予以解决，达到防灾、减灾的目的。</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预留矿山恢复资金，闭矿后的资金问题是该期环境影响的关键，其资金因来源于开发利用该区域的生产企业，因此，企业对闭矿后的环境保护承担完全义务。在采矿运营阶段，应对闭矿后的环保资金预提，留足环保治理费用，用以矿山开采期满后的生态工程建设工作，使被挖损的和堆填的土地恢复其本来功能，使矿山开发对区域生态的影响控制在一定的范围内，保持区域生态环境的平衡。具体额度由设计部门核审。预留资金应设立专用账户，由相关部门监督使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（2）开采结束即闭矿后的主要影响为采空区和废石场，区域地形地貌发生较大变化，同时也存在采空区地表塌陷、废石场泥石流等隐患，为减缓矿区闭矿后的影响，提出如下措施：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①项目闭场后，要求对废石场进行压实，对危险的边坡进行堆砌加固，表层用保存的表层剥离物覆盖等，加固废石场稳定性，防止滑塌伤人、畜或野生动物；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②在采空区和废石场等可能诱发的坍塌、塌陷、滑坡、泥石流的区域外围设立多文字的警示标志和防护网，禁止靠近；</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③在矿区范围入口处设置标识，提示进入矿区的危险性；</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（3）建筑物、构筑物拆除</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①拆除后期不需要的建筑物、构筑物；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②保留集水池等设施，以便生态管理人员能加以利用；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③将拆除产生的建筑垃圾等用于回填矿井；</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④拆除矿山所有生产、辅助设施，全场整理，自然恢复植被。</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闭矿后及时进行环境恢复治理和土地复垦工作尽可能恢复矿区环境和土地使用功能，保持矿山环境与周边生态环境相协调。</w:t>
      </w:r>
    </w:p>
    <w:p>
      <w:pPr>
        <w:pStyle w:val="5"/>
        <w:tabs>
          <w:tab w:val="left" w:pos="567"/>
        </w:tabs>
        <w:spacing w:before="0" w:after="0" w:line="360" w:lineRule="auto"/>
        <w:ind w:left="566" w:hanging="566" w:hangingChars="235"/>
        <w:rPr>
          <w:rFonts w:hint="default" w:ascii="Times New Roman" w:hAnsi="Times New Roman" w:cs="Times New Roman"/>
          <w:color w:val="auto"/>
          <w:sz w:val="24"/>
        </w:rPr>
      </w:pPr>
      <w:bookmarkStart w:id="1226" w:name="_Toc17709476"/>
      <w:bookmarkStart w:id="1227" w:name="_Toc27019"/>
      <w:bookmarkStart w:id="1228" w:name="_Toc23184"/>
      <w:bookmarkStart w:id="1229" w:name="_Toc1373"/>
      <w:bookmarkStart w:id="1230" w:name="_Toc19790"/>
      <w:bookmarkStart w:id="1231" w:name="_Toc7999116"/>
      <w:bookmarkStart w:id="1232" w:name="_Toc23974"/>
      <w:r>
        <w:rPr>
          <w:rFonts w:hint="default" w:ascii="Times New Roman" w:hAnsi="Times New Roman" w:cs="Times New Roman"/>
          <w:color w:val="auto"/>
          <w:sz w:val="24"/>
        </w:rPr>
        <w:t>6.1.2生态恢复措施</w:t>
      </w:r>
      <w:bookmarkEnd w:id="1226"/>
      <w:bookmarkEnd w:id="1227"/>
      <w:bookmarkEnd w:id="1228"/>
      <w:bookmarkEnd w:id="1229"/>
      <w:bookmarkEnd w:id="1230"/>
      <w:bookmarkEnd w:id="1231"/>
      <w:bookmarkEnd w:id="1232"/>
    </w:p>
    <w:p>
      <w:pPr>
        <w:adjustRightInd w:val="0"/>
        <w:snapToGrid w:val="0"/>
        <w:spacing w:line="360" w:lineRule="auto"/>
        <w:outlineLvl w:val="3"/>
        <w:rPr>
          <w:rFonts w:hint="default" w:ascii="Times New Roman" w:hAnsi="Times New Roman" w:cs="Times New Roman"/>
          <w:color w:val="auto"/>
          <w:sz w:val="24"/>
          <w:szCs w:val="22"/>
        </w:rPr>
      </w:pPr>
      <w:bookmarkStart w:id="1233" w:name="_Toc13440"/>
      <w:bookmarkStart w:id="1234" w:name="_Toc14398"/>
      <w:bookmarkStart w:id="1235" w:name="_Toc13935"/>
      <w:r>
        <w:rPr>
          <w:rFonts w:hint="default" w:ascii="Times New Roman" w:hAnsi="Times New Roman" w:cs="Times New Roman"/>
          <w:color w:val="auto"/>
          <w:sz w:val="24"/>
          <w:szCs w:val="22"/>
        </w:rPr>
        <w:t>6.1.2.1施工期生态恢复</w:t>
      </w:r>
      <w:bookmarkEnd w:id="1233"/>
      <w:bookmarkEnd w:id="1234"/>
      <w:bookmarkEnd w:id="1235"/>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施工队伍撤离现场后及时清理建筑垃圾和一切非原始自然地貌的所有物品。施工结束后，道路路基两侧应及时采用片石、块石等工程措施，确保边坡的稳定，同时起到防风固沙的作用。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开挖路基及取弃土工程，应根据道路施工进度有计划进行表土剥离保存，必要时应设置截排水沟、挡土墙等相应保护措施。矿区专用道路使用期间，取弃土场应及时回填、整平、压实，并利用堆存的表土进行恢复。道路建设施工结束后，临时占地应及时恢复，与原有地貌和景观协调。</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采场、矿区专用道路等各类场地建设前，应视土壤类型对表土进行剥离，厚度不少于20cm。剥离的表层土壤不能及时铺覆到已整治场地的，应选择事宜的场地进行堆存，并采取围挡等措施防止水土流失。</w:t>
      </w:r>
    </w:p>
    <w:p>
      <w:pPr>
        <w:adjustRightInd w:val="0"/>
        <w:snapToGrid w:val="0"/>
        <w:spacing w:line="360" w:lineRule="auto"/>
        <w:outlineLvl w:val="3"/>
        <w:rPr>
          <w:rFonts w:hint="default" w:ascii="Times New Roman" w:hAnsi="Times New Roman" w:cs="Times New Roman"/>
          <w:color w:val="auto"/>
          <w:sz w:val="24"/>
          <w:szCs w:val="22"/>
        </w:rPr>
      </w:pPr>
      <w:bookmarkStart w:id="1236" w:name="_Toc4695"/>
      <w:bookmarkStart w:id="1237" w:name="_Toc8598"/>
      <w:bookmarkStart w:id="1238" w:name="_Toc9819"/>
      <w:r>
        <w:rPr>
          <w:rFonts w:hint="default" w:ascii="Times New Roman" w:hAnsi="Times New Roman" w:cs="Times New Roman"/>
          <w:color w:val="auto"/>
          <w:sz w:val="24"/>
          <w:szCs w:val="22"/>
        </w:rPr>
        <w:t>6.1.2.2运营期生态恢复</w:t>
      </w:r>
      <w:bookmarkEnd w:id="1236"/>
      <w:bookmarkEnd w:id="1237"/>
      <w:bookmarkEnd w:id="1238"/>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坚持“预防为主、防治结合、过程控制”的原则，将矿山生态环境保护与恢复治理贯穿矿产资源开采的全过程。必须做到生产期间尽可能不断地恢复被破坏的土地，消除各种污染源的危害，在采矿结束后（即矿山服务期满后）对被遗弃的土地进行全面的恢复工作，恢复工作应在服务期满后两年内完成；</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（2）根据采矿地质条件、发展远景及当地具体情况，制定矿山土地复垦计划。该计划要纳入本项目矿山中的开采、排弃计划，其内容包括利用土地的方式、采矿复垦方法等，且与生产建设统一规划；</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（3）项目废石堆场应采取相应的环保措施防止二次污染，控制废石堆场对周围环境的污染；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（4）建设单位必须留有足够的资金用以矿山开采期满后的生态恢复工程的建设工作，使矿山开发对区域生态的影响控制在一定的范围内，保持区域生态环境的平衡；</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（5）制定出生态补偿方案、实施计划和进度等，并给予资金上的保证。其次是建立相应的监督管理制度，负责生态恢复计划的落实，对生态恢复的效果及时进行检查和总结；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（6）《土地复垦规定》第十六条指出：基本建设过程中破坏的土地，土地复垦费用和土地损失补偿费从基本建设投资中列支；生产过程中破坏的土地，土地复垦费用从企业更新改造资金和生产发展基金中列支；</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（7）矿山在开采过程中尽量做到边开采边恢复，在开采作业面有恢复条件时应及时选种适宜当地生长的草种进行复绿；</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（8）按照边开采边恢复、终止采矿活动时完成恢复治理的原则，要做到预防为主，针对存在的问题，制定出预防措施，对生产中出现的问题要及时采取相应的措施予以解决，达到防灾、减灾的目的；</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（9）建设用地的生态恢复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用地的生态恢复只有在服务期满后实施，要求矿井在服务期满后及时拆除地表一切无用的建（构）筑物，清除固废，平整场地，恢复地貌，恢复原有景观及土地使用功能。按有关技术要求封闭矿井平硐口，即严格执行《矿山安全规程》中规定的矿山报废的操作规程：报废的平硐应填实，或在平硐口浇注 1 个大于井筒断面的坚实的钢筋混凝土盖板，并应设置栅栏和标志；封填报废的平硐时，必须做好隐蔽工程记录，并填图归档。</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工业广场占在开拓运输道路和必要的工作带以外的区域进行覆土植草，覆土厚度为0.4m，种植方式采取人工撒播草籽，草籽选用适于当地生长的草种。</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废石场在底部设置浆砌块石重力式挡渣墙，在墙前铺设铅丝笼护底。在废石场上游及两侧修建排水渠，渠道采用浆砌块石衬砌矩形断面。最后在废石堆覆土种草，种植方式同工业广场一样。</w:t>
      </w:r>
    </w:p>
    <w:p>
      <w:pPr>
        <w:adjustRightInd w:val="0"/>
        <w:snapToGrid w:val="0"/>
        <w:spacing w:line="360" w:lineRule="auto"/>
        <w:outlineLvl w:val="3"/>
        <w:rPr>
          <w:rFonts w:hint="default" w:ascii="Times New Roman" w:hAnsi="Times New Roman" w:cs="Times New Roman"/>
          <w:color w:val="auto"/>
          <w:sz w:val="24"/>
          <w:szCs w:val="22"/>
        </w:rPr>
      </w:pPr>
      <w:bookmarkStart w:id="1239" w:name="_Toc10219"/>
      <w:bookmarkStart w:id="1240" w:name="_Toc16945"/>
      <w:bookmarkStart w:id="1241" w:name="_Toc22352"/>
      <w:r>
        <w:rPr>
          <w:rFonts w:hint="default" w:ascii="Times New Roman" w:hAnsi="Times New Roman" w:cs="Times New Roman"/>
          <w:color w:val="auto"/>
          <w:sz w:val="24"/>
          <w:szCs w:val="22"/>
        </w:rPr>
        <w:t>6.1.2.3闭矿期生态恢复</w:t>
      </w:r>
      <w:bookmarkEnd w:id="1239"/>
      <w:bookmarkEnd w:id="1240"/>
      <w:bookmarkEnd w:id="1241"/>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（1）闭矿后必须按照矿山安全、水土保持、地质恢复、环境保护工作的有关规定拆除无用的地面建筑物，将破坏的地表推平，对受破坏的地表恢复原貌等工作。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闭矿期废石场的废石堆积高度应低于4.5m时，每一台阶宽度应在2m以上，台阶边坡坡度小于35º，形成有利于原地貌恢复的地表条件。按要求对废石场进行分层、压实，覆土、播撒草籽绿化，对危险的边坡进行堆砌加固，防止滑塌伤人、畜或野生动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（3）在可能诱发的崩塌、塌陷、滑坡、泥石流的区域外围设立多文字的警示标志和防护网，禁止靠近。在矿区范围入口处设置标识，提示进入矿区的危险性。</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（4）闭坑后及时进行环境恢复治理和土地复垦，应尽可能恢复矿区原有环境和土地使用功能，保持矿山环境与周边生态环境相协调。</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采取以上措施后，矿区生态环境将逐步得到改善和恢复。</w:t>
      </w:r>
    </w:p>
    <w:p>
      <w:pPr>
        <w:pStyle w:val="5"/>
        <w:tabs>
          <w:tab w:val="left" w:pos="567"/>
        </w:tabs>
        <w:spacing w:before="0" w:after="0" w:line="360" w:lineRule="auto"/>
        <w:ind w:left="566" w:hanging="566" w:hangingChars="235"/>
        <w:rPr>
          <w:rFonts w:hint="default" w:ascii="Times New Roman" w:hAnsi="Times New Roman" w:cs="Times New Roman"/>
          <w:color w:val="auto"/>
          <w:sz w:val="24"/>
        </w:rPr>
      </w:pPr>
      <w:bookmarkStart w:id="1242" w:name="_Toc9477"/>
      <w:bookmarkStart w:id="1243" w:name="_Toc2388"/>
      <w:bookmarkStart w:id="1244" w:name="_Toc7999117"/>
      <w:bookmarkStart w:id="1245" w:name="_Toc7127"/>
      <w:bookmarkStart w:id="1246" w:name="_Toc5684"/>
      <w:bookmarkStart w:id="1247" w:name="_Toc17860"/>
      <w:bookmarkStart w:id="1248" w:name="_Toc17709477"/>
      <w:r>
        <w:rPr>
          <w:rFonts w:hint="default" w:ascii="Times New Roman" w:hAnsi="Times New Roman" w:cs="Times New Roman"/>
          <w:color w:val="auto"/>
          <w:sz w:val="24"/>
        </w:rPr>
        <w:t>6.1.4土地复垦</w:t>
      </w:r>
      <w:bookmarkEnd w:id="1242"/>
      <w:bookmarkEnd w:id="1243"/>
      <w:bookmarkEnd w:id="1244"/>
      <w:bookmarkEnd w:id="1245"/>
      <w:bookmarkEnd w:id="1246"/>
      <w:bookmarkEnd w:id="1247"/>
      <w:bookmarkEnd w:id="1248"/>
    </w:p>
    <w:p>
      <w:pPr>
        <w:adjustRightInd w:val="0"/>
        <w:snapToGrid w:val="0"/>
        <w:spacing w:line="360" w:lineRule="auto"/>
        <w:outlineLvl w:val="3"/>
        <w:rPr>
          <w:rFonts w:hint="default" w:ascii="Times New Roman" w:hAnsi="Times New Roman" w:cs="Times New Roman"/>
          <w:color w:val="auto"/>
          <w:sz w:val="24"/>
          <w:szCs w:val="22"/>
        </w:rPr>
      </w:pPr>
      <w:bookmarkStart w:id="1249" w:name="_Toc2983"/>
      <w:bookmarkStart w:id="1250" w:name="_Toc12766"/>
      <w:bookmarkStart w:id="1251" w:name="_Toc18201"/>
      <w:r>
        <w:rPr>
          <w:rFonts w:hint="default" w:ascii="Times New Roman" w:hAnsi="Times New Roman" w:cs="Times New Roman"/>
          <w:color w:val="auto"/>
          <w:sz w:val="24"/>
          <w:szCs w:val="22"/>
        </w:rPr>
        <w:t>6.1.4.1土地复垦分区</w:t>
      </w:r>
      <w:bookmarkEnd w:id="1249"/>
      <w:bookmarkEnd w:id="1250"/>
      <w:bookmarkEnd w:id="1251"/>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本矿山共分为三个土地复垦区，分别为潜在地面塌陷土地复垦区（Ⅰ）、规划工业广场土地复垦区（Ⅱ）、规划废石堆场土地复垦区（Ⅲ）。</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潜在地面塌陷区、规划工业广场待复垦土地总面积29000m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。矿山道路留作为区域交通便道，不进行土地复垦，面积约55900m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。土地复垦率78%。</w:t>
      </w:r>
    </w:p>
    <w:p>
      <w:pPr>
        <w:adjustRightInd w:val="0"/>
        <w:snapToGrid w:val="0"/>
        <w:spacing w:line="360" w:lineRule="auto"/>
        <w:outlineLvl w:val="3"/>
        <w:rPr>
          <w:rFonts w:hint="default" w:ascii="Times New Roman" w:hAnsi="Times New Roman" w:cs="Times New Roman"/>
          <w:color w:val="auto"/>
          <w:sz w:val="24"/>
          <w:szCs w:val="22"/>
        </w:rPr>
      </w:pPr>
      <w:bookmarkStart w:id="1252" w:name="_Toc320"/>
      <w:bookmarkStart w:id="1253" w:name="_Toc21515"/>
      <w:bookmarkStart w:id="1254" w:name="_Toc18022"/>
      <w:bookmarkStart w:id="1255" w:name="_Toc17709478"/>
      <w:r>
        <w:rPr>
          <w:rFonts w:hint="default" w:ascii="Times New Roman" w:hAnsi="Times New Roman" w:cs="Times New Roman"/>
          <w:color w:val="auto"/>
          <w:sz w:val="24"/>
          <w:szCs w:val="22"/>
        </w:rPr>
        <w:t>6.1.4.2土地复垦可行性评价</w:t>
      </w:r>
      <w:bookmarkEnd w:id="1252"/>
      <w:bookmarkEnd w:id="1253"/>
      <w:bookmarkEnd w:id="1254"/>
      <w:bookmarkEnd w:id="1255"/>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实地调查，地面塌陷区、规划工业广场、废石堆放场土地现状及利用类型均未利用地，预测地面塌陷土地复垦区的土地复垦限制因素主要是地形坡度、覆土厚度、排灌条件、土壤母质及土壤有机质，结合地形地貌及周边环境状况，土地复垦的适宜性评价为适宜复垦为草地。结合地形地貌及周边环境状况，确定复垦为适宜当地的植物。</w:t>
      </w:r>
    </w:p>
    <w:p>
      <w:pPr>
        <w:adjustRightInd w:val="0"/>
        <w:snapToGrid w:val="0"/>
        <w:spacing w:line="360" w:lineRule="auto"/>
        <w:outlineLvl w:val="3"/>
        <w:rPr>
          <w:rFonts w:hint="default" w:ascii="Times New Roman" w:hAnsi="Times New Roman" w:cs="Times New Roman"/>
          <w:color w:val="auto"/>
          <w:sz w:val="24"/>
          <w:szCs w:val="22"/>
        </w:rPr>
      </w:pPr>
      <w:bookmarkStart w:id="1256" w:name="_Toc27575"/>
      <w:bookmarkStart w:id="1257" w:name="_Toc21446"/>
      <w:bookmarkStart w:id="1258" w:name="_Toc13876"/>
      <w:bookmarkStart w:id="1259" w:name="_Toc17709479"/>
      <w:r>
        <w:rPr>
          <w:rFonts w:hint="default" w:ascii="Times New Roman" w:hAnsi="Times New Roman" w:cs="Times New Roman"/>
          <w:color w:val="auto"/>
          <w:sz w:val="24"/>
          <w:szCs w:val="22"/>
        </w:rPr>
        <w:t>6.1.4.3土地复垦方向</w:t>
      </w:r>
      <w:bookmarkEnd w:id="1256"/>
      <w:bookmarkEnd w:id="1257"/>
      <w:bookmarkEnd w:id="1258"/>
      <w:bookmarkEnd w:id="1259"/>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参照土地复垦的适宜性评价结果，根据采矿工程建设对场地的损毁方式及损毁程度，并结合周边水文气象条件、土壤条件、水文工程地质条件、地形地质、社会经济等条件，确定各区域的土地复垦方向。</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根据当地的自然条件，确定本矿山开采损毁土地复垦方向为裸地，自然复绿。各单元评价结果见表6.1-1。</w:t>
      </w:r>
    </w:p>
    <w:p>
      <w:pPr>
        <w:ind w:firstLine="3045" w:firstLineChars="14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 xml:space="preserve">表6.1-1 </w:t>
      </w:r>
      <w:r>
        <w:rPr>
          <w:rFonts w:hint="default"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rPr>
        <w:t>矿山复垦对象各评价单元的评价因子表</w:t>
      </w:r>
    </w:p>
    <w:tbl>
      <w:tblPr>
        <w:tblStyle w:val="7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59"/>
        <w:gridCol w:w="1843"/>
        <w:gridCol w:w="1276"/>
        <w:gridCol w:w="1134"/>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26" w:type="dxa"/>
            <w:noWrap w:val="0"/>
            <w:vAlign w:val="center"/>
          </w:tcPr>
          <w:p>
            <w:pPr>
              <w:pStyle w:val="235"/>
              <w:adjustRightInd/>
              <w:spacing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复垦单元分区</w:t>
            </w:r>
          </w:p>
        </w:tc>
        <w:tc>
          <w:tcPr>
            <w:tcW w:w="155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损毁土地方式</w:t>
            </w:r>
          </w:p>
        </w:tc>
        <w:tc>
          <w:tcPr>
            <w:tcW w:w="1843" w:type="dxa"/>
            <w:noWrap w:val="0"/>
            <w:vAlign w:val="center"/>
          </w:tcPr>
          <w:p>
            <w:pPr>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损毁土地面积（</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eastAsia="宋体" w:cs="Times New Roman"/>
                <w:color w:val="auto"/>
                <w:sz w:val="18"/>
                <w:szCs w:val="18"/>
              </w:rPr>
              <w:t>）</w:t>
            </w:r>
          </w:p>
        </w:tc>
        <w:tc>
          <w:tcPr>
            <w:tcW w:w="1276" w:type="dxa"/>
            <w:noWrap w:val="0"/>
            <w:vAlign w:val="top"/>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适应性评价</w:t>
            </w:r>
          </w:p>
        </w:tc>
        <w:tc>
          <w:tcPr>
            <w:tcW w:w="1134" w:type="dxa"/>
            <w:noWrap w:val="0"/>
            <w:vAlign w:val="top"/>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复垦方向</w:t>
            </w:r>
          </w:p>
        </w:tc>
        <w:tc>
          <w:tcPr>
            <w:tcW w:w="1190"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复垦时间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2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地面塌陷区</w:t>
            </w:r>
          </w:p>
        </w:tc>
        <w:tc>
          <w:tcPr>
            <w:tcW w:w="155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塌陷</w:t>
            </w:r>
          </w:p>
        </w:tc>
        <w:tc>
          <w:tcPr>
            <w:tcW w:w="184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适宜植物</w:t>
            </w:r>
          </w:p>
        </w:tc>
        <w:tc>
          <w:tcPr>
            <w:tcW w:w="1134" w:type="dxa"/>
            <w:noWrap w:val="0"/>
            <w:vAlign w:val="top"/>
          </w:tcPr>
          <w:p>
            <w:pPr>
              <w:rPr>
                <w:rFonts w:hint="default" w:ascii="Times New Roman" w:hAnsi="Times New Roman" w:cs="Times New Roman"/>
                <w:color w:val="auto"/>
              </w:rPr>
            </w:pPr>
            <w:r>
              <w:rPr>
                <w:rFonts w:hint="default" w:ascii="Times New Roman" w:hAnsi="Times New Roman" w:eastAsia="宋体" w:cs="Times New Roman"/>
                <w:color w:val="auto"/>
                <w:szCs w:val="21"/>
              </w:rPr>
              <w:t>适宜植物</w:t>
            </w:r>
          </w:p>
        </w:tc>
        <w:tc>
          <w:tcPr>
            <w:tcW w:w="1190" w:type="dxa"/>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2029.3-2029-9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2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工业场地</w:t>
            </w:r>
          </w:p>
        </w:tc>
        <w:tc>
          <w:tcPr>
            <w:tcW w:w="155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压占</w:t>
            </w:r>
          </w:p>
        </w:tc>
        <w:tc>
          <w:tcPr>
            <w:tcW w:w="184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55900</w:t>
            </w:r>
          </w:p>
        </w:tc>
        <w:tc>
          <w:tcPr>
            <w:tcW w:w="1276" w:type="dxa"/>
            <w:noWrap w:val="0"/>
            <w:vAlign w:val="top"/>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适宜植物</w:t>
            </w:r>
          </w:p>
        </w:tc>
        <w:tc>
          <w:tcPr>
            <w:tcW w:w="1134" w:type="dxa"/>
            <w:noWrap w:val="0"/>
            <w:vAlign w:val="top"/>
          </w:tcPr>
          <w:p>
            <w:pPr>
              <w:rPr>
                <w:rFonts w:hint="default" w:ascii="Times New Roman" w:hAnsi="Times New Roman" w:cs="Times New Roman"/>
                <w:color w:val="auto"/>
              </w:rPr>
            </w:pPr>
            <w:r>
              <w:rPr>
                <w:rFonts w:hint="default" w:ascii="Times New Roman" w:hAnsi="Times New Roman" w:eastAsia="宋体" w:cs="Times New Roman"/>
                <w:color w:val="auto"/>
                <w:szCs w:val="21"/>
              </w:rPr>
              <w:t>适宜植物</w:t>
            </w:r>
          </w:p>
        </w:tc>
        <w:tc>
          <w:tcPr>
            <w:tcW w:w="119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wBefore w:w="0" w:type="dxa"/>
          <w:wAfter w:w="0" w:type="dxa"/>
        </w:trPr>
        <w:tc>
          <w:tcPr>
            <w:tcW w:w="152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1559"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压占</w:t>
            </w:r>
          </w:p>
        </w:tc>
        <w:tc>
          <w:tcPr>
            <w:tcW w:w="1843"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1276"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适宜植物</w:t>
            </w:r>
          </w:p>
        </w:tc>
        <w:tc>
          <w:tcPr>
            <w:tcW w:w="1134" w:type="dxa"/>
            <w:noWrap w:val="0"/>
            <w:vAlign w:val="top"/>
          </w:tcPr>
          <w:p>
            <w:pPr>
              <w:rPr>
                <w:rFonts w:hint="default" w:ascii="Times New Roman" w:hAnsi="Times New Roman" w:cs="Times New Roman"/>
                <w:color w:val="auto"/>
              </w:rPr>
            </w:pPr>
            <w:r>
              <w:rPr>
                <w:rFonts w:hint="default" w:ascii="Times New Roman" w:hAnsi="Times New Roman" w:eastAsia="宋体" w:cs="Times New Roman"/>
                <w:color w:val="auto"/>
                <w:szCs w:val="21"/>
              </w:rPr>
              <w:t>适宜植物</w:t>
            </w:r>
          </w:p>
        </w:tc>
        <w:tc>
          <w:tcPr>
            <w:tcW w:w="1190" w:type="dxa"/>
            <w:vMerge w:val="continue"/>
            <w:noWrap w:val="0"/>
            <w:vAlign w:val="center"/>
          </w:tcPr>
          <w:p>
            <w:pPr>
              <w:spacing w:line="240" w:lineRule="exact"/>
              <w:jc w:val="center"/>
              <w:rPr>
                <w:rFonts w:hint="default" w:ascii="Times New Roman" w:hAnsi="Times New Roman" w:eastAsia="宋体" w:cs="Times New Roman"/>
                <w:color w:val="auto"/>
                <w:szCs w:val="21"/>
              </w:rPr>
            </w:pPr>
          </w:p>
        </w:tc>
      </w:tr>
    </w:tbl>
    <w:p>
      <w:pPr>
        <w:adjustRightInd w:val="0"/>
        <w:snapToGrid w:val="0"/>
        <w:spacing w:line="360" w:lineRule="auto"/>
        <w:outlineLvl w:val="3"/>
        <w:rPr>
          <w:rFonts w:hint="default" w:ascii="Times New Roman" w:hAnsi="Times New Roman" w:cs="Times New Roman"/>
          <w:color w:val="auto"/>
          <w:sz w:val="24"/>
          <w:szCs w:val="22"/>
        </w:rPr>
      </w:pPr>
      <w:bookmarkStart w:id="1260" w:name="_Toc15225"/>
      <w:bookmarkStart w:id="1261" w:name="_Toc5316"/>
      <w:bookmarkStart w:id="1262" w:name="_Toc5917"/>
      <w:r>
        <w:rPr>
          <w:rFonts w:hint="default" w:ascii="Times New Roman" w:hAnsi="Times New Roman" w:cs="Times New Roman"/>
          <w:color w:val="auto"/>
          <w:sz w:val="24"/>
          <w:szCs w:val="22"/>
        </w:rPr>
        <w:t>6.1.4.4土地复垦技术标准</w:t>
      </w:r>
      <w:bookmarkEnd w:id="1260"/>
      <w:bookmarkEnd w:id="1261"/>
      <w:bookmarkEnd w:id="1262"/>
    </w:p>
    <w:p>
      <w:pPr>
        <w:spacing w:line="360" w:lineRule="auto"/>
        <w:ind w:left="500"/>
        <w:jc w:val="left"/>
        <w:rPr>
          <w:rFonts w:hint="default" w:ascii="Times New Roman" w:hAnsi="Times New Roman" w:cs="Times New Roman"/>
          <w:color w:val="auto"/>
          <w:sz w:val="24"/>
        </w:rPr>
      </w:pPr>
      <w:r>
        <w:rPr>
          <w:rFonts w:hint="default" w:ascii="Times New Roman" w:hAnsi="Times New Roman" w:cs="Times New Roman"/>
          <w:color w:val="auto"/>
          <w:sz w:val="24"/>
        </w:rPr>
        <w:t>（1）潜在地面塌陷土地复垦区（Ⅰ）</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正常生产后对矿体进行地下开采，矿体随着采矿活动的进行，开采过程中大量放矿后，岩、矿应力平衡将发生变化，受爆破、机械振动等因素影响，易引起间柱之间顶部及周边岩体失稳，导致地表岩体移动，在地表岩体移动影响范</w:t>
      </w:r>
    </w:p>
    <w:p>
      <w:pPr>
        <w:autoSpaceDE w:val="0"/>
        <w:autoSpaceDN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围易发生地面塌陷，损毁土地类型为草地。</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矿山开采期间预测出现地面塌陷地质灾害，矿体开采后地面塌陷表现为地表变形和沉降，在局部地区出现塌陷坑，预测塌陷区面积8.2公顷。</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复垦标准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a、首先应保证塌陷区安全，杜绝地质灾害的发生。防护工程要求满足《滑坡防治工程设计与施工及时规范》（dz/t0240-2004）；</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b、应对预测采空塌陷区进行封闭隔离和设置警示牌，预防危害的发生；</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c、表面覆土，播种草籽，复垦后应与当地地形、地貌及周边环境相协调；</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d、有控制污染和水土流失的措施。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（2）工业广场（Ⅱ）</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工业广场压占损毁土地损毁面积29000m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①复垦技术标准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a、工业广场首先应保证安全，杜绝地质灾害的发生。防护工程要求满足《滑坡防治工程设计与施工及时规范》（dz/t0240-2004）；</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b、有控制污染措施，保证安全，复垦后无废弃物和污染物；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c、拆除建筑物，并对场地进行平整，整治后恢复至原地形坡度，禁止形成局部凸起或凹陷；</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d、表面覆土，播种草籽复垦后应恢复至原地形地貌及土地利用功能。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②复垦工程技术措施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采期间工业广场矿石严格按设计堆放，矿山闭坑后拆除工业场地地面矿建设施，对场地进行平整，坡度基本达到原有地形坡度。平整场地后利用其对应的内堆放的剥离土对场地进行覆土播种草籽，恢复原地形地貌及土地利用功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（3）废石堆场（Ⅲ）</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废石堆场压占损毁土地损毁面积26222m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①复垦技术标准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a、有控制污染措施，保证安全，复垦后无废石和污染物；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b、表面覆土，进行土地平整，平整后地形坡度与原地形坡度保持一致，禁止形成局部凸起或凹陷；</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c、表面覆土，播种草籽，复垦后应恢复至原地形地貌及土地利用功能。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②复垦工程技术措施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矿山闭坑后废石场表面覆土，播种草籽，恢复原地形地貌及土地利用功能。</w:t>
      </w:r>
    </w:p>
    <w:p>
      <w:pPr>
        <w:adjustRightInd w:val="0"/>
        <w:snapToGrid w:val="0"/>
        <w:spacing w:line="360" w:lineRule="auto"/>
        <w:outlineLvl w:val="3"/>
        <w:rPr>
          <w:rFonts w:hint="default" w:ascii="Times New Roman" w:hAnsi="Times New Roman" w:cs="Times New Roman"/>
          <w:color w:val="auto"/>
          <w:sz w:val="24"/>
          <w:szCs w:val="22"/>
        </w:rPr>
      </w:pPr>
      <w:bookmarkStart w:id="1263" w:name="_Toc20720"/>
      <w:bookmarkStart w:id="1264" w:name="_Toc17709480"/>
      <w:bookmarkStart w:id="1265" w:name="_Toc30826"/>
      <w:bookmarkStart w:id="1266" w:name="_Toc29206"/>
      <w:r>
        <w:rPr>
          <w:rFonts w:hint="default" w:ascii="Times New Roman" w:hAnsi="Times New Roman" w:cs="Times New Roman"/>
          <w:color w:val="auto"/>
          <w:sz w:val="24"/>
          <w:szCs w:val="22"/>
        </w:rPr>
        <w:t>6.1.4.5生态恢复措施的适宜性分析</w:t>
      </w:r>
      <w:bookmarkEnd w:id="1263"/>
      <w:bookmarkEnd w:id="1264"/>
      <w:bookmarkEnd w:id="1265"/>
      <w:bookmarkEnd w:id="1266"/>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生态恢复主要是土地复垦，因此生态恢复措施的适宜性以土地复垦方案的适宜性进行分析。按矿井对土地占用和破坏的工程内容、占用及破坏特征、占用及破坏土地类型共可分为三个土地复垦区，分别为潜在地面塌陷土地复垦区（Ⅰ）、规划工业广场土地复垦区（Ⅱ）、废石堆场土地复垦区（Ⅲ）。</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由于当地降水量少且不均衡，矿区地下水类型主要为基岩裂隙水，埋深较深，含水层富水性弱，地下水资源不能被植被生长所利用。因此，本矿区对破坏了的土地资源复垦为原地貌，此复垦方向是基本可行的，比较适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潜在地面塌陷土地用表面覆土、播种草籽，恢复其土地原貌。为了安全起见，应在其周围设围栏、标识、截排洪工程等设施，比较适宜。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地面各建（构）筑物，包括工业场地的各种建（构）筑物、废石堆场等，此区域土地复垦只能在闭矿后实施，其方向是无用的全部拆除，清除固废、表面覆土、播种草籽，恢复其土地原貌。比较适宜。</w:t>
      </w:r>
    </w:p>
    <w:p>
      <w:pPr>
        <w:adjustRightInd w:val="0"/>
        <w:snapToGrid w:val="0"/>
        <w:spacing w:line="360" w:lineRule="auto"/>
        <w:outlineLvl w:val="3"/>
        <w:rPr>
          <w:rFonts w:hint="default" w:ascii="Times New Roman" w:hAnsi="Times New Roman" w:cs="Times New Roman"/>
          <w:color w:val="auto"/>
          <w:sz w:val="24"/>
          <w:szCs w:val="22"/>
        </w:rPr>
      </w:pPr>
      <w:bookmarkStart w:id="1267" w:name="_Toc17709481"/>
      <w:bookmarkStart w:id="1268" w:name="_Toc31742"/>
      <w:bookmarkStart w:id="1269" w:name="_Toc25609"/>
      <w:bookmarkStart w:id="1270" w:name="_Toc11207"/>
      <w:r>
        <w:rPr>
          <w:rFonts w:hint="default" w:ascii="Times New Roman" w:hAnsi="Times New Roman" w:cs="Times New Roman"/>
          <w:color w:val="auto"/>
          <w:sz w:val="24"/>
          <w:szCs w:val="22"/>
        </w:rPr>
        <w:t>6.1.4.6实施与监督的保证措施</w:t>
      </w:r>
      <w:bookmarkEnd w:id="1267"/>
      <w:bookmarkEnd w:id="1268"/>
      <w:bookmarkEnd w:id="1269"/>
      <w:bookmarkEnd w:id="127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（1）组织领导措施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目前国家规定，土地复垦工作由克州的国土管理部门负责，同级环保、水政、草原、林业等管理部门参与监督与协调，形成一个齐抓共管的社会氛围。环保部门的主要责任是：通过环评、环保工程验收、日常的环境监测与管理，监督建设单位按国家有关规定及环评中经批准的方向、方法、要求完成其以土地复垦为中心的生态保护工作。该矿区的土地复垦工作应由矿长负责具体监督及主持工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（2）管理措施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①抓好资金落实；</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②按经国土部门批准的土地复垦方案由建设单位负责，逐地、逐块落实，对土地复垦实行计划管理；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③坚持全面规划、分期实施、治理一片、见效一片；</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④加强复垦后的土地利用，保护工作。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（3）经费措施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土地复垦的措施费用按国家规定标准，从开采矿的成本中扣出，存入银行，专门用于土地复垦；</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（4）时限要求</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对于矿井的原有生态保护工作，主要是土地复垦工作要求矿井建设期完成，在工程竣工验收时予以检查。</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对于矿井建设期造成的土地挖损、占用等的土地复垦工作，必须在建成投产前与主体工程同步完成的项目，如临时占地必须在建设期完成。永久性占地的复垦可按不同情况要求在运营期及闭矿后完成，具体为：</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①要求矿井形成的塌陷区运营期逐步恢复，闭矿后最终完成土地复垦工作；</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②地面各建（构）筑物占地的生态恢复及土地复垦工作要求闭矿后完成；</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③矿区道路占地土地的复垦方向为恢复地貌及原使用功能，闭矿后完成。</w:t>
      </w:r>
    </w:p>
    <w:p>
      <w:pPr>
        <w:pStyle w:val="4"/>
        <w:keepLines/>
        <w:spacing w:line="360" w:lineRule="auto"/>
        <w:ind w:left="661" w:hanging="661" w:hangingChars="235"/>
        <w:jc w:val="both"/>
        <w:rPr>
          <w:rFonts w:hint="default" w:ascii="Times New Roman" w:hAnsi="Times New Roman" w:cs="Times New Roman"/>
          <w:color w:val="auto"/>
          <w:sz w:val="28"/>
          <w:szCs w:val="28"/>
        </w:rPr>
      </w:pPr>
      <w:bookmarkStart w:id="1271" w:name="_Toc8836385"/>
      <w:bookmarkStart w:id="1272" w:name="_Toc19855"/>
      <w:bookmarkStart w:id="1273" w:name="_Toc4604"/>
      <w:bookmarkStart w:id="1274" w:name="_Toc21948"/>
      <w:bookmarkStart w:id="1275" w:name="_Toc7999118"/>
      <w:bookmarkStart w:id="1276" w:name="_Toc3387"/>
      <w:bookmarkStart w:id="1277" w:name="_Toc17709311"/>
      <w:bookmarkStart w:id="1278" w:name="_Toc17709482"/>
      <w:bookmarkStart w:id="1279" w:name="_Toc32298"/>
      <w:r>
        <w:rPr>
          <w:rFonts w:hint="default" w:ascii="Times New Roman" w:hAnsi="Times New Roman" w:cs="Times New Roman"/>
          <w:color w:val="auto"/>
          <w:sz w:val="28"/>
          <w:szCs w:val="28"/>
        </w:rPr>
        <w:t>6.2环境污染防治及减缓措施</w:t>
      </w:r>
      <w:bookmarkEnd w:id="1271"/>
      <w:bookmarkEnd w:id="1272"/>
      <w:bookmarkEnd w:id="1273"/>
      <w:bookmarkEnd w:id="1274"/>
      <w:bookmarkEnd w:id="1275"/>
      <w:bookmarkEnd w:id="1276"/>
      <w:bookmarkEnd w:id="1277"/>
      <w:bookmarkEnd w:id="1278"/>
      <w:bookmarkEnd w:id="1279"/>
    </w:p>
    <w:p>
      <w:pPr>
        <w:pStyle w:val="5"/>
        <w:keepLines w:val="0"/>
        <w:spacing w:before="0" w:after="0" w:line="360" w:lineRule="auto"/>
        <w:rPr>
          <w:rFonts w:hint="default" w:ascii="Times New Roman" w:hAnsi="Times New Roman" w:cs="Times New Roman"/>
          <w:color w:val="auto"/>
          <w:sz w:val="24"/>
          <w:szCs w:val="24"/>
        </w:rPr>
      </w:pPr>
      <w:bookmarkStart w:id="1280" w:name="_Toc5104"/>
      <w:bookmarkStart w:id="1281" w:name="_Toc7999119"/>
      <w:bookmarkStart w:id="1282" w:name="_Toc2021"/>
      <w:bookmarkStart w:id="1283" w:name="_Toc21676"/>
      <w:bookmarkStart w:id="1284" w:name="_Toc26703"/>
      <w:bookmarkStart w:id="1285" w:name="_Toc17709483"/>
      <w:bookmarkStart w:id="1286" w:name="_Toc30395"/>
      <w:r>
        <w:rPr>
          <w:rFonts w:hint="default" w:ascii="Times New Roman" w:hAnsi="Times New Roman" w:cs="Times New Roman"/>
          <w:color w:val="auto"/>
          <w:sz w:val="24"/>
          <w:szCs w:val="24"/>
        </w:rPr>
        <w:t>6.2.1施工期污染防治措施</w:t>
      </w:r>
      <w:bookmarkEnd w:id="1280"/>
      <w:bookmarkEnd w:id="1281"/>
      <w:bookmarkEnd w:id="1282"/>
      <w:bookmarkEnd w:id="1283"/>
      <w:bookmarkEnd w:id="1284"/>
      <w:bookmarkEnd w:id="1285"/>
      <w:bookmarkEnd w:id="1286"/>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287" w:name="_Toc11998"/>
      <w:bookmarkStart w:id="1288" w:name="_Toc5419"/>
      <w:bookmarkStart w:id="1289" w:name="_Toc17709484"/>
      <w:bookmarkStart w:id="1290" w:name="_Toc25741"/>
      <w:r>
        <w:rPr>
          <w:rFonts w:hint="default" w:ascii="Times New Roman" w:hAnsi="Times New Roman" w:cs="Times New Roman"/>
          <w:color w:val="auto"/>
          <w:sz w:val="24"/>
          <w:szCs w:val="22"/>
        </w:rPr>
        <w:t>6.2.1.1大气污染防治措施</w:t>
      </w:r>
      <w:bookmarkEnd w:id="1287"/>
      <w:bookmarkEnd w:id="1288"/>
      <w:bookmarkEnd w:id="1289"/>
      <w:bookmarkEnd w:id="129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（1）作好施工组织规划工作，加强工地管理，严禁将建设施工材料乱堆乱放，尽量减少施工材料的临时堆放地，以减少施工扬尘；</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（2）加强运输调度管理，禁止车辆在非工作道路上到乱跑和到处碾压，尽可能保护原始地貌地面状态。对进入场区的交通要道路面经常清扫、修整，以保证道路畅通，减小扬尘污染；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（3）科学合理地进行施工组织设计，尽量少挖方，少填方，最大限度地保持原有地貌。施工结束后恢复施工迹地，对施工迹地和弃方进行合理平整、利用、清运，减少水土流失；</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（4）加强物料转运与使用过程中的管理，运输散装粉末状材料和清运建筑垃圾时使用专用车辆，进出施工场地的车辆应限速，机动车辆排放的尾气应满足标准要求；</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（5）在施工工作面，应制定洒水降尘制度，配套洒水设备；设置专人负责保洁工作，定期洒水，在大风日要加大洒水量和洒水次数；</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（6）工程在建设施工时，施工场界设置围挡，辅以现场洒水防尘，能有效地减小施工扬尘的影响范围。扬尘影响主要在下风向距离200m范围内，超标范围在下风向 100m 范围。</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采取上述措施后，施工扬尘对当地空气环境影响是可接受的，随施工结束而消失。</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291" w:name="_Toc24155"/>
      <w:bookmarkStart w:id="1292" w:name="_Toc7171"/>
      <w:bookmarkStart w:id="1293" w:name="_Toc16927"/>
      <w:bookmarkStart w:id="1294" w:name="_Toc17709485"/>
      <w:r>
        <w:rPr>
          <w:rFonts w:hint="default" w:ascii="Times New Roman" w:hAnsi="Times New Roman" w:cs="Times New Roman"/>
          <w:color w:val="auto"/>
          <w:sz w:val="24"/>
          <w:szCs w:val="22"/>
        </w:rPr>
        <w:t>6.2.1.2水污染防治措施</w:t>
      </w:r>
      <w:bookmarkEnd w:id="1291"/>
      <w:bookmarkEnd w:id="1292"/>
      <w:bookmarkEnd w:id="1293"/>
      <w:bookmarkEnd w:id="1294"/>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（1）加强管理，注意施工废水不可任意直接排放；</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（2）施工现场产生的建材洗涤废水主要来源于石料等建材的冲洗，主要污染物为 SS。在施工现场设置一座临时废水沉淀池，收集施工中排放的洗涤废水，经沉淀后仍可作为冲洗水和洗涤水的复用水，循环使用不外排，这样既可节约水资源，又可减轻对地表水环境的污染；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（3）在施工时，生活污水集中收集，经污水处理设施处理达标后，用于周边绿化及道路洒水降尘；</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（4）在施工期开拓修建巷道时产生的矿井涌水，经沉淀处理后部分用于施工生产、洒水降尘等，剩余涌水由洒水车运至项目周边及附近用于绿化。</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295" w:name="_Toc28613"/>
      <w:bookmarkStart w:id="1296" w:name="_Toc17709486"/>
      <w:bookmarkStart w:id="1297" w:name="_Toc239"/>
      <w:bookmarkStart w:id="1298" w:name="_Toc27977"/>
      <w:r>
        <w:rPr>
          <w:rFonts w:hint="default" w:ascii="Times New Roman" w:hAnsi="Times New Roman" w:cs="Times New Roman"/>
          <w:color w:val="auto"/>
          <w:sz w:val="24"/>
          <w:szCs w:val="22"/>
        </w:rPr>
        <w:t>6.2.1.3噪声污染防治措施</w:t>
      </w:r>
      <w:bookmarkEnd w:id="1295"/>
      <w:bookmarkEnd w:id="1296"/>
      <w:bookmarkEnd w:id="1297"/>
      <w:bookmarkEnd w:id="1298"/>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施工中应注意合理安排施工场地，科学的布局施工现场，合理安排施工作业时间；</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对施工机械设备噪声，施工方要采取有效的降噪措施，严格执行《建筑施工场地噪声排放标准》（GB12523-2011），控制施工噪声。同时，施工场地使用的机械应尽量满足表5.1-5所列的噪声达标控制距离。</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299" w:name="_Toc26585"/>
      <w:bookmarkStart w:id="1300" w:name="_Toc4245"/>
      <w:bookmarkStart w:id="1301" w:name="_Toc17709487"/>
      <w:bookmarkStart w:id="1302" w:name="_Toc16998"/>
      <w:r>
        <w:rPr>
          <w:rFonts w:hint="default" w:ascii="Times New Roman" w:hAnsi="Times New Roman" w:cs="Times New Roman"/>
          <w:color w:val="auto"/>
          <w:sz w:val="24"/>
          <w:szCs w:val="22"/>
        </w:rPr>
        <w:t>6.2.1.4固体废物防治措施</w:t>
      </w:r>
      <w:bookmarkEnd w:id="1299"/>
      <w:bookmarkEnd w:id="1300"/>
      <w:bookmarkEnd w:id="1301"/>
      <w:bookmarkEnd w:id="1302"/>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根据施工产生的工程垃圾和渣土的量，分类管理，可利用的渣土尽量在场内周转，就地利用，以防污染周围水体水质和影响周围环境卫生，具体为：井巷施工产生的废石可以作为井口工业场地平整及场内道路、外部道路路基的填料。地面场地平整、基础开挖产生的挖方可用于填方，不设取土场。多余弃方可集中排入设计划定的废石场内集中堆存，严禁乱排；</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（2）车辆运输散体物料和废弃物时，必须密闭、包扎、覆盖，不得沿途漏撒；运载土方的车辆必须在规定时间内，按指定路段行驶；</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（3）生活垃圾与建筑垃圾分开，在项目区设置生活垃圾箱进行集中收集，以免污染环境。将生活垃圾收集后，定期清运至距项目区25km的哈拉峻乡垃圾收集站。</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（4）在项目竣工以后，施工单位应立即拆除各种临时施工设施，并负责将工地的剩余建筑垃圾、工程渣土处理干净。</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经以上各项措施处理后，本项目施工产生的固体废物可得到妥善的处置，对周围环境影响是可以接受的。</w:t>
      </w:r>
    </w:p>
    <w:p>
      <w:pPr>
        <w:pStyle w:val="5"/>
        <w:keepLines w:val="0"/>
        <w:spacing w:before="0" w:after="0" w:line="360" w:lineRule="auto"/>
        <w:rPr>
          <w:rFonts w:hint="default" w:ascii="Times New Roman" w:hAnsi="Times New Roman" w:cs="Times New Roman"/>
          <w:color w:val="auto"/>
          <w:sz w:val="24"/>
          <w:szCs w:val="24"/>
        </w:rPr>
      </w:pPr>
      <w:bookmarkStart w:id="1303" w:name="_Toc32132"/>
      <w:bookmarkStart w:id="1304" w:name="_Toc7426"/>
      <w:bookmarkStart w:id="1305" w:name="_Toc7999120"/>
      <w:bookmarkStart w:id="1306" w:name="_Toc21894"/>
      <w:bookmarkStart w:id="1307" w:name="_Toc17709488"/>
      <w:bookmarkStart w:id="1308" w:name="_Toc16507"/>
      <w:bookmarkStart w:id="1309" w:name="_Toc9911"/>
      <w:r>
        <w:rPr>
          <w:rFonts w:hint="default" w:ascii="Times New Roman" w:hAnsi="Times New Roman" w:cs="Times New Roman"/>
          <w:color w:val="auto"/>
          <w:sz w:val="24"/>
          <w:szCs w:val="24"/>
        </w:rPr>
        <w:t>6.2.2运营期污染防治措施</w:t>
      </w:r>
      <w:bookmarkEnd w:id="1303"/>
      <w:bookmarkEnd w:id="1304"/>
      <w:bookmarkEnd w:id="1305"/>
      <w:bookmarkEnd w:id="1306"/>
      <w:bookmarkEnd w:id="1307"/>
      <w:bookmarkEnd w:id="1308"/>
      <w:bookmarkEnd w:id="1309"/>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310" w:name="_Toc3409"/>
      <w:bookmarkStart w:id="1311" w:name="_Toc12908"/>
      <w:bookmarkStart w:id="1312" w:name="_Toc18076"/>
      <w:bookmarkStart w:id="1313" w:name="_Toc17709489"/>
      <w:r>
        <w:rPr>
          <w:rFonts w:hint="default" w:ascii="Times New Roman" w:hAnsi="Times New Roman" w:cs="Times New Roman"/>
          <w:color w:val="auto"/>
          <w:sz w:val="24"/>
          <w:szCs w:val="22"/>
        </w:rPr>
        <w:t>6.2.2.1大气污染防治措施</w:t>
      </w:r>
      <w:bookmarkEnd w:id="1310"/>
      <w:bookmarkEnd w:id="1311"/>
      <w:bookmarkEnd w:id="1312"/>
      <w:bookmarkEnd w:id="1313"/>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本项目大气污染源及污染物主要有：采场排风井废气、矿山运输道路产生的汽车扬尘等。</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（1）采场排风井废气</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工程井下凿岩、钻孔、爆破、装运作业产生的粉尘等由回风井以废气的形式排出地表。为使井下作业环境满足卫生标准，项目采用湿式凿岩，爆破后矿岩的装载、运输、卸矿等生产过程和地点均采用洒水降尘。矿尘被水润湿后，尘粒间互相粘附凝聚成较大颗粒，增大尘粒与物体表面间的粘附力，从而在矿岩装运过程或受到振动和高速风流作用时，粉尘不易扬起。</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用水除尘在我国矿山已经获得了广泛应用，具有设备简单、使用方便、费用小、效果好等优点，是综合防尘的重要措施。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本项目采取的措施可使采场空气含尘浓度控制在1.0mg/m3以下，确保作业点有良好的空气环境，保证矿工的健康与安全。上述措施在各矿山广泛采用，效果显著，措施切实可行。</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井下抽出的废气经风井排放到大气，由前面工程分析的内容可知，矿井废气中的主要污染物浓度符合《铜镍钴工业污染物排放标准》（GB25467-2010）中的限值要求，可以直接排放，且对环境影响不大。</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（2）道路扬尘</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据有关资料统计，影响矿山运输路面起尘量与风速、路面岩土、汽车行驶速度等多方面，其中路面含湿量大小主要决定着道路扬尘量。</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有试验表明，在一般气象条件下，道路每天实施洒水抑尘作业4～5次，可使扬尘量减少70%左右，其扬尘造成的TSP污染距离可缩小到20～50m范围内。</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项目对运输道路扬尘的防治选用了洒水抑尘，设计配备1台洒水车对运输道路进行洒水，以抑制路面扬尘产生，视天气状况适当调整洒水频率和洒水量，使路面保持湿润。</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洒水抑尘简单易行、效果显著，但在设计和生产运行管理上必须对以下问题予以落实：</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①建立合理的洒水抑尘管理制度。项目实施后设专人负责组织这项工作，要随着气象条件的变化调整洒水频率，即在干燥炎热的天气适当增加洒水次数。</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②加强路面清扫，使路面保持清洁。</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③限制车速，车速在20km/h以下，可有效抑制粉尘的产生。</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314" w:name="_Toc15791"/>
      <w:bookmarkStart w:id="1315" w:name="_Toc7133"/>
      <w:bookmarkStart w:id="1316" w:name="_Toc6812"/>
      <w:bookmarkStart w:id="1317" w:name="_Toc17709490"/>
      <w:r>
        <w:rPr>
          <w:rFonts w:hint="default" w:ascii="Times New Roman" w:hAnsi="Times New Roman" w:cs="Times New Roman"/>
          <w:color w:val="auto"/>
          <w:sz w:val="24"/>
          <w:szCs w:val="22"/>
        </w:rPr>
        <w:t>6.2.2.2水环境污染防治措施</w:t>
      </w:r>
      <w:bookmarkEnd w:id="1314"/>
      <w:bookmarkEnd w:id="1315"/>
      <w:bookmarkEnd w:id="1316"/>
      <w:bookmarkEnd w:id="1317"/>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项目涌水主要来自裂隙渗水和湿式凿岩废水，用水量为50m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/d，其主要污染成分为SS，浓度约为340-500mg/L，且不含任何有毒物质，经沉淀澄清即可满足矿井生产用水综合利用及矿区周边绿化用水。</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项目设计在矿体井口附近设计建设容积为200m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防渗高位水池。矿井涌水由水泵送至高位水池，经高位水池沉淀处理满足《污水综合排放标准》（GB8978-1996）二级标准后，全部回用于矿井生产用水、洒水降尘综合利用，剩余的涌水由洒水车运至矿区周边绿化。</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（1）矿井涌水</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①项目正常涌水量为50m</w:t>
      </w:r>
      <w:r>
        <w:rPr>
          <w:rFonts w:hint="default" w:ascii="Times New Roman" w:hAnsi="Times New Roman" w:cs="Times New Roman"/>
          <w:color w:val="auto"/>
          <w:kern w:val="28"/>
          <w:sz w:val="24"/>
          <w:vertAlign w:val="superscript"/>
        </w:rPr>
        <w:t>3</w:t>
      </w:r>
      <w:r>
        <w:rPr>
          <w:rFonts w:hint="default" w:ascii="Times New Roman" w:hAnsi="Times New Roman" w:cs="Times New Roman"/>
          <w:color w:val="auto"/>
          <w:kern w:val="28"/>
          <w:sz w:val="24"/>
        </w:rPr>
        <w:t>/d，经沉淀处理达到</w:t>
      </w:r>
      <w:r>
        <w:rPr>
          <w:rFonts w:hint="default" w:ascii="Times New Roman" w:hAnsi="Times New Roman" w:cs="Times New Roman"/>
          <w:color w:val="auto"/>
          <w:sz w:val="24"/>
        </w:rPr>
        <w:t>《污水综合排放标准》（GB8978-1996）二级标准</w:t>
      </w:r>
      <w:r>
        <w:rPr>
          <w:rFonts w:hint="default" w:ascii="Times New Roman" w:hAnsi="Times New Roman" w:cs="Times New Roman"/>
          <w:color w:val="auto"/>
          <w:kern w:val="28"/>
          <w:sz w:val="24"/>
        </w:rPr>
        <w:t>后，全部用于井下生产、爆破降尘等及矿区周边绿化等，进行综合利用不外排；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28"/>
          <w:sz w:val="24"/>
        </w:rPr>
        <w:t>②矿井涌水回用可行性分析：项目矿井涌水主要污染物为悬浮物和岩屑等，浓度为300～500mg/L，且不含其它有毒物质。根据相关资料，矿井涌水经沉淀12小时后，悬浮物去除率可达50%，即可满足涌水水质的悬浮物含量≤300mg/L（</w:t>
      </w:r>
      <w:r>
        <w:rPr>
          <w:rFonts w:hint="default" w:ascii="Times New Roman" w:hAnsi="Times New Roman" w:cs="Times New Roman"/>
          <w:color w:val="auto"/>
          <w:sz w:val="24"/>
        </w:rPr>
        <w:t>《污水综合排放标准》（GB8978-1996）二级标准的要求</w:t>
      </w:r>
      <w:r>
        <w:rPr>
          <w:rFonts w:hint="default" w:ascii="Times New Roman" w:hAnsi="Times New Roman" w:cs="Times New Roman"/>
          <w:color w:val="auto"/>
          <w:kern w:val="28"/>
          <w:sz w:val="24"/>
        </w:rPr>
        <w:t>），因此本项目设计矿井涌水由水泵送至高位水池沉淀10-12小时后，可达到（《</w:t>
      </w:r>
      <w:r>
        <w:rPr>
          <w:rFonts w:hint="default" w:ascii="Times New Roman" w:hAnsi="Times New Roman" w:cs="Times New Roman"/>
          <w:color w:val="auto"/>
          <w:sz w:val="24"/>
        </w:rPr>
        <w:t>污水综合排放标准》（GB8978-1996）二级标准限值要求。</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sz w:val="24"/>
        </w:rPr>
        <w:t>项目所在区域为干旱少雨，矿井涌水水质简单其主要污染物因子为SS，经沉淀处理后即可满足矿井的生产用水、及矿区周边绿化用水的水质要求。</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项目矿井涌水经沉淀处理后回用于采矿生产、道路降尘等，既可实现节约水资源的开采量，提高水资源的综合利用率，又能降低运行费用，经济合理可行。</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③防排水安全措施：</w:t>
      </w:r>
    </w:p>
    <w:p>
      <w:pPr>
        <w:adjustRightInd w:val="0"/>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28"/>
          <w:sz w:val="24"/>
        </w:rPr>
        <w:t>a、根据矿山各矿体的实际情况，</w:t>
      </w:r>
      <w:r>
        <w:rPr>
          <w:rFonts w:hint="default" w:ascii="Times New Roman" w:hAnsi="Times New Roman" w:cs="Times New Roman"/>
          <w:color w:val="auto"/>
          <w:sz w:val="24"/>
        </w:rPr>
        <w:t>设计各矿体中段平巷设3‰坡度，并在巷道一侧设排水沟，坑内涌水及凿岩废水经1630m平硐内所设排水排至地表集中水仓。</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b、对地面可能通向井下的裂缝、洞穴等均应及时地用泥浆、粘土或水泥砂浆等堵塞，对报废的井巷也必须妥善封闭；</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c、泵房和配电室的位置应高于水仓标高0.45m 以上。</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④非生产期矿井涌水</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非开采停产期间，委托采矿厂留守人员，定时用洒水车将矿井涌水运至项目区周边用于绿化。</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a、矿区年降雨量38.4mm，年蒸发量为3164.2mm，降雨量小，蒸发强烈，属于干旱缺雨区，矿井涌水用于项目区周边绿化，可改善项目区周边生态缺水现象，促使项目区生态环境良性发展；</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b、项目区内到</w:t>
      </w:r>
      <w:r>
        <w:rPr>
          <w:rFonts w:hint="eastAsia" w:ascii="Times New Roman" w:hAnsi="Times New Roman" w:cs="Times New Roman"/>
          <w:color w:val="auto"/>
          <w:sz w:val="24"/>
          <w:lang w:eastAsia="zh-CN"/>
        </w:rPr>
        <w:t>选矿厂</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15</w:t>
      </w:r>
      <w:r>
        <w:rPr>
          <w:rFonts w:hint="default" w:ascii="Times New Roman" w:hAnsi="Times New Roman" w:cs="Times New Roman"/>
          <w:color w:val="auto"/>
          <w:sz w:val="24"/>
        </w:rPr>
        <w:t>km，周边绿化可完全消纳项目区开采及非开采期间的矿井涌水量。</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（2）生活污水</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项目区设生活办公区，项目的生活污水经污水处理设施处理达标后，用于周边绿化及道路洒水降尘。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项目矿井涌水经沉淀处理后综合利用，不外排；生活污水经污水处理设施处理达标后，用于厂区周边绿化及道路洒水降尘，因此项目的矿井涌水、生活废水不会对矿区及周边水环境产生影响。</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（3）防洪措施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在废石场四周设置截排水沟，可对雨洪水进行导流，避免造成对废石场的冲刷，对防治雨洪水的冲刷防治是较为适宜的。工业场地上游及两侧设排洪沟，保证工业场地安全。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（4）地表水污染防控措施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本项目主要生产废水为矿井涌水，用水量</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/d。项目矿井涌水经沉淀处理后，进行综合利用不外排，因此不会对</w:t>
      </w:r>
      <w:r>
        <w:rPr>
          <w:rFonts w:hint="eastAsia" w:ascii="Times New Roman" w:hAnsi="Times New Roman" w:cs="Times New Roman"/>
          <w:color w:val="auto"/>
          <w:sz w:val="24"/>
          <w:lang w:eastAsia="zh-CN"/>
        </w:rPr>
        <w:t>项目区水环境</w:t>
      </w:r>
      <w:r>
        <w:rPr>
          <w:rFonts w:hint="default" w:ascii="Times New Roman" w:hAnsi="Times New Roman" w:cs="Times New Roman"/>
          <w:color w:val="auto"/>
          <w:sz w:val="24"/>
        </w:rPr>
        <w:t>产生影响。</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318" w:name="_Toc24662"/>
      <w:bookmarkStart w:id="1319" w:name="_Toc17709491"/>
      <w:bookmarkStart w:id="1320" w:name="_Toc22202"/>
      <w:bookmarkStart w:id="1321" w:name="_Toc10714"/>
      <w:r>
        <w:rPr>
          <w:rFonts w:hint="default" w:ascii="Times New Roman" w:hAnsi="Times New Roman" w:cs="Times New Roman"/>
          <w:color w:val="auto"/>
          <w:sz w:val="24"/>
          <w:szCs w:val="22"/>
        </w:rPr>
        <w:t>6.2.2.3声环境污染防治措施</w:t>
      </w:r>
      <w:bookmarkEnd w:id="1318"/>
      <w:bookmarkEnd w:id="1319"/>
      <w:bookmarkEnd w:id="1320"/>
      <w:bookmarkEnd w:id="1321"/>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本工程设备主要噪声源为空压机、凿岩机、装载机、运输车辆等运行时产生的噪声，井采生产设备设置在矿井内部 ，产生的噪声经地层隔声后，不会影响到地表的声环境。</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（1）设备噪声</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在满足生产工艺要求的前提条件下，从设备选型上尽量选用质量好、技术先进低噪声设备。</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采用消声、隔声、减振等措施。如风机、空压机等应安装隔音罩、消音器等，使降噪效果 达到10～20dB(A)。设置隔声操作间，降噪效果约5～20dB(A)。</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对凿岩机等气流噪声采用加装消声器等措施，禁止私下拆下消声器。</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对设备及时保养和维修，使设备处于良好的技术状态。</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在噪声传播途径上采取措施加以控制，在对强噪声源采用封闭式控制室。</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对无法采取措施的作业场所又必须接触高噪声的人员必须佩戴隔声耳罩、耳塞、头盔等，并尽量减少接触强噪声的时间，加强个人防护。</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（2）爆破噪声</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爆破噪声的声级较高，瞬时源强高达115dB(A) 左右，井下开采爆破时，由于有岩层阻隔，传到地表后的声级也降低到55dB(A)左右，再经距离衰减、空气吸收等的衰减作用后，对矿区边界的声环境影响较小。通过合理安排放炮时间，采取定时集中爆破，对周边环境影响较小。</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（3）交通噪声</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为减轻交通噪声对企业员工的影响，应将运输安排在白天进行，禁止夜间运输，运输时应慢行、禁止鸣笛，以减少交通噪声影响。</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本项目所采取的噪声污染防治措施为目前通用的、易操作、效果较好的措施，经济合理可行。矿区边界噪声可以达到《工业企业厂界环境噪声排放标准》(GB12348-2008)中 2类标准的限值要求。</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322" w:name="_Toc17709492"/>
      <w:bookmarkStart w:id="1323" w:name="_Toc28889"/>
      <w:bookmarkStart w:id="1324" w:name="_Toc25466"/>
      <w:bookmarkStart w:id="1325" w:name="_Toc2774"/>
      <w:r>
        <w:rPr>
          <w:rFonts w:hint="default" w:ascii="Times New Roman" w:hAnsi="Times New Roman" w:cs="Times New Roman"/>
          <w:color w:val="auto"/>
          <w:sz w:val="24"/>
          <w:szCs w:val="22"/>
        </w:rPr>
        <w:t>6.2.2.4固体废物污染防治措施</w:t>
      </w:r>
      <w:bookmarkEnd w:id="1322"/>
      <w:bookmarkEnd w:id="1323"/>
      <w:bookmarkEnd w:id="1324"/>
      <w:bookmarkEnd w:id="1325"/>
    </w:p>
    <w:p>
      <w:pPr>
        <w:autoSpaceDE w:val="0"/>
        <w:autoSpaceDN w:val="0"/>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（1）废石防治措施</w:t>
      </w:r>
    </w:p>
    <w:p>
      <w:pPr>
        <w:autoSpaceDE w:val="0"/>
        <w:autoSpaceDN w:val="0"/>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①废石</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项目开采期废石量为36t/d（9000t/a），废石密度为2.7t/m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，松散系数均为1.4，则废石体积为3333.3m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/a，项目服务年限为4.38a，在整个服务年限内废石量为14599.9m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。本项目建</w:t>
      </w:r>
      <w:r>
        <w:rPr>
          <w:rFonts w:hint="default" w:ascii="Times New Roman" w:hAnsi="Times New Roman" w:cs="Times New Roman"/>
          <w:color w:val="auto"/>
          <w:sz w:val="24"/>
          <w:lang w:eastAsia="zh-CN"/>
        </w:rPr>
        <w:t>一</w:t>
      </w:r>
      <w:r>
        <w:rPr>
          <w:rFonts w:hint="default" w:ascii="Times New Roman" w:hAnsi="Times New Roman" w:cs="Times New Roman"/>
          <w:color w:val="auto"/>
          <w:sz w:val="24"/>
        </w:rPr>
        <w:t>座废石堆放场，废石堆放场布置在</w:t>
      </w:r>
      <w:r>
        <w:rPr>
          <w:rFonts w:hint="default" w:ascii="Times New Roman" w:hAnsi="Times New Roman" w:cs="Times New Roman"/>
          <w:color w:val="auto"/>
          <w:sz w:val="24"/>
          <w:lang w:eastAsia="zh-CN"/>
        </w:rPr>
        <w:t>矿部生活区东部约</w:t>
      </w:r>
      <w:r>
        <w:rPr>
          <w:rFonts w:hint="default" w:ascii="Times New Roman" w:hAnsi="Times New Roman" w:cs="Times New Roman"/>
          <w:color w:val="auto"/>
          <w:sz w:val="24"/>
          <w:lang w:val="en-US" w:eastAsia="zh-CN"/>
        </w:rPr>
        <w:t>200m处，</w:t>
      </w:r>
      <w:r>
        <w:rPr>
          <w:rFonts w:hint="default" w:ascii="Times New Roman" w:hAnsi="Times New Roman" w:eastAsia="宋体" w:cs="Times New Roman"/>
          <w:color w:val="auto"/>
          <w:sz w:val="24"/>
        </w:rPr>
        <w:t>项目开采期废石量为36t/d（9000t/a），废石密度为2.7t/m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，松散系数均为1.4，则废石体积为3333.3m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/a，项目服务年限为4.38a，在整个服务年限内废石量为14599.9m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。废石</w:t>
      </w:r>
      <w:r>
        <w:rPr>
          <w:rFonts w:hint="default" w:ascii="Times New Roman" w:hAnsi="Times New Roman" w:eastAsia="宋体" w:cs="Times New Roman"/>
          <w:color w:val="auto"/>
          <w:sz w:val="24"/>
          <w:lang w:eastAsia="zh-CN"/>
        </w:rPr>
        <w:t>堆放</w:t>
      </w:r>
      <w:r>
        <w:rPr>
          <w:rFonts w:hint="default" w:ascii="Times New Roman" w:hAnsi="Times New Roman" w:eastAsia="宋体" w:cs="Times New Roman"/>
          <w:color w:val="auto"/>
          <w:sz w:val="24"/>
        </w:rPr>
        <w:t>场</w:t>
      </w:r>
      <w:r>
        <w:rPr>
          <w:rFonts w:hint="default" w:ascii="Times New Roman" w:hAnsi="Times New Roman" w:eastAsia="宋体" w:cs="Times New Roman"/>
          <w:color w:val="auto"/>
          <w:sz w:val="24"/>
          <w:lang w:eastAsia="zh-CN"/>
        </w:rPr>
        <w:t>规格为</w:t>
      </w:r>
      <w:r>
        <w:rPr>
          <w:rFonts w:hint="default"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占地面积</w:t>
      </w:r>
      <w:r>
        <w:rPr>
          <w:rFonts w:hint="default" w:ascii="Times New Roman" w:hAnsi="Times New Roman" w:eastAsia="宋体" w:cs="Times New Roman"/>
          <w:color w:val="auto"/>
          <w:sz w:val="24"/>
          <w:lang w:val="en-US" w:eastAsia="zh-CN"/>
        </w:rPr>
        <w:t>4000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容积</w:t>
      </w:r>
      <w:r>
        <w:rPr>
          <w:rFonts w:hint="default" w:ascii="Times New Roman" w:hAnsi="Times New Roman" w:eastAsia="宋体" w:cs="Times New Roman"/>
          <w:color w:val="auto"/>
          <w:sz w:val="24"/>
          <w:lang w:val="en-US" w:eastAsia="zh-CN"/>
        </w:rPr>
        <w:t>1.8万</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lang w:val="en-US" w:eastAsia="zh-CN"/>
        </w:rPr>
        <w:t>，可满足废石堆放需要。</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综上，项目废石的综合利用率＞20％。</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28"/>
          <w:sz w:val="24"/>
        </w:rPr>
        <w:t>②</w:t>
      </w:r>
      <w:r>
        <w:rPr>
          <w:rFonts w:hint="default" w:ascii="Times New Roman" w:hAnsi="Times New Roman" w:cs="Times New Roman"/>
          <w:color w:val="auto"/>
          <w:sz w:val="24"/>
        </w:rPr>
        <w:t>废石堆场污染防治措施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a、废石场周围设置完整的排水系统，上游及两侧完善截排洪工程，堆放时要控制高度；</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b、在废石场四周修筑拦石坝。拦石坝采用浆砌块石砌筑；</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采用自上而下逐层放缓台阶形边坡。各平台还应有2%～3%的逆坡，使场内雨水流向坡脚处（平台眉线与山坡交汇线）的排水沟，然后汇入场外沟渠一并外排。在场地地势较陡的地段要局部挖出台阶，以利于废石的稳定安息。</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（2）针对生活垃圾，本环评要求生活垃圾应进行集中堆放，统一处置，要做到减量化，生活垃圾经收集后定期清运至达坂城区柴窝堡乡垃圾收集站。生活垃圾不得任意丢弃，影响矿区的环境。</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sz w:val="24"/>
        </w:rPr>
        <w:t>（3）</w:t>
      </w:r>
      <w:r>
        <w:rPr>
          <w:rFonts w:hint="default" w:ascii="Times New Roman" w:hAnsi="Times New Roman" w:cs="Times New Roman"/>
          <w:color w:val="auto"/>
          <w:kern w:val="28"/>
          <w:sz w:val="24"/>
        </w:rPr>
        <w:t>项目运营过程会产生废机油，属于危险废物(HW08)，来源于工程机械和大型设备润滑，产生量约为0.5t/a。</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本评价要求项目在建设阶段，根据《危险废物贮存污染控制标准》(GB18957-2001)及修改单中有关规定，危险废物在矿区机修间内存放期间，使用完好无损容器盛装；用以存放装置危险废物容器的地方，必须有耐腐蚀的硬化地面，且表面无裂痕。储存容器上必须粘贴该标准中规定的危险废物标签；容器材质与危险废物本身相容(不相互反应)；厂内设置临时安全存放场所，基础做防渗，防渗层为至少1m粘土层（渗透系数小于等于10</w:t>
      </w:r>
      <w:r>
        <w:rPr>
          <w:rFonts w:hint="default" w:ascii="Times New Roman" w:hAnsi="Times New Roman" w:cs="Times New Roman"/>
          <w:color w:val="auto"/>
          <w:kern w:val="28"/>
          <w:sz w:val="24"/>
          <w:vertAlign w:val="superscript"/>
        </w:rPr>
        <w:t xml:space="preserve"> -7</w:t>
      </w:r>
      <w:r>
        <w:rPr>
          <w:rFonts w:hint="default" w:ascii="Times New Roman" w:hAnsi="Times New Roman" w:cs="Times New Roman"/>
          <w:color w:val="auto"/>
          <w:kern w:val="28"/>
          <w:sz w:val="24"/>
        </w:rPr>
        <w:t>cm/s）。</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危险废物贮存容器应满足：</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①使用符合标准的容器盛装危险废物；应定期对暂时贮存危险废物包装及设施进行检查，发现破损，及时采取措施清理更换；</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②装载危险废物的容器及材质要满足相应的强度要求；</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③装载危险废物的容器必须完好无损；</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④盛装危险废物的容器材质和衬里要与危险废物相容，不相互反应。危险废物堆放场所选址、平面布置、设计原则及危险废物的堆放要求等，必须满足 (GB18597-2001) 的要求。危险废物贮存仓库必须按(GB15562.2)的规定设置警示标志，周围应设置围墙或其它防护栅栏，配备通讯设备、照明设施、安全防护服装及工具，并设有应急防护设施。对于危险废物的运输和转移，应根 据《危险废物收集、贮存、运输技术规范》以及《危险废物转移联单管理办法》(国家环境保护总局令第5号)等：</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①企业应按国家有关规定办理危险废物申报转移的“五联单”手续，并在贮运过程中严格执行危险化学品贮存、运输和监管的有关规定。产废单位在转移危险废物前，应当向克州环保局及自治区环保厅报送危险废物转移计划；经批准后，领取并填写危险废物转移联单。产废单位应当在危险废物转移前3日内报告移出地环保部门，并同时将预期到达时间报告接受地环保部门；</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②从事收集、利用处置危险废物 经营活动的单位应当具备与其经营活动相应的资格，禁止产废单位将危险废物提供或者委托给无经营许可证的单位；</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③所有危险废物均应按类在专用密闭容器中储存，并按规定贴标签。不得混装，废物收集和封装容器应得到接收企业及当环保部门的认可。收集的危废应详细列出数量和成分，并填写有关材料；</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④应指定专人负责危废的收集、 运管理工作，运输车辆的司机和押运人员应经专业培训。</w:t>
      </w:r>
    </w:p>
    <w:p>
      <w:pPr>
        <w:spacing w:line="360" w:lineRule="auto"/>
        <w:ind w:firstLine="480" w:firstLineChars="200"/>
        <w:rPr>
          <w:rFonts w:hint="default" w:ascii="Times New Roman" w:hAnsi="Times New Roman" w:cs="Times New Roman"/>
          <w:color w:val="auto"/>
          <w:kern w:val="28"/>
          <w:sz w:val="24"/>
        </w:rPr>
      </w:pPr>
      <w:r>
        <w:rPr>
          <w:rFonts w:hint="default" w:ascii="Times New Roman" w:hAnsi="Times New Roman" w:cs="Times New Roman"/>
          <w:color w:val="auto"/>
          <w:kern w:val="28"/>
          <w:sz w:val="24"/>
        </w:rPr>
        <w:t>落实上述固废处置措施后，固废对环境影响很小，固废处置措施可行。</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326" w:name="_Toc27258"/>
      <w:bookmarkStart w:id="1327" w:name="_Toc12167"/>
      <w:bookmarkStart w:id="1328" w:name="_Toc1961"/>
      <w:bookmarkStart w:id="1329" w:name="_Toc17709493"/>
      <w:r>
        <w:rPr>
          <w:rFonts w:hint="default" w:ascii="Times New Roman" w:hAnsi="Times New Roman" w:cs="Times New Roman"/>
          <w:color w:val="auto"/>
          <w:sz w:val="24"/>
          <w:szCs w:val="22"/>
        </w:rPr>
        <w:t>6.2.2.5地质灾害事故的预防与治理</w:t>
      </w:r>
      <w:bookmarkEnd w:id="1326"/>
      <w:bookmarkEnd w:id="1327"/>
      <w:bookmarkEnd w:id="1328"/>
      <w:bookmarkEnd w:id="132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根据矿山地质灾害产生机制、发展演化规律、危险性、危害方式、危害对象和危害程度以及矿山开采活动特点，针对矿区可能出现的崩塌、滑坡、泥石流和地面塌陷灾害，提出如下防治方案。</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（1）崩塌治理方案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在对崩塌威胁区边较陡处进行削坡减重、清理危岩，在采场境界外设置截水沟，消除其崩塌隐患。崩塌威胁区周围设置永久性铁丝围栏和警示牌，严禁人员、车辆靠近采场边缘地段，禁止人员进入采场内活动。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（2）泥石流治理方案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矿区山坡地形较为开阔易于排泄，岩层倾向与山坡倾向相反，岩层中软弱结构面不发育，由此矿区内滑坡、泥石流不发育。为了降低滑坡泥石流发生的可能，应定期对沟谷中的松散堆积物进行分层压实，同时在废石堆下方修建拦石坝，并且在雨季加强对冲沟的监测，避免泥石流的发生危及项目区及工作人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（3）废石场滑坡防治方案。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开采期间采取措施增强废石场坡脚稳定性，设计在其下方修建拦渣坝；在其上方修建截水沟。拦渣坝、截水沟的具体设置方案，建议矿方请专业队伍进行勘查、设计、施工，以确保拦石坝、截水沟设计的科学合理、施工质量安全可靠。并且严格控制其堆放坡度在30°之内。闭矿期废石场的废石进行分层（形成台阶状）、压实、平整、覆土、绿化，恢复植被，使其与周围地貌相协调。</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（4）地面塌陷防治方案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矿山为地下井工开采，在开采过程中将形成采空区。针对可能出现的地面塌陷灾害，在预测地面塌陷危险区外围设立铁丝围栏和警示牌，严禁人员、车辆靠近地面塌陷危险区，严禁在其上修建工程设施，严禁在其上堆放废渣石、机械、材料等物资。除采取上述措施外，对地面塌陷危险区暂不采取其他治理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采矿过程中建立地面塌陷变形监测网，定期对采空区进行监测。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闭矿后用水泥或废石封闭所有井巷及平硐口，并且对铁丝围栏及警示标志进行加固处理。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（5）制定地质灾害监测方案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①地面塌陷隐患区监测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a、每个月1次对地下开拓采矿巷道及采矿工程的进展情况进行监测。监测的项目包括采空区范围、开采深度、采空区顶底板状况等；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b、每个月1次对地面塌陷隐患区进行巡视监测。检查地表的变形情况，若发生地面塌陷，还需对塌陷的变化发展情况进行监测；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c、每个月1次采取人工巡视检查的方式，对围栏、警示牌的完好情况进行监测，发现问题及时上报，作好设施的维护工作。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②塌隐患点监测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雨季时或地震、爆破后加强监测崩塌隐患点危岩体的移动情况，及时预警避绕、清除坡面危石。</w:t>
      </w:r>
    </w:p>
    <w:p>
      <w:pPr>
        <w:pStyle w:val="5"/>
        <w:tabs>
          <w:tab w:val="left" w:pos="567"/>
        </w:tabs>
        <w:spacing w:before="0" w:after="0" w:line="360" w:lineRule="auto"/>
        <w:ind w:left="566" w:hanging="566" w:hangingChars="235"/>
        <w:rPr>
          <w:rFonts w:hint="default" w:ascii="Times New Roman" w:hAnsi="Times New Roman" w:cs="Times New Roman"/>
          <w:color w:val="auto"/>
          <w:sz w:val="24"/>
        </w:rPr>
      </w:pPr>
      <w:bookmarkStart w:id="1330" w:name="_Toc17709494"/>
      <w:bookmarkStart w:id="1331" w:name="_Toc15573"/>
      <w:bookmarkStart w:id="1332" w:name="_Toc28062"/>
      <w:bookmarkStart w:id="1333" w:name="_Toc7999121"/>
      <w:bookmarkStart w:id="1334" w:name="_Toc5024"/>
      <w:bookmarkStart w:id="1335" w:name="_Toc5341"/>
      <w:bookmarkStart w:id="1336" w:name="_Toc6514"/>
      <w:r>
        <w:rPr>
          <w:rFonts w:hint="default" w:ascii="Times New Roman" w:hAnsi="Times New Roman" w:cs="Times New Roman"/>
          <w:color w:val="auto"/>
          <w:sz w:val="24"/>
        </w:rPr>
        <w:t>6.2.3闭矿期污染防治措施</w:t>
      </w:r>
      <w:bookmarkEnd w:id="1330"/>
      <w:bookmarkEnd w:id="1331"/>
      <w:bookmarkEnd w:id="1332"/>
      <w:bookmarkEnd w:id="1333"/>
      <w:bookmarkEnd w:id="1334"/>
      <w:bookmarkEnd w:id="1335"/>
      <w:bookmarkEnd w:id="1336"/>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轻矿山开采对区域生态环境的影响，要求按照边开采边恢复、终止采矿活动时必须恢复治理的原则，要做到预防为主，针对存在的问题，制定出预防措施，对生产中出现的问题要及时采取相应的措施予以解决，达到防灾、减灾的目的。</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预留矿山恢复资金，闭矿后的资金问题是该期环境影响的关键，其资金因来源于开发利用该区域的生产企业，因此，企业对闭矿后的环境保护承担完全义务，在采矿运营阶段，应对闭矿后的环保资金预提，留足环保治理费用，用以矿山开采期满后的生态工程建设工作，使被挖损的和堆填的土地恢复其本来功能，使矿山开发对区域生态的影响控制在一定的范围内，保持区域生态环境的平衡。具体额度由设计部门核审。预留资金应设立专用账户，由相关部门监督使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（2）开采结束即闭矿后的主要影响为采空区和废石场，区域地形地貌发生较大变化，同时也存在采空区地表塌陷崩塌流等隐患，为减缓矿区闭矿后的影响，提出如下措施：</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①项目闭场后，要求对废石场进行压实，对危险的边坡进行堆砌加固，防止滑塌伤人、畜或野生动物，表层用保存的表层剥离物覆盖播种草籽进行复绿；</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②在采空区和废石场等可能诱发的坍塌、塌陷、滑坡、泥石流的区域外围设立多文字的警示标志和防护网，禁止靠近；</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③在矿区范围入口处设置标识，提示进入矿区的危险性；</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④闭矿期合理控制好废石堆场的堆高，超高的应采取削坡处理，同时实行分台阶堆存，每一台阶宽度应在2m以上，台阶边坡坡度小于35º。</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（3）建筑物、构筑物拆除</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①拆除后期不需要的建筑物、构筑物；</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②保留集水池等设施，以便生态管理人员能加以利用；</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③拆除矿山所有生产、生活设施，全场整理，自然恢复植被；</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闭矿后及时进行环境恢复治理和土地复垦工作尽可能恢复矿区环境和土地使用功能，保持矿山环境与周边生态环境相协调。</w:t>
      </w:r>
    </w:p>
    <w:bookmarkEnd w:id="1161"/>
    <w:bookmarkEnd w:id="1162"/>
    <w:bookmarkEnd w:id="1163"/>
    <w:bookmarkEnd w:id="1164"/>
    <w:bookmarkEnd w:id="1165"/>
    <w:bookmarkEnd w:id="1166"/>
    <w:bookmarkEnd w:id="1167"/>
    <w:bookmarkEnd w:id="1168"/>
    <w:bookmarkEnd w:id="1169"/>
    <w:p>
      <w:pPr>
        <w:autoSpaceDE w:val="0"/>
        <w:autoSpaceDN w:val="0"/>
        <w:spacing w:line="360" w:lineRule="auto"/>
        <w:jc w:val="center"/>
        <w:rPr>
          <w:rFonts w:hint="default" w:ascii="Times New Roman" w:hAnsi="Times New Roman" w:cs="Times New Roman"/>
          <w:bCs/>
          <w:color w:val="auto"/>
          <w:sz w:val="24"/>
        </w:rPr>
      </w:pPr>
      <w:bookmarkStart w:id="1337" w:name="_Toc172698661"/>
      <w:bookmarkStart w:id="1338" w:name="_Toc179522814"/>
      <w:bookmarkStart w:id="1339" w:name="_Toc180891772"/>
      <w:bookmarkStart w:id="1340" w:name="_Toc187800035"/>
      <w:bookmarkStart w:id="1341" w:name="_Toc170869063"/>
      <w:bookmarkStart w:id="1342" w:name="_Toc170970659"/>
      <w:bookmarkStart w:id="1343" w:name="_Toc245882769"/>
      <w:bookmarkStart w:id="1344" w:name="_Toc179653273"/>
    </w:p>
    <w:p>
      <w:pPr>
        <w:autoSpaceDE w:val="0"/>
        <w:autoSpaceDN w:val="0"/>
        <w:spacing w:line="360" w:lineRule="auto"/>
        <w:jc w:val="center"/>
        <w:rPr>
          <w:rFonts w:hint="default" w:ascii="Times New Roman" w:hAnsi="Times New Roman" w:cs="Times New Roman"/>
          <w:bCs/>
          <w:color w:val="auto"/>
          <w:sz w:val="24"/>
        </w:rPr>
      </w:pPr>
    </w:p>
    <w:p>
      <w:pPr>
        <w:autoSpaceDE w:val="0"/>
        <w:autoSpaceDN w:val="0"/>
        <w:spacing w:line="360" w:lineRule="auto"/>
        <w:jc w:val="center"/>
        <w:rPr>
          <w:rFonts w:hint="default" w:ascii="Times New Roman" w:hAnsi="Times New Roman" w:cs="Times New Roman"/>
          <w:bCs/>
          <w:color w:val="auto"/>
          <w:sz w:val="24"/>
        </w:rPr>
      </w:pPr>
    </w:p>
    <w:p>
      <w:pPr>
        <w:pageBreakBefore/>
        <w:spacing w:line="360" w:lineRule="auto"/>
        <w:jc w:val="center"/>
        <w:outlineLvl w:val="0"/>
        <w:rPr>
          <w:rFonts w:hint="default" w:ascii="Times New Roman" w:hAnsi="Times New Roman" w:cs="Times New Roman"/>
          <w:b/>
          <w:color w:val="auto"/>
          <w:sz w:val="30"/>
          <w:szCs w:val="30"/>
        </w:rPr>
      </w:pPr>
      <w:bookmarkStart w:id="1345" w:name="_Toc10077_WPSOffice_Level2"/>
      <w:bookmarkStart w:id="1346" w:name="_Toc18499"/>
      <w:bookmarkStart w:id="1347" w:name="_Toc7999122"/>
      <w:bookmarkStart w:id="1348" w:name="_Toc8836386"/>
      <w:bookmarkStart w:id="1349" w:name="_Toc23432"/>
      <w:bookmarkStart w:id="1350" w:name="_Toc7999158"/>
      <w:bookmarkStart w:id="1351" w:name="_Toc17709312"/>
      <w:bookmarkStart w:id="1352" w:name="_Toc17709495"/>
      <w:r>
        <w:rPr>
          <w:rFonts w:hint="default" w:ascii="Times New Roman" w:hAnsi="Times New Roman" w:cs="Times New Roman"/>
          <w:b/>
          <w:color w:val="auto"/>
          <w:sz w:val="30"/>
          <w:szCs w:val="30"/>
        </w:rPr>
        <w:t>7 环境经济损益分析</w:t>
      </w:r>
      <w:bookmarkEnd w:id="1345"/>
      <w:bookmarkEnd w:id="1346"/>
      <w:bookmarkEnd w:id="1347"/>
      <w:bookmarkEnd w:id="1348"/>
      <w:bookmarkEnd w:id="1349"/>
      <w:bookmarkEnd w:id="1350"/>
      <w:bookmarkEnd w:id="1351"/>
      <w:bookmarkEnd w:id="1352"/>
    </w:p>
    <w:p>
      <w:pPr>
        <w:pStyle w:val="4"/>
        <w:spacing w:line="360" w:lineRule="auto"/>
        <w:ind w:left="0" w:firstLine="0"/>
        <w:jc w:val="both"/>
        <w:rPr>
          <w:rFonts w:hint="default" w:ascii="Times New Roman" w:hAnsi="Times New Roman" w:cs="Times New Roman"/>
          <w:bCs w:val="0"/>
          <w:color w:val="auto"/>
          <w:sz w:val="28"/>
          <w:szCs w:val="28"/>
        </w:rPr>
      </w:pPr>
      <w:bookmarkStart w:id="1353" w:name="_Toc8836387"/>
      <w:bookmarkStart w:id="1354" w:name="_Toc7999123"/>
      <w:bookmarkStart w:id="1355" w:name="_Toc14110"/>
      <w:bookmarkStart w:id="1356" w:name="_Toc25042"/>
      <w:bookmarkStart w:id="1357" w:name="_Toc14066"/>
      <w:bookmarkStart w:id="1358" w:name="_Toc17709313"/>
      <w:bookmarkStart w:id="1359" w:name="_Toc17709496"/>
      <w:bookmarkStart w:id="1360" w:name="_Toc13508"/>
      <w:r>
        <w:rPr>
          <w:rFonts w:hint="default" w:ascii="Times New Roman" w:hAnsi="Times New Roman" w:cs="Times New Roman"/>
          <w:bCs w:val="0"/>
          <w:color w:val="auto"/>
          <w:sz w:val="28"/>
          <w:szCs w:val="28"/>
        </w:rPr>
        <w:t>7.1目的和意义</w:t>
      </w:r>
      <w:bookmarkEnd w:id="1353"/>
      <w:bookmarkEnd w:id="1354"/>
      <w:bookmarkEnd w:id="1355"/>
      <w:bookmarkEnd w:id="1356"/>
      <w:bookmarkEnd w:id="1357"/>
      <w:bookmarkEnd w:id="1358"/>
      <w:bookmarkEnd w:id="1359"/>
      <w:bookmarkEnd w:id="136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由于属于黑色金属采选行业，本项目是一个污染型及生态影响型兼有的工程，它的建设在一定程度上给周围环境质量带来一些负面影响，特别是对生态环境所造成的影响，因此有必要进行经济效益、社会效益、环境效益的综合分析，使项目的建设论证更加充分可靠，工程的设计和实施更加完善，以实现社会的良性发展、经济的持续增长和环境质量的保持与改善。</w:t>
      </w:r>
    </w:p>
    <w:p>
      <w:pPr>
        <w:pStyle w:val="4"/>
        <w:spacing w:line="360" w:lineRule="auto"/>
        <w:ind w:left="0" w:firstLine="0"/>
        <w:jc w:val="both"/>
        <w:rPr>
          <w:rFonts w:hint="default" w:ascii="Times New Roman" w:hAnsi="Times New Roman" w:cs="Times New Roman"/>
          <w:bCs w:val="0"/>
          <w:color w:val="auto"/>
          <w:sz w:val="28"/>
          <w:szCs w:val="28"/>
        </w:rPr>
      </w:pPr>
      <w:bookmarkStart w:id="1361" w:name="_Toc3085"/>
      <w:bookmarkStart w:id="1362" w:name="_Toc7999124"/>
      <w:bookmarkStart w:id="1363" w:name="_Toc17709314"/>
      <w:bookmarkStart w:id="1364" w:name="_Toc17709497"/>
      <w:bookmarkStart w:id="1365" w:name="_Toc2361"/>
      <w:bookmarkStart w:id="1366" w:name="_Toc2302"/>
      <w:bookmarkStart w:id="1367" w:name="_Toc8836388"/>
      <w:bookmarkStart w:id="1368" w:name="_Toc25723"/>
      <w:r>
        <w:rPr>
          <w:rFonts w:hint="default" w:ascii="Times New Roman" w:hAnsi="Times New Roman" w:cs="Times New Roman"/>
          <w:bCs w:val="0"/>
          <w:color w:val="auto"/>
          <w:sz w:val="28"/>
          <w:szCs w:val="28"/>
        </w:rPr>
        <w:t>7.2经济效益</w:t>
      </w:r>
      <w:bookmarkEnd w:id="1361"/>
      <w:bookmarkEnd w:id="1362"/>
      <w:bookmarkEnd w:id="1363"/>
      <w:bookmarkEnd w:id="1364"/>
      <w:bookmarkEnd w:id="1365"/>
      <w:bookmarkEnd w:id="1366"/>
      <w:bookmarkEnd w:id="1367"/>
      <w:bookmarkEnd w:id="1368"/>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该项目设计采矿规模6万t/a。设计地下开采。</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项目建设期1年，理论生产期为8.97年（前期处理氧化矿2.74年，后期处理原生矿6.23年），在项目计算期内，盈利能力指标详见表7.1-1。</w:t>
      </w:r>
    </w:p>
    <w:p>
      <w:pPr>
        <w:spacing w:before="260" w:line="200" w:lineRule="exact"/>
        <w:ind w:left="840" w:leftChars="400" w:firstLine="210" w:firstLineChars="100"/>
        <w:jc w:val="left"/>
        <w:rPr>
          <w:rFonts w:hint="default" w:ascii="Times New Roman" w:hAnsi="Times New Roman" w:cs="Times New Roman"/>
          <w:color w:val="auto"/>
          <w:sz w:val="24"/>
        </w:rPr>
      </w:pPr>
      <w:r>
        <w:rPr>
          <w:rFonts w:hint="default" w:ascii="Times New Roman" w:hAnsi="Times New Roman" w:eastAsia="黑体" w:cs="Times New Roman"/>
          <w:color w:val="auto"/>
          <w:szCs w:val="21"/>
        </w:rPr>
        <w:t xml:space="preserve">表7.1-1                  项目盈利能力指标表   </w:t>
      </w:r>
      <w:r>
        <w:rPr>
          <w:rFonts w:hint="default" w:ascii="Times New Roman" w:hAnsi="Times New Roman" w:cs="Times New Roman"/>
          <w:color w:val="auto"/>
          <w:sz w:val="24"/>
        </w:rPr>
        <w:t xml:space="preserve">         </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4"/>
        <w:gridCol w:w="2673"/>
        <w:gridCol w:w="781"/>
        <w:gridCol w:w="1305"/>
        <w:gridCol w:w="1538"/>
        <w:gridCol w:w="16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序号</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指标名称</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单位</w:t>
            </w:r>
          </w:p>
        </w:tc>
        <w:tc>
          <w:tcPr>
            <w:tcW w:w="1666" w:type="pct"/>
            <w:gridSpan w:val="2"/>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指   标</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投资净利润率</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w:t>
            </w:r>
          </w:p>
        </w:tc>
        <w:tc>
          <w:tcPr>
            <w:tcW w:w="1666" w:type="pct"/>
            <w:gridSpan w:val="2"/>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15.68</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平均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2</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总投资收益率</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w:t>
            </w:r>
          </w:p>
        </w:tc>
        <w:tc>
          <w:tcPr>
            <w:tcW w:w="1666" w:type="pct"/>
            <w:gridSpan w:val="2"/>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20.90</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平均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3</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资本金净利润率</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w:t>
            </w:r>
          </w:p>
        </w:tc>
        <w:tc>
          <w:tcPr>
            <w:tcW w:w="1666" w:type="pct"/>
            <w:gridSpan w:val="2"/>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15.68</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平均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4</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融资前（全部投资）</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p>
        </w:tc>
        <w:tc>
          <w:tcPr>
            <w:tcW w:w="765"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所得税前</w:t>
            </w:r>
          </w:p>
        </w:tc>
        <w:tc>
          <w:tcPr>
            <w:tcW w:w="902"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所得税后</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kern w:val="144"/>
                <w:szCs w:val="21"/>
              </w:rPr>
              <w:t>4.1</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财务内部收益率</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w:t>
            </w:r>
          </w:p>
        </w:tc>
        <w:tc>
          <w:tcPr>
            <w:tcW w:w="765"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21.96</w:t>
            </w:r>
          </w:p>
        </w:tc>
        <w:tc>
          <w:tcPr>
            <w:tcW w:w="902"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13.99</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kern w:val="144"/>
                <w:szCs w:val="21"/>
              </w:rPr>
              <w:t>4.2</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财务净现值（Ic=10%）</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万元</w:t>
            </w:r>
          </w:p>
        </w:tc>
        <w:tc>
          <w:tcPr>
            <w:tcW w:w="765"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6528.72</w:t>
            </w:r>
          </w:p>
        </w:tc>
        <w:tc>
          <w:tcPr>
            <w:tcW w:w="902"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1767.49</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360"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kern w:val="144"/>
                <w:szCs w:val="21"/>
              </w:rPr>
              <w:t>4.3</w:t>
            </w:r>
          </w:p>
        </w:tc>
        <w:tc>
          <w:tcPr>
            <w:tcW w:w="1567"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投资回收期</w:t>
            </w:r>
          </w:p>
        </w:tc>
        <w:tc>
          <w:tcPr>
            <w:tcW w:w="458"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年</w:t>
            </w:r>
          </w:p>
        </w:tc>
        <w:tc>
          <w:tcPr>
            <w:tcW w:w="765"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5.50</w:t>
            </w:r>
          </w:p>
        </w:tc>
        <w:tc>
          <w:tcPr>
            <w:tcW w:w="902"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6.25</w:t>
            </w:r>
          </w:p>
        </w:tc>
        <w:tc>
          <w:tcPr>
            <w:tcW w:w="949" w:type="pct"/>
            <w:noWrap w:val="0"/>
            <w:vAlign w:val="center"/>
          </w:tcPr>
          <w:p>
            <w:pPr>
              <w:spacing w:line="240" w:lineRule="exact"/>
              <w:jc w:val="center"/>
              <w:rPr>
                <w:rFonts w:hint="default" w:ascii="Times New Roman" w:hAnsi="Times New Roman" w:cs="Times New Roman"/>
                <w:color w:val="auto"/>
                <w:kern w:val="144"/>
                <w:szCs w:val="21"/>
              </w:rPr>
            </w:pPr>
            <w:r>
              <w:rPr>
                <w:rFonts w:hint="default" w:ascii="Times New Roman" w:hAnsi="Times New Roman" w:cs="Times New Roman"/>
                <w:color w:val="auto"/>
                <w:szCs w:val="21"/>
              </w:rPr>
              <w:t>含建设期1年</w:t>
            </w:r>
          </w:p>
        </w:tc>
      </w:tr>
    </w:tbl>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本项目的各项经济指标均佳，投资收益率20.9%，税后投资回收期仅为5.5 年，可以满足矿井开采基准投资回收期的要求，表明该项目有良好的盈利能力；财务净现值为1767.49万元。可见该项目经济效益良好，生产经营期具备较强的抗风险能力，企业财务评价可行。</w:t>
      </w:r>
    </w:p>
    <w:p>
      <w:pPr>
        <w:pStyle w:val="4"/>
        <w:spacing w:line="360" w:lineRule="auto"/>
        <w:ind w:left="0" w:firstLine="0"/>
        <w:jc w:val="both"/>
        <w:rPr>
          <w:rFonts w:hint="default" w:ascii="Times New Roman" w:hAnsi="Times New Roman" w:cs="Times New Roman"/>
          <w:bCs w:val="0"/>
          <w:color w:val="auto"/>
          <w:sz w:val="24"/>
        </w:rPr>
      </w:pPr>
      <w:bookmarkStart w:id="1369" w:name="_Toc14780"/>
      <w:bookmarkStart w:id="1370" w:name="_Toc17709315"/>
      <w:bookmarkStart w:id="1371" w:name="_Toc9846"/>
      <w:bookmarkStart w:id="1372" w:name="_Toc3924"/>
      <w:bookmarkStart w:id="1373" w:name="_Toc10948"/>
      <w:bookmarkStart w:id="1374" w:name="_Toc17709498"/>
      <w:bookmarkStart w:id="1375" w:name="_Toc8836389"/>
      <w:bookmarkStart w:id="1376" w:name="_Toc7999125"/>
      <w:r>
        <w:rPr>
          <w:rFonts w:hint="default" w:ascii="Times New Roman" w:hAnsi="Times New Roman" w:cs="Times New Roman"/>
          <w:bCs w:val="0"/>
          <w:color w:val="auto"/>
          <w:sz w:val="24"/>
        </w:rPr>
        <w:t>7.3环境效益分析</w:t>
      </w:r>
      <w:bookmarkEnd w:id="1369"/>
      <w:bookmarkEnd w:id="1370"/>
      <w:bookmarkEnd w:id="1371"/>
      <w:bookmarkEnd w:id="1372"/>
      <w:bookmarkEnd w:id="1373"/>
      <w:bookmarkEnd w:id="1374"/>
      <w:bookmarkEnd w:id="1375"/>
      <w:bookmarkEnd w:id="1376"/>
    </w:p>
    <w:p>
      <w:pPr>
        <w:pStyle w:val="5"/>
        <w:keepLines w:val="0"/>
        <w:spacing w:before="0" w:after="0" w:line="360" w:lineRule="auto"/>
        <w:rPr>
          <w:rFonts w:hint="default" w:ascii="Times New Roman" w:hAnsi="Times New Roman" w:cs="Times New Roman"/>
          <w:bCs w:val="0"/>
          <w:color w:val="auto"/>
          <w:sz w:val="24"/>
          <w:szCs w:val="24"/>
        </w:rPr>
      </w:pPr>
      <w:bookmarkStart w:id="1377" w:name="_Toc8964"/>
      <w:bookmarkStart w:id="1378" w:name="_Toc26399"/>
      <w:bookmarkStart w:id="1379" w:name="_Toc21188"/>
      <w:bookmarkStart w:id="1380" w:name="_Toc7999126"/>
      <w:bookmarkStart w:id="1381" w:name="_Toc18497"/>
      <w:bookmarkStart w:id="1382" w:name="_Toc17709499"/>
      <w:r>
        <w:rPr>
          <w:rFonts w:hint="default" w:ascii="Times New Roman" w:hAnsi="Times New Roman" w:cs="Times New Roman"/>
          <w:bCs w:val="0"/>
          <w:color w:val="auto"/>
          <w:sz w:val="24"/>
          <w:szCs w:val="24"/>
        </w:rPr>
        <w:t>7.3.1环境效益分析</w:t>
      </w:r>
      <w:bookmarkEnd w:id="1377"/>
      <w:bookmarkEnd w:id="1378"/>
      <w:bookmarkEnd w:id="1379"/>
      <w:bookmarkEnd w:id="1380"/>
      <w:bookmarkEnd w:id="1381"/>
      <w:bookmarkEnd w:id="1382"/>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尽管本项目采取了比较完善的环境保护措施，但投入运行后仍然存在“三废”和噪声排放，因此，对周围环境空气、地面水、地下水、声环境、生态环境质量会带来一定程度的负面影响。但在采用设计和环评提出的完善的污染治理方案、生态恢复措施和资源综合利用方案后，项目开发建设对生态环境、声环境和局部环境空气的影响较小，实现了环境效益、社会效益和经济效益的统一。</w:t>
      </w:r>
    </w:p>
    <w:p>
      <w:pPr>
        <w:pStyle w:val="5"/>
        <w:keepLines w:val="0"/>
        <w:spacing w:before="0" w:after="0" w:line="360" w:lineRule="auto"/>
        <w:rPr>
          <w:rFonts w:hint="default" w:ascii="Times New Roman" w:hAnsi="Times New Roman" w:cs="Times New Roman"/>
          <w:bCs w:val="0"/>
          <w:color w:val="auto"/>
          <w:sz w:val="24"/>
          <w:szCs w:val="24"/>
        </w:rPr>
      </w:pPr>
      <w:bookmarkStart w:id="1383" w:name="_Toc17709500"/>
      <w:bookmarkStart w:id="1384" w:name="_Toc16364"/>
      <w:bookmarkStart w:id="1385" w:name="_Toc20664"/>
      <w:bookmarkStart w:id="1386" w:name="_Toc17356"/>
      <w:bookmarkStart w:id="1387" w:name="_Toc9887"/>
      <w:bookmarkStart w:id="1388" w:name="_Toc7999127"/>
      <w:r>
        <w:rPr>
          <w:rFonts w:hint="default" w:ascii="Times New Roman" w:hAnsi="Times New Roman" w:cs="Times New Roman"/>
          <w:bCs w:val="0"/>
          <w:color w:val="auto"/>
          <w:sz w:val="24"/>
          <w:szCs w:val="24"/>
        </w:rPr>
        <w:t>7.3.2环保投资估算</w:t>
      </w:r>
      <w:bookmarkEnd w:id="1383"/>
      <w:bookmarkEnd w:id="1384"/>
      <w:bookmarkEnd w:id="1385"/>
      <w:bookmarkEnd w:id="1386"/>
      <w:bookmarkEnd w:id="1387"/>
      <w:bookmarkEnd w:id="1388"/>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提出的环境保护措施、环境污染防治对策措施、环境管理计划、施工期环境监理计划及环境监测计划等，估算本工程在基建期和生产期预防、治理生态破坏、污染有关的植被恢复工程、环保设施等，具体估算结果见表7.3-1。</w:t>
      </w:r>
    </w:p>
    <w:p>
      <w:pPr>
        <w:spacing w:before="260" w:line="200" w:lineRule="exact"/>
        <w:ind w:left="840"/>
        <w:jc w:val="left"/>
        <w:rPr>
          <w:rFonts w:hint="default" w:ascii="Times New Roman" w:hAnsi="Times New Roman" w:cs="Times New Roman"/>
          <w:color w:val="auto"/>
          <w:szCs w:val="21"/>
        </w:rPr>
      </w:pPr>
      <w:r>
        <w:rPr>
          <w:rFonts w:hint="default" w:ascii="Times New Roman" w:hAnsi="Times New Roman" w:eastAsia="黑体" w:cs="Times New Roman"/>
          <w:color w:val="auto"/>
          <w:szCs w:val="21"/>
        </w:rPr>
        <w:t>表7.3-1                  本项目环保投资估算表</w:t>
      </w:r>
    </w:p>
    <w:tbl>
      <w:tblPr>
        <w:tblStyle w:val="7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955"/>
        <w:gridCol w:w="1854"/>
        <w:gridCol w:w="3875"/>
        <w:gridCol w:w="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工程类别</w:t>
            </w:r>
          </w:p>
        </w:tc>
        <w:tc>
          <w:tcPr>
            <w:tcW w:w="560"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w:t>
            </w:r>
            <w:r>
              <w:rPr>
                <w:rFonts w:hint="default" w:ascii="Times New Roman" w:hAnsi="Times New Roman" w:eastAsia="宋体" w:cs="Times New Roman"/>
                <w:color w:val="auto"/>
                <w:szCs w:val="21"/>
              </w:rPr>
              <w:br w:type="textWrapping"/>
            </w:r>
            <w:r>
              <w:rPr>
                <w:rFonts w:hint="default" w:ascii="Times New Roman" w:hAnsi="Times New Roman" w:eastAsia="宋体" w:cs="Times New Roman"/>
                <w:color w:val="auto"/>
                <w:szCs w:val="21"/>
              </w:rPr>
              <w:t>类别</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环保措施</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施工期</w:t>
            </w: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扬尘</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道路运输粉尘</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运输车辆加盖篷布、并对运输道路定时定量洒水</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工业场地基建、道路建设、网购开挖</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定期洒水，严禁大风天气施工作业</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临时堆场</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定期洒水，及时清运，严禁露天堆放，加盖防尘设施</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切割设施</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设置简易声屏障</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水泵等</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加装减震材料等</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优先将废石用于工业场地及道路基建，剩余废石暂存于废石堆场</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建筑垃圾</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定期清运至项目区附近采矿场，用于平整废弃矿坑</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运营期</w:t>
            </w: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道路运输粉尘</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运输道路配备洒水车，定时定量洒水</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矿石装卸粉尘</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装卸场地洒水</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ind w:left="100"/>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井下开采粉尘</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井下湿式凿岩、机械通风、喷雾洒水、洗壁等抑尘措施</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地下涌水</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通过防渗沉淀池，地下涌水全部回用用于生产。 </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风机</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安装消声器，放置于专有设备间</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ind w:left="320"/>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空压机</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设置隔声罩、消声器、房间隔声等措施</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周围设拦渣坝、排水沟</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560" w:type="pct"/>
            <w:vMerge w:val="continue"/>
            <w:noWrap w:val="0"/>
            <w:vAlign w:val="center"/>
          </w:tcPr>
          <w:p>
            <w:pPr>
              <w:spacing w:line="240" w:lineRule="exact"/>
              <w:ind w:firstLine="210" w:firstLineChars="100"/>
              <w:jc w:val="center"/>
              <w:rPr>
                <w:rFonts w:hint="default" w:ascii="Times New Roman" w:hAnsi="Times New Roman" w:eastAsia="宋体" w:cs="Times New Roman"/>
                <w:color w:val="auto"/>
                <w:szCs w:val="21"/>
              </w:rPr>
            </w:pPr>
          </w:p>
        </w:tc>
        <w:tc>
          <w:tcPr>
            <w:tcW w:w="1087"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设置废机油收集池</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闭矿期</w:t>
            </w:r>
          </w:p>
        </w:tc>
        <w:tc>
          <w:tcPr>
            <w:tcW w:w="1647" w:type="pct"/>
            <w:gridSpan w:val="2"/>
            <w:vMerge w:val="restart"/>
            <w:noWrap w:val="0"/>
            <w:vAlign w:val="center"/>
          </w:tcPr>
          <w:p>
            <w:pPr>
              <w:spacing w:line="240" w:lineRule="exact"/>
              <w:ind w:firstLine="315" w:firstLineChars="1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生态保护与恢复措施</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设立警示标牌，禁止围、追、捕、猎野生动物</w:t>
            </w:r>
          </w:p>
        </w:tc>
        <w:tc>
          <w:tcPr>
            <w:tcW w:w="449"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647" w:type="pct"/>
            <w:gridSpan w:val="2"/>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井口工业场地两侧及上游设截排水沟，防止水土流失和地质灾害的发生；设置截排水沟</w:t>
            </w:r>
          </w:p>
        </w:tc>
        <w:tc>
          <w:tcPr>
            <w:tcW w:w="449" w:type="pct"/>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99" w:hRule="atLeast"/>
          <w:jc w:val="center"/>
        </w:trPr>
        <w:tc>
          <w:tcPr>
            <w:tcW w:w="633" w:type="pct"/>
            <w:vMerge w:val="continue"/>
            <w:noWrap w:val="0"/>
            <w:vAlign w:val="center"/>
          </w:tcPr>
          <w:p>
            <w:pPr>
              <w:spacing w:line="240" w:lineRule="exact"/>
              <w:jc w:val="center"/>
              <w:rPr>
                <w:rFonts w:hint="default" w:ascii="Times New Roman" w:hAnsi="Times New Roman" w:eastAsia="宋体" w:cs="Times New Roman"/>
                <w:color w:val="auto"/>
                <w:szCs w:val="21"/>
              </w:rPr>
            </w:pPr>
          </w:p>
        </w:tc>
        <w:tc>
          <w:tcPr>
            <w:tcW w:w="1647" w:type="pct"/>
            <w:gridSpan w:val="2"/>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生态保护与恢复措施</w:t>
            </w:r>
          </w:p>
        </w:tc>
        <w:tc>
          <w:tcPr>
            <w:tcW w:w="2272" w:type="pct"/>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井口封堵完整，采取遮挡和防护措施，设立警示牌；错动区使用废石充填，设置围栏、警示牌及修筑相应截排洪工程；</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废石场进行削坡开级，坡面平整、压实；</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所有地面建筑拆除，清除固废，平整场地，恢复其土地原貌。</w:t>
            </w: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2280" w:type="pct"/>
            <w:gridSpan w:val="3"/>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272" w:type="pct"/>
            <w:noWrap w:val="0"/>
            <w:vAlign w:val="center"/>
          </w:tcPr>
          <w:p>
            <w:pPr>
              <w:spacing w:line="240" w:lineRule="exact"/>
              <w:jc w:val="center"/>
              <w:rPr>
                <w:rFonts w:hint="default" w:ascii="Times New Roman" w:hAnsi="Times New Roman" w:eastAsia="宋体" w:cs="Times New Roman"/>
                <w:color w:val="auto"/>
                <w:szCs w:val="21"/>
              </w:rPr>
            </w:pPr>
          </w:p>
        </w:tc>
        <w:tc>
          <w:tcPr>
            <w:tcW w:w="44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196</w:t>
            </w:r>
          </w:p>
        </w:tc>
      </w:tr>
    </w:tbl>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对于表7.3-1的环境保护投资，本项目的环境保护一次性投资为196元，本项目建设投资为2699.13万元，环保投资比列为1.8%。</w:t>
      </w:r>
    </w:p>
    <w:p>
      <w:pPr>
        <w:pStyle w:val="5"/>
        <w:keepLines w:val="0"/>
        <w:spacing w:before="0" w:after="0" w:line="360" w:lineRule="auto"/>
        <w:rPr>
          <w:rFonts w:hint="default" w:ascii="Times New Roman" w:hAnsi="Times New Roman" w:cs="Times New Roman"/>
          <w:bCs w:val="0"/>
          <w:color w:val="auto"/>
          <w:sz w:val="24"/>
          <w:szCs w:val="24"/>
        </w:rPr>
      </w:pPr>
      <w:bookmarkStart w:id="1389" w:name="_Toc12855"/>
      <w:bookmarkStart w:id="1390" w:name="_Toc27873"/>
      <w:bookmarkStart w:id="1391" w:name="_Toc7999128"/>
      <w:bookmarkStart w:id="1392" w:name="_Toc17709501"/>
      <w:bookmarkStart w:id="1393" w:name="_Toc29033"/>
      <w:bookmarkStart w:id="1394" w:name="_Toc17481"/>
      <w:r>
        <w:rPr>
          <w:rFonts w:hint="default" w:ascii="Times New Roman" w:hAnsi="Times New Roman" w:cs="Times New Roman"/>
          <w:bCs w:val="0"/>
          <w:color w:val="auto"/>
          <w:sz w:val="24"/>
          <w:szCs w:val="24"/>
        </w:rPr>
        <w:t>7.3.</w:t>
      </w:r>
      <w:r>
        <w:rPr>
          <w:rFonts w:hint="default"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rPr>
        <w:t>社会效益分析</w:t>
      </w:r>
      <w:bookmarkEnd w:id="1389"/>
      <w:bookmarkEnd w:id="1390"/>
      <w:bookmarkEnd w:id="1391"/>
      <w:bookmarkEnd w:id="1392"/>
      <w:bookmarkEnd w:id="1393"/>
      <w:bookmarkEnd w:id="1394"/>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本项目建成后，产生的社会效益主要表现为以下几个方面：</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（1）项目建成后，可充分利用当地矿物资源，有利于带动当地相关企业的发展，符合国家的产业政策和环保政策，能促进当地经济的可持续发展。</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项目投产后，对临时性劳动力的需求增加，可解决当地部分人员就业，提高居民收入，有利于改善人民生活质量，维护社会稳定，也为当地发展交通运输和第三产业提供了商机。总之，从长远的角度来看，本项目将资源优势转化为经济优势，具有较好的社会效益。</w:t>
      </w: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bCs/>
          <w:color w:val="auto"/>
          <w:sz w:val="24"/>
        </w:rPr>
      </w:pPr>
    </w:p>
    <w:p>
      <w:pPr>
        <w:autoSpaceDE w:val="0"/>
        <w:autoSpaceDN w:val="0"/>
        <w:spacing w:line="360" w:lineRule="auto"/>
        <w:ind w:firstLine="480" w:firstLineChars="200"/>
        <w:rPr>
          <w:rFonts w:hint="default" w:ascii="Times New Roman" w:hAnsi="Times New Roman" w:cs="Times New Roman"/>
          <w:bCs/>
          <w:color w:val="auto"/>
          <w:sz w:val="24"/>
        </w:rPr>
      </w:pPr>
    </w:p>
    <w:p>
      <w:pPr>
        <w:autoSpaceDE w:val="0"/>
        <w:autoSpaceDN w:val="0"/>
        <w:spacing w:line="360" w:lineRule="auto"/>
        <w:ind w:firstLine="480" w:firstLineChars="200"/>
        <w:rPr>
          <w:rFonts w:hint="default" w:ascii="Times New Roman" w:hAnsi="Times New Roman" w:cs="Times New Roman"/>
          <w:bCs/>
          <w:color w:val="auto"/>
          <w:sz w:val="24"/>
        </w:rPr>
      </w:pPr>
    </w:p>
    <w:p>
      <w:pPr>
        <w:autoSpaceDE w:val="0"/>
        <w:autoSpaceDN w:val="0"/>
        <w:spacing w:line="360" w:lineRule="auto"/>
        <w:ind w:firstLine="480" w:firstLineChars="200"/>
        <w:rPr>
          <w:rFonts w:hint="default" w:ascii="Times New Roman" w:hAnsi="Times New Roman" w:cs="Times New Roman"/>
          <w:bCs/>
          <w:color w:val="auto"/>
          <w:sz w:val="24"/>
        </w:rPr>
      </w:pPr>
    </w:p>
    <w:p>
      <w:pPr>
        <w:autoSpaceDE w:val="0"/>
        <w:autoSpaceDN w:val="0"/>
        <w:spacing w:line="360" w:lineRule="auto"/>
        <w:ind w:firstLine="480" w:firstLineChars="200"/>
        <w:rPr>
          <w:rFonts w:hint="default" w:ascii="Times New Roman" w:hAnsi="Times New Roman" w:cs="Times New Roman"/>
          <w:bCs/>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bookmarkStart w:id="1395" w:name="_Toc7999159"/>
      <w:bookmarkStart w:id="1396" w:name="_Toc11719_WPSOffice_Level2"/>
      <w:bookmarkStart w:id="1397" w:name="_Toc26566"/>
      <w:bookmarkStart w:id="1398" w:name="_Toc8836390"/>
      <w:bookmarkStart w:id="1399" w:name="_Toc7999129"/>
      <w:bookmarkStart w:id="1400" w:name="_Toc11955"/>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pageBreakBefore/>
        <w:spacing w:line="360" w:lineRule="auto"/>
        <w:jc w:val="center"/>
        <w:outlineLvl w:val="0"/>
        <w:rPr>
          <w:rFonts w:hint="default" w:ascii="Times New Roman" w:hAnsi="Times New Roman" w:cs="Times New Roman"/>
          <w:b/>
          <w:color w:val="auto"/>
          <w:sz w:val="30"/>
          <w:szCs w:val="30"/>
        </w:rPr>
      </w:pPr>
      <w:bookmarkStart w:id="1401" w:name="_Toc17709502"/>
      <w:bookmarkStart w:id="1402" w:name="_Toc17709316"/>
      <w:r>
        <w:rPr>
          <w:rFonts w:hint="default" w:ascii="Times New Roman" w:hAnsi="Times New Roman" w:cs="Times New Roman"/>
          <w:b/>
          <w:color w:val="auto"/>
          <w:sz w:val="30"/>
          <w:szCs w:val="30"/>
        </w:rPr>
        <w:t>8  环境管理与环境监测</w:t>
      </w:r>
      <w:bookmarkEnd w:id="1395"/>
      <w:bookmarkEnd w:id="1396"/>
      <w:bookmarkEnd w:id="1397"/>
      <w:bookmarkEnd w:id="1398"/>
      <w:bookmarkEnd w:id="1399"/>
      <w:bookmarkEnd w:id="1400"/>
      <w:bookmarkEnd w:id="1401"/>
      <w:bookmarkEnd w:id="1402"/>
    </w:p>
    <w:p>
      <w:pPr>
        <w:pStyle w:val="4"/>
        <w:spacing w:line="360" w:lineRule="auto"/>
        <w:ind w:left="0" w:firstLine="0"/>
        <w:jc w:val="both"/>
        <w:rPr>
          <w:rFonts w:hint="default" w:ascii="Times New Roman" w:hAnsi="Times New Roman" w:cs="Times New Roman"/>
          <w:bCs w:val="0"/>
          <w:color w:val="auto"/>
          <w:sz w:val="28"/>
          <w:szCs w:val="28"/>
        </w:rPr>
      </w:pPr>
      <w:bookmarkStart w:id="1403" w:name="_Toc5346"/>
      <w:bookmarkStart w:id="1404" w:name="_Toc8836391"/>
      <w:bookmarkStart w:id="1405" w:name="_Toc714"/>
      <w:bookmarkStart w:id="1406" w:name="_Toc7999130"/>
      <w:bookmarkStart w:id="1407" w:name="_Toc17709317"/>
      <w:bookmarkStart w:id="1408" w:name="_Toc17709503"/>
      <w:bookmarkStart w:id="1409" w:name="_Toc26152"/>
      <w:bookmarkStart w:id="1410" w:name="_Toc19683"/>
      <w:r>
        <w:rPr>
          <w:rFonts w:hint="default" w:ascii="Times New Roman" w:hAnsi="Times New Roman" w:cs="Times New Roman"/>
          <w:bCs w:val="0"/>
          <w:color w:val="auto"/>
          <w:sz w:val="28"/>
          <w:szCs w:val="28"/>
        </w:rPr>
        <w:t>8.1环境管理工作</w:t>
      </w:r>
      <w:bookmarkEnd w:id="1403"/>
      <w:bookmarkEnd w:id="1404"/>
      <w:bookmarkEnd w:id="1405"/>
      <w:bookmarkEnd w:id="1406"/>
      <w:bookmarkEnd w:id="1407"/>
      <w:bookmarkEnd w:id="1408"/>
      <w:bookmarkEnd w:id="1409"/>
      <w:bookmarkEnd w:id="1410"/>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 中华人民共和国环境保护法》和中华人民共和国国务院令第682号《建设项目环境保护管理条例》，建设单位必须把环境保护工作纳入计划，建立环境保护责任制度，采取有效措施，防止环境破坏。</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立环境管理和环境监控机构，其目的就是贯彻执行有关环境保护法律、法规。根据建设项目的特点，以及相应的环保措施，制定相应的环境监测计划，以便及时发现和解决问题，尽可能减少其不利的环境影响。通过监测可以得到反馈信息，及时修正设计中环保措施的不足，防止环境质量下降，确保工程的环境、经济和社会效益的统一。</w:t>
      </w:r>
    </w:p>
    <w:p>
      <w:pPr>
        <w:pStyle w:val="5"/>
        <w:keepLines w:val="0"/>
        <w:spacing w:before="0" w:after="0" w:line="360" w:lineRule="auto"/>
        <w:rPr>
          <w:rFonts w:hint="default" w:ascii="Times New Roman" w:hAnsi="Times New Roman" w:cs="Times New Roman"/>
          <w:bCs w:val="0"/>
          <w:color w:val="auto"/>
          <w:sz w:val="24"/>
          <w:szCs w:val="24"/>
        </w:rPr>
      </w:pPr>
      <w:bookmarkStart w:id="1411" w:name="_Toc19387"/>
      <w:bookmarkStart w:id="1412" w:name="_Toc32338"/>
      <w:bookmarkStart w:id="1413" w:name="_Toc25747"/>
      <w:bookmarkStart w:id="1414" w:name="_Toc7999131"/>
      <w:bookmarkStart w:id="1415" w:name="_Toc26981"/>
      <w:bookmarkStart w:id="1416" w:name="_Toc17709504"/>
      <w:r>
        <w:rPr>
          <w:rFonts w:hint="default" w:ascii="Times New Roman" w:hAnsi="Times New Roman" w:cs="Times New Roman"/>
          <w:bCs w:val="0"/>
          <w:color w:val="auto"/>
          <w:sz w:val="24"/>
          <w:szCs w:val="24"/>
        </w:rPr>
        <w:t>8.1.1环境管理制度</w:t>
      </w:r>
      <w:bookmarkEnd w:id="1411"/>
      <w:bookmarkEnd w:id="1412"/>
      <w:bookmarkEnd w:id="1413"/>
      <w:bookmarkEnd w:id="1414"/>
      <w:bookmarkEnd w:id="1415"/>
      <w:bookmarkEnd w:id="1416"/>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17" w:name="_Toc32018"/>
      <w:bookmarkStart w:id="1418" w:name="_Toc17709505"/>
      <w:bookmarkStart w:id="1419" w:name="_Toc9056"/>
      <w:r>
        <w:rPr>
          <w:rFonts w:hint="default" w:ascii="Times New Roman" w:hAnsi="Times New Roman" w:cs="Times New Roman"/>
          <w:color w:val="auto"/>
          <w:sz w:val="24"/>
          <w:szCs w:val="22"/>
        </w:rPr>
        <w:t>8.1.1.1环境管理机构设置</w:t>
      </w:r>
      <w:bookmarkEnd w:id="1417"/>
      <w:bookmarkEnd w:id="1418"/>
      <w:bookmarkEnd w:id="1419"/>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（1）施工期环境管理机构</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施工期的环境管理应由建设单位、施工单位负责，组建环境管理机构，并由地方生态环保局负责监督。</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主要内容包括：依照国家环境保护法律、法规，对施工中可能产生污染的环节进行规范管理，定期或不定期的检查；督促建设单位、施工单位采取相应的污染防治措施，以减轻对环境的污染。</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（2）生产期环境管理机构</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项目应成立“环保工作领导小组”，由2~3名兼职管理人员组成，负责项目环保管理工作和处理环保日常事务。</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20" w:name="_Toc14677"/>
      <w:bookmarkStart w:id="1421" w:name="_Toc17709506"/>
      <w:bookmarkStart w:id="1422" w:name="_Toc20503"/>
      <w:r>
        <w:rPr>
          <w:rFonts w:hint="default" w:ascii="Times New Roman" w:hAnsi="Times New Roman" w:cs="Times New Roman"/>
          <w:color w:val="auto"/>
          <w:sz w:val="24"/>
          <w:szCs w:val="22"/>
        </w:rPr>
        <w:t>8.1.1.2环境管理工作计划和方案</w:t>
      </w:r>
      <w:bookmarkEnd w:id="1420"/>
      <w:bookmarkEnd w:id="1421"/>
      <w:bookmarkEnd w:id="1422"/>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在矿山生产过程中必须确实落实本环评提出的各项环境保护措施，严格环境管理，确保对环境的影响降到最低限度。根据矿山的生产特点和本项目的污染源分析结果，确定矿山环境管理工作的具体内容如下：</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(1)监督落实矿山道路、废石场等洒水抑尘，且在干燥、大风天气状况下，增加洒水抑尘频次，雨雪、潮湿天气下可适当调整洒水频率。</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(2)严禁将矿井涌水乱排，要做到集中收集经沉淀处理后，有组织有计划用于施工生产用水、洒水降尘及矿区周边绿化。</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(3)确保采出废石有序送废石场堆存，严禁随处堆弃。</w:t>
      </w:r>
    </w:p>
    <w:p>
      <w:pPr>
        <w:autoSpaceDE w:val="0"/>
        <w:autoSpaceDN w:val="0"/>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此外，根据本工程的具体情况，本次对建设项目的环境保护管理计划</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和主要环境管理方案提出以下建议，详见表8.1-1和表8.1-2。</w:t>
      </w:r>
    </w:p>
    <w:p>
      <w:pPr>
        <w:ind w:firstLine="945" w:firstLineChars="4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表8.1-1                   环境管理工作计划</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阶段</w:t>
            </w:r>
          </w:p>
        </w:tc>
        <w:tc>
          <w:tcPr>
            <w:tcW w:w="7853" w:type="dxa"/>
            <w:noWrap w:val="0"/>
            <w:vAlign w:val="top"/>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环境管理工作主要内容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项目建设前期</w:t>
            </w:r>
          </w:p>
        </w:tc>
        <w:tc>
          <w:tcPr>
            <w:tcW w:w="7853" w:type="dxa"/>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1、参与项目建前期各阶段环境保护和环保工程设计工作；</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2、制定企业环境保护工作计划；</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3、可研阶段，委托专业单位开展项目环境影响评价、水土保持、土地复垦和地质环境保护与治理方案等工作；</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4、设计阶段，委托设计单位按照《建设项目环境保护设计规范》编制初步设计及其环保篇章，具体落实环境影响报告书及其审批意见确定的各项环保工程措施和投资概算。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建设期</w:t>
            </w:r>
          </w:p>
        </w:tc>
        <w:tc>
          <w:tcPr>
            <w:tcW w:w="7853" w:type="dxa"/>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1、在施工招标文件、施工合同、环境监理招标文件和监理合同中明确施工单位、环境监理单位的环境保护责任和目标任务；</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2、委托专业单位开展建设期的环境监理工作，加强施工过程的环境监理和环保设施建设的环境监理，定期向自治区、地区和市生态环保部门备案；</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3、结合环境监理报告，自查环评报告、批复文件及设计中规定的环保设施和生态保护措施建设及进展情况；严格落实环保投资和执行建设项目环境保护“三同时”制度；</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4、自觉接受当地生态环保行政主管部门在建设期的环境监督与管理；</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5、设立矿山环保机构，建立健全环境管理、环保资料档案等制度。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生产期</w:t>
            </w:r>
          </w:p>
        </w:tc>
        <w:tc>
          <w:tcPr>
            <w:tcW w:w="7853" w:type="dxa"/>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1、贯彻执行国家和地方环境保护法律法规和标准；</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2、严格执行环境管理规章制度，确保环保设施正常稳定运行；</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3、按照环境管理监测计划开展环境与污染源监测，发现问题及时处理；</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4、开展矿山清洁生产审核，优选采掘清洁生产工艺；</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结合本矿生产计划和当地生态保护规划要求，制定矿区生态恢复综合整治规划，规划内容包括资源开发利用、生态环境保护、地质灾害防治、水土保持、土地恢复等；制定采矿～排石～造地～恢复一体化技术规程，并组织实施；</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 加强国家和地方环保法律法规和政策宣传，提高员工环保责任意识，提升企业环境管理水平。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退役期</w:t>
            </w:r>
          </w:p>
        </w:tc>
        <w:tc>
          <w:tcPr>
            <w:tcW w:w="7853" w:type="dxa"/>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1、依照《一般工业固体废物贮存、处置场污染控制标准》及修改单有关规定，应制定工业场地等关闭或封场计划，并报当地市级以上生态环保部门核准，并采取污染防治措施。</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2、制定矿山退役期土地恢复与生态恢复计划；</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3、制定关闭或封场后排石场等环境管理和监测计划。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7" w:hRule="atLeast"/>
          <w:jc w:val="center"/>
        </w:trPr>
        <w:tc>
          <w:tcPr>
            <w:tcW w:w="675"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环境管理工作重点</w:t>
            </w:r>
          </w:p>
        </w:tc>
        <w:tc>
          <w:tcPr>
            <w:tcW w:w="7853" w:type="dxa"/>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1、强化矿山环境管理，重点应加强污染源、环境监控以及废石场建设、运行及闭矿等的环境管理；</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2、制定矿山污废水资源化利用方案，要求污废水全部综合利用，不外排；</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3、制定矿区生态恢复综合整治规划实施细则，并组织实施。</w:t>
            </w:r>
          </w:p>
        </w:tc>
      </w:tr>
    </w:tbl>
    <w:p>
      <w:pPr>
        <w:spacing w:before="260" w:line="200" w:lineRule="exact"/>
        <w:ind w:left="420"/>
        <w:jc w:val="left"/>
        <w:rPr>
          <w:rFonts w:hint="default" w:ascii="Times New Roman" w:hAnsi="Times New Roman" w:cs="Times New Roman"/>
          <w:color w:val="auto"/>
          <w:szCs w:val="21"/>
        </w:rPr>
      </w:pPr>
      <w:r>
        <w:rPr>
          <w:rFonts w:hint="default" w:ascii="Times New Roman" w:hAnsi="Times New Roman" w:eastAsia="黑体" w:cs="Times New Roman"/>
          <w:color w:val="auto"/>
          <w:szCs w:val="21"/>
        </w:rPr>
        <w:t>表8.1-2                   主要环境管理方案</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4677"/>
        <w:gridCol w:w="1134"/>
        <w:gridCol w:w="16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61" w:hRule="atLeast"/>
          <w:jc w:val="center"/>
        </w:trPr>
        <w:tc>
          <w:tcPr>
            <w:tcW w:w="1101"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4677"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防治措施</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经费</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实施时间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工艺设计</w:t>
            </w:r>
          </w:p>
        </w:tc>
        <w:tc>
          <w:tcPr>
            <w:tcW w:w="467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选用先进工艺和设备；合理利用资源和能源；</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降低能源消耗，提高水资源利用率。</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总图设计</w:t>
            </w:r>
          </w:p>
        </w:tc>
        <w:tc>
          <w:tcPr>
            <w:tcW w:w="467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加强绿化工程，严格按设计、批复的环境影响</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报告书要求进行绿化、种植。</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设计、施工阶段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废气排放</w:t>
            </w:r>
          </w:p>
        </w:tc>
        <w:tc>
          <w:tcPr>
            <w:tcW w:w="467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严格按照国家和行业标准控制污染的排放</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运行阶段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废水排放</w:t>
            </w:r>
          </w:p>
        </w:tc>
        <w:tc>
          <w:tcPr>
            <w:tcW w:w="4677" w:type="dxa"/>
            <w:noWrap w:val="0"/>
            <w:vAlign w:val="center"/>
          </w:tcPr>
          <w:p>
            <w:pPr>
              <w:spacing w:line="240" w:lineRule="exact"/>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严格按设计、批复的环境影响报告书要求对废水进行处理，并实现稳定达标排放。</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设计、施工、运行阶段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噪声控制</w:t>
            </w:r>
          </w:p>
        </w:tc>
        <w:tc>
          <w:tcPr>
            <w:tcW w:w="467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对机械设备、风机等主要噪声源要严格按环境</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工程对策要求安装隔声、减震设施。</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设计、施工、运行阶段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固废排放</w:t>
            </w:r>
          </w:p>
        </w:tc>
        <w:tc>
          <w:tcPr>
            <w:tcW w:w="467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废石有序堆存，并考虑综合利用。</w:t>
            </w:r>
          </w:p>
        </w:tc>
        <w:tc>
          <w:tcPr>
            <w:tcW w:w="1134"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基建资金</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运行阶段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101"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复垦</w:t>
            </w:r>
          </w:p>
        </w:tc>
        <w:tc>
          <w:tcPr>
            <w:tcW w:w="4677" w:type="dxa"/>
            <w:noWrap w:val="0"/>
            <w:vAlign w:val="center"/>
          </w:tcPr>
          <w:p>
            <w:pPr>
              <w:spacing w:line="240" w:lineRule="exact"/>
              <w:ind w:left="-105" w:leftChars="-50" w:right="-105" w:right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按环评及水保要求，落实拟建矿山采取的植被措施及工程措施。</w:t>
            </w:r>
          </w:p>
        </w:tc>
        <w:tc>
          <w:tcPr>
            <w:tcW w:w="1134" w:type="dxa"/>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自筹</w:t>
            </w:r>
          </w:p>
        </w:tc>
        <w:tc>
          <w:tcPr>
            <w:tcW w:w="161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矿山服务期及退役后</w:t>
            </w:r>
          </w:p>
        </w:tc>
      </w:tr>
    </w:tbl>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23" w:name="_Toc5255"/>
      <w:bookmarkStart w:id="1424" w:name="_Toc17709507"/>
      <w:bookmarkStart w:id="1425" w:name="_Toc10204"/>
      <w:r>
        <w:rPr>
          <w:rFonts w:hint="default" w:ascii="Times New Roman" w:hAnsi="Times New Roman" w:cs="Times New Roman"/>
          <w:color w:val="auto"/>
          <w:sz w:val="24"/>
          <w:szCs w:val="22"/>
        </w:rPr>
        <w:t>8.1.1.3人员培训</w:t>
      </w:r>
      <w:bookmarkEnd w:id="1423"/>
      <w:bookmarkEnd w:id="1424"/>
      <w:bookmarkEnd w:id="1425"/>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随着 ISO18000系列标准在国内的推行，必须对环保管理人员进行专门的业务培训，要求如下：</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a)了解国家有关环境保护方面的方针政策及国家或地方的有关环境保护法规、准等；</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b)掌握环境科学的基础知识；</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c)具备环境管理的综合分析能力；</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d)具备一定的组织和业务联系能力；</w:t>
      </w:r>
    </w:p>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e)掌握国内外有关环境保护的动态。</w:t>
      </w:r>
    </w:p>
    <w:p>
      <w:pPr>
        <w:pStyle w:val="5"/>
        <w:keepLines w:val="0"/>
        <w:spacing w:before="0" w:after="0" w:line="360" w:lineRule="auto"/>
        <w:rPr>
          <w:rFonts w:hint="default" w:ascii="Times New Roman" w:hAnsi="Times New Roman" w:cs="Times New Roman"/>
          <w:bCs w:val="0"/>
          <w:color w:val="auto"/>
          <w:sz w:val="24"/>
          <w:szCs w:val="24"/>
        </w:rPr>
      </w:pPr>
      <w:bookmarkStart w:id="1426" w:name="_Toc25850"/>
      <w:bookmarkStart w:id="1427" w:name="_Toc26228"/>
      <w:bookmarkStart w:id="1428" w:name="_Toc7999132"/>
      <w:bookmarkStart w:id="1429" w:name="_Toc31156"/>
      <w:bookmarkStart w:id="1430" w:name="_Toc23613"/>
      <w:bookmarkStart w:id="1431" w:name="_Toc17709508"/>
      <w:r>
        <w:rPr>
          <w:rFonts w:hint="default" w:ascii="Times New Roman" w:hAnsi="Times New Roman" w:cs="Times New Roman"/>
          <w:bCs w:val="0"/>
          <w:color w:val="auto"/>
          <w:sz w:val="24"/>
          <w:szCs w:val="24"/>
        </w:rPr>
        <w:t>8.1.2环境监测</w:t>
      </w:r>
      <w:bookmarkEnd w:id="1426"/>
      <w:bookmarkEnd w:id="1427"/>
      <w:bookmarkEnd w:id="1428"/>
      <w:bookmarkEnd w:id="1429"/>
      <w:bookmarkEnd w:id="1430"/>
      <w:r>
        <w:rPr>
          <w:rFonts w:hint="default" w:ascii="Times New Roman" w:hAnsi="Times New Roman" w:cs="Times New Roman"/>
          <w:bCs w:val="0"/>
          <w:color w:val="auto"/>
          <w:sz w:val="24"/>
          <w:szCs w:val="24"/>
        </w:rPr>
        <w:t>计划</w:t>
      </w:r>
      <w:bookmarkEnd w:id="1431"/>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32" w:name="_Toc17709509"/>
      <w:r>
        <w:rPr>
          <w:rFonts w:hint="default" w:ascii="Times New Roman" w:hAnsi="Times New Roman" w:cs="Times New Roman"/>
          <w:color w:val="auto"/>
          <w:sz w:val="24"/>
          <w:szCs w:val="22"/>
        </w:rPr>
        <w:t>8.1.2.1监测目的</w:t>
      </w:r>
      <w:bookmarkEnd w:id="143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监测是企业环境管理必不可少的一部分，也是环境管理规范化的重要手段，对企业主要污染物进行监测分析、资料整理、编制报表和建立技术文件档案非常重要，也为上级生态环保部门进行环境规划、管理及执法提供依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的影响分析认为：项目在生产过程中会引发一系列的环境问题：生态破坏、水土流失、废石场排放、噪声污染、废气污染以及事故发生后引发的问题，都会对当地环境造成一定影响，所以，营运期进行定期环境监测是很有必要的。</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33" w:name="_Toc17709510"/>
      <w:r>
        <w:rPr>
          <w:rFonts w:hint="default" w:ascii="Times New Roman" w:hAnsi="Times New Roman" w:cs="Times New Roman"/>
          <w:color w:val="auto"/>
          <w:sz w:val="24"/>
          <w:szCs w:val="22"/>
        </w:rPr>
        <w:t>8.1.2.2监测计划</w:t>
      </w:r>
      <w:bookmarkEnd w:id="1433"/>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监测包括自身管理性环境监测及当地环境监测站的监督性监测。按本矿的生产规模和自身环保工作的实际情况，不自建环境监测站，委托有监测资质的单位代为执行，项目具体监测工作开展内容及方法详见表8.1-3实施。</w:t>
      </w:r>
    </w:p>
    <w:p>
      <w:pPr>
        <w:spacing w:before="260" w:line="200" w:lineRule="exact"/>
        <w:ind w:left="420" w:leftChars="200" w:firstLine="735" w:firstLineChars="350"/>
        <w:jc w:val="left"/>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表8.1-3                     环境监测内容及行动计划</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78"/>
        <w:gridCol w:w="2206"/>
        <w:gridCol w:w="2356"/>
        <w:gridCol w:w="22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265"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监测内容</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监测因子</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监测点</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监测频率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414"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无组织排放的颗粒物</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TSP的排放浓度</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采矿场边界处100m处</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每年两次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414"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固废</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废石、生活垃圾</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废石堆场</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每年一次</w:t>
            </w:r>
          </w:p>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（是否集中处理）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414"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噪声</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Leq</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废石场、工业场地外1m处</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每年两次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414"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土壤</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GB15618和GB36600</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矿区及矿区外</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每5年监测一次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414" w:hRule="atLeast"/>
          <w:jc w:val="center"/>
        </w:trPr>
        <w:tc>
          <w:tcPr>
            <w:tcW w:w="1578"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生态</w:t>
            </w:r>
          </w:p>
        </w:tc>
        <w:tc>
          <w:tcPr>
            <w:tcW w:w="220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植被种类、盖度、占地面积</w:t>
            </w:r>
          </w:p>
        </w:tc>
        <w:tc>
          <w:tcPr>
            <w:tcW w:w="2356"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矿山范围及周边</w:t>
            </w:r>
          </w:p>
        </w:tc>
        <w:tc>
          <w:tcPr>
            <w:tcW w:w="2202" w:type="dxa"/>
            <w:noWrap w:val="0"/>
            <w:vAlign w:val="center"/>
          </w:tcPr>
          <w:p>
            <w:pPr>
              <w:pStyle w:val="213"/>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每年秋季一次</w:t>
            </w:r>
          </w:p>
        </w:tc>
      </w:tr>
    </w:tbl>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34" w:name="_Toc17709511"/>
      <w:bookmarkStart w:id="1435" w:name="_Toc22036"/>
      <w:bookmarkStart w:id="1436" w:name="_Toc16766"/>
      <w:bookmarkStart w:id="1437" w:name="_Toc29358"/>
      <w:bookmarkStart w:id="1438" w:name="_Toc8836392"/>
      <w:bookmarkStart w:id="1439" w:name="_Toc31526"/>
      <w:bookmarkStart w:id="1440" w:name="_Toc7999133"/>
      <w:r>
        <w:rPr>
          <w:rFonts w:hint="default" w:ascii="Times New Roman" w:hAnsi="Times New Roman" w:cs="Times New Roman"/>
          <w:color w:val="auto"/>
          <w:sz w:val="24"/>
          <w:szCs w:val="22"/>
        </w:rPr>
        <w:t>8.1.2.3竣工验收监测</w:t>
      </w:r>
      <w:bookmarkEnd w:id="1434"/>
    </w:p>
    <w:bookmarkEnd w:id="1435"/>
    <w:bookmarkEnd w:id="1436"/>
    <w:bookmarkEnd w:id="1437"/>
    <w:bookmarkEnd w:id="1438"/>
    <w:bookmarkEnd w:id="1439"/>
    <w:bookmarkEnd w:id="1440"/>
    <w:p>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拟建项目完工后，必须根据“三同时”要求进行环保设施设备竣工验收，建设项目环境保护设施“三同时”见表8.1-4。</w:t>
      </w:r>
    </w:p>
    <w:p>
      <w:pPr>
        <w:spacing w:before="260" w:line="200" w:lineRule="exact"/>
        <w:ind w:left="420"/>
        <w:jc w:val="left"/>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表8.1-4                 环境保护实施“三同时”验收内同</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8"/>
        <w:gridCol w:w="1118"/>
        <w:gridCol w:w="2127"/>
        <w:gridCol w:w="992"/>
        <w:gridCol w:w="846"/>
        <w:gridCol w:w="21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2127"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验收内容</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846" w:type="dxa"/>
            <w:noWrap w:val="0"/>
            <w:vAlign w:val="top"/>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治理对象</w:t>
            </w:r>
          </w:p>
        </w:tc>
        <w:tc>
          <w:tcPr>
            <w:tcW w:w="2179" w:type="dxa"/>
            <w:noWrap w:val="0"/>
            <w:vAlign w:val="top"/>
          </w:tcPr>
          <w:p>
            <w:pPr>
              <w:spacing w:line="240" w:lineRule="exact"/>
              <w:ind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效果及要求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开采废气</w:t>
            </w:r>
          </w:p>
        </w:tc>
        <w:tc>
          <w:tcPr>
            <w:tcW w:w="2127" w:type="dxa"/>
            <w:noWrap w:val="0"/>
            <w:vAlign w:val="center"/>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湿式凿岩作业、作业面洒水降尘、通风</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2179" w:type="dxa"/>
            <w:vMerge w:val="restart"/>
            <w:noWrap w:val="0"/>
            <w:vAlign w:val="top"/>
          </w:tcPr>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《铁矿采选工业污染物排放标准》</w:t>
            </w:r>
          </w:p>
          <w:p>
            <w:pPr>
              <w:spacing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(GB2661-2012)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汽车运输二次扬尘</w:t>
            </w:r>
          </w:p>
        </w:tc>
        <w:tc>
          <w:tcPr>
            <w:tcW w:w="2127"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洒水抑尘</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无组织扬尘</w:t>
            </w:r>
          </w:p>
        </w:tc>
        <w:tc>
          <w:tcPr>
            <w:tcW w:w="2179" w:type="dxa"/>
            <w:vMerge w:val="continue"/>
            <w:noWrap w:val="0"/>
            <w:vAlign w:val="top"/>
          </w:tcPr>
          <w:p>
            <w:pPr>
              <w:spacing w:line="240" w:lineRule="exact"/>
              <w:ind w:right="-105" w:rightChars="-5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2127"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洒水抑尘</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vMerge w:val="continue"/>
            <w:noWrap w:val="0"/>
            <w:vAlign w:val="top"/>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2179" w:type="dxa"/>
            <w:vMerge w:val="continue"/>
            <w:noWrap w:val="0"/>
            <w:vAlign w:val="top"/>
          </w:tcPr>
          <w:p>
            <w:pPr>
              <w:spacing w:line="240" w:lineRule="exact"/>
              <w:ind w:right="-105" w:rightChars="-5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矿井涌水</w:t>
            </w:r>
          </w:p>
        </w:tc>
        <w:tc>
          <w:tcPr>
            <w:tcW w:w="2127"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絮凝、沉淀池</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1个</w:t>
            </w:r>
          </w:p>
        </w:tc>
        <w:tc>
          <w:tcPr>
            <w:tcW w:w="846"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2179" w:type="dxa"/>
            <w:vMerge w:val="continue"/>
            <w:noWrap w:val="0"/>
            <w:vAlign w:val="top"/>
          </w:tcPr>
          <w:p>
            <w:pPr>
              <w:spacing w:line="240" w:lineRule="exact"/>
              <w:ind w:right="-105" w:rightChars="-5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2127" w:type="dxa"/>
            <w:noWrap w:val="0"/>
            <w:vAlign w:val="center"/>
          </w:tcPr>
          <w:p>
            <w:pPr>
              <w:spacing w:line="240" w:lineRule="exact"/>
              <w:ind w:left="-55" w:leftChars="-26" w:right="-59" w:rightChars="-28"/>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一体化污水处理设施</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vMerge w:val="continue"/>
            <w:noWrap w:val="0"/>
            <w:vAlign w:val="top"/>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2179" w:type="dxa"/>
            <w:noWrap w:val="0"/>
            <w:vAlign w:val="top"/>
          </w:tcPr>
          <w:p>
            <w:pPr>
              <w:spacing w:line="240" w:lineRule="exact"/>
              <w:ind w:left="-55" w:leftChars="-26" w:right="-59" w:rightChars="-28"/>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《污水综合排放标准》（GB8978-1996）中二级标准值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空压机、风机、水泵</w:t>
            </w:r>
          </w:p>
        </w:tc>
        <w:tc>
          <w:tcPr>
            <w:tcW w:w="2127" w:type="dxa"/>
            <w:noWrap w:val="0"/>
            <w:vAlign w:val="center"/>
          </w:tcPr>
          <w:p>
            <w:pPr>
              <w:spacing w:line="24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2179" w:type="dxa"/>
            <w:noWrap w:val="0"/>
            <w:vAlign w:val="top"/>
          </w:tcPr>
          <w:p>
            <w:pPr>
              <w:spacing w:line="24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 声 排 放 标 准 》GB12348-2008)2  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restart"/>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废石堆场</w:t>
            </w:r>
          </w:p>
        </w:tc>
        <w:tc>
          <w:tcPr>
            <w:tcW w:w="2127" w:type="dxa"/>
            <w:noWrap w:val="0"/>
            <w:vAlign w:val="center"/>
          </w:tcPr>
          <w:p>
            <w:pPr>
              <w:spacing w:line="240" w:lineRule="exact"/>
              <w:ind w:left="-105" w:leftChars="-50" w:right="-105" w:rightChars="-50"/>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废石场上游修建截水沟，废石及时推平、压实。</w:t>
            </w:r>
          </w:p>
        </w:tc>
        <w:tc>
          <w:tcPr>
            <w:tcW w:w="992" w:type="dxa"/>
            <w:noWrap w:val="0"/>
            <w:vAlign w:val="center"/>
          </w:tcPr>
          <w:p>
            <w:pPr>
              <w:spacing w:line="240" w:lineRule="exact"/>
              <w:ind w:left="-105" w:leftChars="-50" w:right="-105" w:right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4座废石堆场，占地面积26222平方米。</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w:t>
            </w:r>
          </w:p>
        </w:tc>
        <w:tc>
          <w:tcPr>
            <w:tcW w:w="2179" w:type="dxa"/>
            <w:noWrap w:val="0"/>
            <w:vAlign w:val="top"/>
          </w:tcPr>
          <w:p>
            <w:pPr>
              <w:spacing w:line="240" w:lineRule="exact"/>
              <w:ind w:left="-105" w:leftChars="-50" w:right="-105" w:right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《一般工业固体废物贮存、处置场污染控制     标准》(GB18599-2001) 及修改单中Ⅰ类场标准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生活垃圾箱</w:t>
            </w:r>
          </w:p>
        </w:tc>
        <w:tc>
          <w:tcPr>
            <w:tcW w:w="2127"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设置垃圾箱</w:t>
            </w:r>
          </w:p>
        </w:tc>
        <w:tc>
          <w:tcPr>
            <w:tcW w:w="992" w:type="dxa"/>
            <w:noWrap w:val="0"/>
            <w:vAlign w:val="center"/>
          </w:tcPr>
          <w:p>
            <w:pPr>
              <w:spacing w:line="240" w:lineRule="exact"/>
              <w:ind w:left="-105" w:leftChars="-50" w:right="-105" w:right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设置垃圾收集装置，定期清运至达坂城区柴窝堡乡垃圾收集站</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2179"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vMerge w:val="continue"/>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废机油储油池</w:t>
            </w:r>
          </w:p>
        </w:tc>
        <w:tc>
          <w:tcPr>
            <w:tcW w:w="2127"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暂时存放</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1个</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w:t>
            </w:r>
          </w:p>
        </w:tc>
        <w:tc>
          <w:tcPr>
            <w:tcW w:w="2179" w:type="dxa"/>
            <w:noWrap w:val="0"/>
            <w:vAlign w:val="center"/>
          </w:tcPr>
          <w:p>
            <w:pPr>
              <w:spacing w:line="240" w:lineRule="exact"/>
              <w:ind w:left="-105" w:leftChars="-50" w:right="-105" w:right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交由回收资质单位处理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25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w:t>
            </w:r>
          </w:p>
        </w:tc>
        <w:tc>
          <w:tcPr>
            <w:tcW w:w="1118"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土地复垦</w:t>
            </w:r>
          </w:p>
        </w:tc>
        <w:tc>
          <w:tcPr>
            <w:tcW w:w="2127"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平整场地、覆土绿化</w:t>
            </w:r>
          </w:p>
        </w:tc>
        <w:tc>
          <w:tcPr>
            <w:tcW w:w="992"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46"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179" w:type="dxa"/>
            <w:noWrap w:val="0"/>
            <w:vAlign w:val="center"/>
          </w:tcPr>
          <w:p>
            <w:pPr>
              <w:spacing w:line="24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pStyle w:val="4"/>
        <w:spacing w:line="360" w:lineRule="auto"/>
        <w:ind w:left="0" w:firstLine="0"/>
        <w:jc w:val="both"/>
        <w:rPr>
          <w:rFonts w:hint="default" w:ascii="Times New Roman" w:hAnsi="Times New Roman" w:cs="Times New Roman"/>
          <w:bCs w:val="0"/>
          <w:color w:val="auto"/>
          <w:sz w:val="28"/>
          <w:szCs w:val="28"/>
        </w:rPr>
      </w:pPr>
      <w:bookmarkStart w:id="1441" w:name="_Toc22867"/>
      <w:bookmarkStart w:id="1442" w:name="_Toc15077"/>
      <w:bookmarkStart w:id="1443" w:name="_Toc8836394"/>
      <w:bookmarkStart w:id="1444" w:name="_Toc1846"/>
      <w:bookmarkStart w:id="1445" w:name="_Toc7999139"/>
      <w:bookmarkStart w:id="1446" w:name="_Toc9747"/>
      <w:bookmarkStart w:id="1447" w:name="_Toc17709318"/>
      <w:bookmarkStart w:id="1448" w:name="_Toc17709512"/>
      <w:r>
        <w:rPr>
          <w:rFonts w:hint="default" w:ascii="Times New Roman" w:hAnsi="Times New Roman" w:cs="Times New Roman"/>
          <w:bCs w:val="0"/>
          <w:color w:val="auto"/>
          <w:sz w:val="28"/>
          <w:szCs w:val="28"/>
        </w:rPr>
        <w:t>8.2排污口规范化管理</w:t>
      </w:r>
      <w:bookmarkEnd w:id="1441"/>
      <w:bookmarkEnd w:id="1442"/>
      <w:bookmarkEnd w:id="1443"/>
      <w:bookmarkEnd w:id="1444"/>
      <w:bookmarkEnd w:id="1445"/>
      <w:bookmarkEnd w:id="1446"/>
      <w:bookmarkEnd w:id="1447"/>
      <w:bookmarkEnd w:id="1448"/>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根据《环境保护图形标志-排放口(源)》等技术要求，企业须设置环境保护图形标志，根据本工程实际，主要包括以下内容：</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环境保护图形标志牌由国家环保总局统一定点制作，并由环境监察部门根据企业排污情况统一向环保局订购。</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规范化的有关环保设置(如图 形标志 牌、计量装置、监控 装置等)属环保设施，排污单位必须负责日常的维护保养，任何单位和个人不得擅自拆除，如需变更的须报环境监察部门同意并办理变更手续。</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排污标志见图8.2-1。</w:t>
      </w:r>
    </w:p>
    <w:p>
      <w:pPr>
        <w:pStyle w:val="19"/>
        <w:spacing w:line="360" w:lineRule="auto"/>
        <w:ind w:firstLine="480"/>
        <w:rPr>
          <w:rFonts w:hint="default" w:ascii="Times New Roman" w:hAnsi="Times New Roman" w:cs="Times New Roman"/>
          <w:color w:val="auto"/>
          <w:sz w:val="24"/>
          <w:szCs w:val="24"/>
        </w:rPr>
      </w:pPr>
    </w:p>
    <w:p>
      <w:pPr>
        <w:rPr>
          <w:rFonts w:hint="default" w:ascii="Times New Roman" w:hAnsi="Times New Roman" w:cs="Times New Roman"/>
          <w:color w:val="auto"/>
          <w:sz w:val="24"/>
        </w:rPr>
      </w:pPr>
      <w:r>
        <w:rPr>
          <w:rFonts w:hint="default" w:ascii="Times New Roman" w:hAnsi="Times New Roman" w:cs="Times New Roman"/>
          <w:color w:val="auto"/>
          <w:sz w:val="24"/>
          <w:lang/>
        </w:rPr>
        <w:drawing>
          <wp:anchor distT="0" distB="0" distL="114300" distR="114300" simplePos="0" relativeHeight="251658240" behindDoc="0" locked="0" layoutInCell="1" allowOverlap="1">
            <wp:simplePos x="0" y="0"/>
            <wp:positionH relativeFrom="column">
              <wp:posOffset>114300</wp:posOffset>
            </wp:positionH>
            <wp:positionV relativeFrom="paragraph">
              <wp:posOffset>97790</wp:posOffset>
            </wp:positionV>
            <wp:extent cx="5267325" cy="2895600"/>
            <wp:effectExtent l="9525" t="9525" r="19050" b="9525"/>
            <wp:wrapNone/>
            <wp:docPr id="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1"/>
                    <pic:cNvPicPr>
                      <a:picLocks noChangeAspect="1"/>
                    </pic:cNvPicPr>
                  </pic:nvPicPr>
                  <pic:blipFill>
                    <a:blip r:embed="rId52"/>
                    <a:stretch>
                      <a:fillRect/>
                    </a:stretch>
                  </pic:blipFill>
                  <pic:spPr>
                    <a:xfrm>
                      <a:off x="0" y="0"/>
                      <a:ext cx="5267325" cy="2895600"/>
                    </a:xfrm>
                    <a:prstGeom prst="rect">
                      <a:avLst/>
                    </a:prstGeom>
                    <a:noFill/>
                    <a:ln w="9525" cap="flat" cmpd="sng">
                      <a:solidFill>
                        <a:srgbClr val="000000"/>
                      </a:solidFill>
                      <a:prstDash val="solid"/>
                      <a:miter/>
                      <a:headEnd type="none" w="med" len="med"/>
                      <a:tailEnd type="none" w="med" len="med"/>
                    </a:ln>
                  </pic:spPr>
                </pic:pic>
              </a:graphicData>
            </a:graphic>
          </wp:anchor>
        </w:drawing>
      </w: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autoSpaceDE w:val="0"/>
        <w:autoSpaceDN w:val="0"/>
        <w:spacing w:line="360" w:lineRule="auto"/>
        <w:ind w:firstLine="480" w:firstLineChars="200"/>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360" w:lineRule="exact"/>
        <w:rPr>
          <w:rFonts w:hint="default" w:ascii="Times New Roman" w:hAnsi="Times New Roman" w:cs="Times New Roman"/>
          <w:color w:val="auto"/>
          <w:sz w:val="24"/>
        </w:rPr>
      </w:pPr>
    </w:p>
    <w:p>
      <w:pPr>
        <w:spacing w:line="240" w:lineRule="exact"/>
        <w:jc w:val="center"/>
        <w:rPr>
          <w:rFonts w:hint="default" w:ascii="Times New Roman" w:hAnsi="Times New Roman" w:eastAsia="华文中宋" w:cs="Times New Roman"/>
          <w:b/>
          <w:color w:val="auto"/>
          <w:sz w:val="24"/>
        </w:rPr>
      </w:pPr>
    </w:p>
    <w:p>
      <w:pPr>
        <w:spacing w:line="240" w:lineRule="exact"/>
        <w:jc w:val="center"/>
        <w:rPr>
          <w:rFonts w:hint="default" w:ascii="Times New Roman" w:hAnsi="Times New Roman" w:eastAsia="华文中宋" w:cs="Times New Roman"/>
          <w:b/>
          <w:color w:val="auto"/>
          <w:sz w:val="24"/>
        </w:rPr>
      </w:pPr>
      <w:r>
        <w:rPr>
          <w:rFonts w:hint="default" w:ascii="Times New Roman" w:hAnsi="Times New Roman" w:eastAsia="华文中宋" w:cs="Times New Roman"/>
          <w:b/>
          <w:color w:val="auto"/>
          <w:sz w:val="24"/>
        </w:rPr>
        <w:t>图8.2-1            排污口图形标志</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环境保护图形标志的形状及颜色见表8.2-1。</w:t>
      </w:r>
    </w:p>
    <w:p>
      <w:pPr>
        <w:ind w:firstLine="945" w:firstLineChars="450"/>
        <w:rPr>
          <w:rFonts w:hint="default" w:ascii="Times New Roman" w:hAnsi="Times New Roman" w:cs="Times New Roman"/>
          <w:color w:val="auto"/>
          <w:szCs w:val="21"/>
        </w:rPr>
      </w:pPr>
      <w:r>
        <w:rPr>
          <w:rFonts w:hint="default" w:ascii="Times New Roman" w:hAnsi="Times New Roman" w:eastAsia="黑体" w:cs="Times New Roman"/>
          <w:color w:val="auto"/>
          <w:szCs w:val="21"/>
        </w:rPr>
        <w:t>表8.2-1             环境保护图形标志的性质及颜色</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27"/>
        <w:gridCol w:w="2881"/>
        <w:gridCol w:w="2639"/>
        <w:gridCol w:w="12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727"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标志名称</w:t>
            </w:r>
          </w:p>
        </w:tc>
        <w:tc>
          <w:tcPr>
            <w:tcW w:w="28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形状</w:t>
            </w:r>
          </w:p>
        </w:tc>
        <w:tc>
          <w:tcPr>
            <w:tcW w:w="2639"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背景颜色</w:t>
            </w:r>
          </w:p>
        </w:tc>
        <w:tc>
          <w:tcPr>
            <w:tcW w:w="12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图形颜色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727"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警告标志</w:t>
            </w:r>
          </w:p>
        </w:tc>
        <w:tc>
          <w:tcPr>
            <w:tcW w:w="28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三角形边框</w:t>
            </w:r>
          </w:p>
        </w:tc>
        <w:tc>
          <w:tcPr>
            <w:tcW w:w="2639"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黄色</w:t>
            </w:r>
          </w:p>
        </w:tc>
        <w:tc>
          <w:tcPr>
            <w:tcW w:w="12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黑色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1727"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提示标志</w:t>
            </w:r>
          </w:p>
        </w:tc>
        <w:tc>
          <w:tcPr>
            <w:tcW w:w="28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正方形边框</w:t>
            </w:r>
          </w:p>
        </w:tc>
        <w:tc>
          <w:tcPr>
            <w:tcW w:w="2639"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绿色</w:t>
            </w:r>
          </w:p>
        </w:tc>
        <w:tc>
          <w:tcPr>
            <w:tcW w:w="128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白色</w:t>
            </w:r>
          </w:p>
        </w:tc>
      </w:tr>
    </w:tbl>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污染物排放口的环境保护图形标志牌应设置在靠近采样点的醒目处，标志牌的设置高度为其上缘距地面约 2m。</w:t>
      </w:r>
    </w:p>
    <w:p>
      <w:pPr>
        <w:pStyle w:val="1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主要排污口标志具体位置见表8.2-2。</w:t>
      </w:r>
    </w:p>
    <w:p>
      <w:pPr>
        <w:ind w:firstLine="945" w:firstLineChars="45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表8.2-2              主要排污口标志具体位置</w:t>
      </w:r>
    </w:p>
    <w:tbl>
      <w:tblPr>
        <w:tblStyle w:val="7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3"/>
        <w:gridCol w:w="3391"/>
        <w:gridCol w:w="31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图形</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污水排放口</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污水沉淀池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废气排放口</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通风井口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噪声排放源</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空压机、通风机、提升机等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一般固体废物</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废石场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4" w:hRule="atLeast"/>
          <w:jc w:val="center"/>
        </w:trPr>
        <w:tc>
          <w:tcPr>
            <w:tcW w:w="2033"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391"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w:t>
            </w:r>
          </w:p>
        </w:tc>
        <w:tc>
          <w:tcPr>
            <w:tcW w:w="3104" w:type="dxa"/>
            <w:noWrap w:val="0"/>
            <w:vAlign w:val="center"/>
          </w:tcPr>
          <w:p>
            <w:pPr>
              <w:spacing w:line="260" w:lineRule="exact"/>
              <w:ind w:left="-55" w:leftChars="-26" w:right="-59" w:rightChars="-28"/>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废机油池</w:t>
            </w:r>
          </w:p>
        </w:tc>
      </w:tr>
    </w:tbl>
    <w:p>
      <w:pPr>
        <w:rPr>
          <w:rFonts w:hint="default" w:ascii="Times New Roman" w:hAnsi="Times New Roman" w:cs="Times New Roman"/>
          <w:b/>
          <w:color w:val="auto"/>
          <w:sz w:val="30"/>
          <w:szCs w:val="30"/>
        </w:rPr>
      </w:pPr>
    </w:p>
    <w:p>
      <w:pPr>
        <w:jc w:val="center"/>
        <w:rPr>
          <w:rFonts w:hint="default" w:ascii="Times New Roman" w:hAnsi="Times New Roman" w:cs="Times New Roman"/>
          <w:b/>
          <w:color w:val="auto"/>
          <w:sz w:val="30"/>
          <w:szCs w:val="30"/>
        </w:rPr>
      </w:pPr>
    </w:p>
    <w:p>
      <w:pPr>
        <w:pageBreakBefore/>
        <w:spacing w:line="360" w:lineRule="auto"/>
        <w:jc w:val="center"/>
        <w:outlineLvl w:val="0"/>
        <w:rPr>
          <w:rFonts w:hint="default" w:ascii="Times New Roman" w:hAnsi="Times New Roman" w:cs="Times New Roman"/>
          <w:b/>
          <w:color w:val="auto"/>
          <w:sz w:val="30"/>
          <w:szCs w:val="30"/>
        </w:rPr>
      </w:pPr>
      <w:bookmarkStart w:id="1449" w:name="_Toc7999140"/>
      <w:bookmarkStart w:id="1450" w:name="_Toc7999160"/>
      <w:bookmarkStart w:id="1451" w:name="_Toc10619_WPSOffice_Level2"/>
      <w:bookmarkStart w:id="1452" w:name="_Toc8836395"/>
      <w:bookmarkStart w:id="1453" w:name="_Toc9962"/>
      <w:bookmarkStart w:id="1454" w:name="_Toc5888"/>
      <w:bookmarkStart w:id="1455" w:name="_Toc17709319"/>
      <w:bookmarkStart w:id="1456" w:name="_Toc17709513"/>
      <w:r>
        <w:rPr>
          <w:rFonts w:hint="default" w:ascii="Times New Roman" w:hAnsi="Times New Roman" w:cs="Times New Roman"/>
          <w:b/>
          <w:color w:val="auto"/>
          <w:sz w:val="30"/>
          <w:szCs w:val="30"/>
        </w:rPr>
        <w:t>9 评价结论</w:t>
      </w:r>
      <w:bookmarkEnd w:id="1449"/>
      <w:bookmarkEnd w:id="1450"/>
      <w:bookmarkEnd w:id="1451"/>
      <w:bookmarkEnd w:id="1452"/>
      <w:bookmarkEnd w:id="1453"/>
      <w:bookmarkEnd w:id="1454"/>
      <w:bookmarkEnd w:id="1455"/>
      <w:bookmarkEnd w:id="1456"/>
    </w:p>
    <w:p>
      <w:pPr>
        <w:pStyle w:val="4"/>
        <w:spacing w:line="360" w:lineRule="auto"/>
        <w:ind w:left="0" w:firstLine="0"/>
        <w:jc w:val="both"/>
        <w:rPr>
          <w:rFonts w:hint="default" w:ascii="Times New Roman" w:hAnsi="Times New Roman" w:cs="Times New Roman"/>
          <w:bCs w:val="0"/>
          <w:color w:val="auto"/>
          <w:sz w:val="28"/>
          <w:szCs w:val="28"/>
        </w:rPr>
      </w:pPr>
      <w:bookmarkStart w:id="1457" w:name="_Toc17709514"/>
      <w:bookmarkStart w:id="1458" w:name="_Toc7999141"/>
      <w:bookmarkStart w:id="1459" w:name="_Toc30898"/>
      <w:bookmarkStart w:id="1460" w:name="_Toc8836396"/>
      <w:bookmarkStart w:id="1461" w:name="_Toc17709320"/>
      <w:bookmarkStart w:id="1462" w:name="_Toc10114"/>
      <w:bookmarkStart w:id="1463" w:name="_Toc10234"/>
      <w:bookmarkStart w:id="1464" w:name="_Toc14622"/>
      <w:r>
        <w:rPr>
          <w:rFonts w:hint="default" w:ascii="Times New Roman" w:hAnsi="Times New Roman" w:cs="Times New Roman"/>
          <w:bCs w:val="0"/>
          <w:color w:val="auto"/>
          <w:sz w:val="28"/>
          <w:szCs w:val="28"/>
        </w:rPr>
        <w:t>9.1结论</w:t>
      </w:r>
      <w:bookmarkEnd w:id="1457"/>
      <w:bookmarkEnd w:id="1458"/>
      <w:bookmarkEnd w:id="1459"/>
      <w:bookmarkEnd w:id="1460"/>
      <w:bookmarkEnd w:id="1461"/>
      <w:bookmarkEnd w:id="1462"/>
      <w:bookmarkEnd w:id="1463"/>
      <w:bookmarkEnd w:id="1464"/>
    </w:p>
    <w:p>
      <w:pPr>
        <w:pStyle w:val="5"/>
        <w:keepLines w:val="0"/>
        <w:spacing w:before="0" w:after="0" w:line="360" w:lineRule="auto"/>
        <w:rPr>
          <w:rFonts w:hint="default" w:ascii="Times New Roman" w:hAnsi="Times New Roman" w:cs="Times New Roman"/>
          <w:bCs w:val="0"/>
          <w:color w:val="auto"/>
          <w:sz w:val="24"/>
          <w:szCs w:val="24"/>
        </w:rPr>
      </w:pPr>
      <w:bookmarkStart w:id="1465" w:name="_Toc5958"/>
      <w:bookmarkStart w:id="1466" w:name="_Toc11846"/>
      <w:bookmarkStart w:id="1467" w:name="_Toc9415"/>
      <w:bookmarkStart w:id="1468" w:name="_Toc21261"/>
      <w:bookmarkStart w:id="1469" w:name="_Toc17709515"/>
      <w:bookmarkStart w:id="1470" w:name="_Toc7999142"/>
      <w:r>
        <w:rPr>
          <w:rFonts w:hint="default" w:ascii="Times New Roman" w:hAnsi="Times New Roman" w:cs="Times New Roman"/>
          <w:bCs w:val="0"/>
          <w:color w:val="auto"/>
          <w:sz w:val="24"/>
          <w:szCs w:val="24"/>
        </w:rPr>
        <w:t>9.1.1项目概况</w:t>
      </w:r>
      <w:bookmarkEnd w:id="1465"/>
      <w:bookmarkEnd w:id="1466"/>
      <w:bookmarkEnd w:id="1467"/>
      <w:bookmarkEnd w:id="1468"/>
      <w:bookmarkEnd w:id="1469"/>
      <w:bookmarkEnd w:id="1470"/>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乌鲁木齐北天山欣欣矿业有限公司新疆达坂城柴窝堡杏树沟铜矿位于乌鲁木齐市115°方位、直距44km处，距达坂城区柴窝堡乡约31km，行政区划属乌鲁木齐市达坂城区管辖。</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（122b+332+333）矿石资源量26.80万t，铜金属量3559.55t、伴生银金属量5249.03kg、伴生硫13891.59t，矿石平均品位铜1.33%、银19.59g/t、硫 5.18%（其中，采矿许可证限采标高以内（1920m水平以上）（122b+333）矿石资源量13.64万t；采矿许可证限采标高以外（1920m水平以下）（332+333）矿石资源量13.16万t）。</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该矿山投资2699.13万元万元，设计生产规模为6万t/a（240t/d）铜矿，服务年限为4.37a，采用地下开采方式，生产周期为250天。</w:t>
      </w:r>
    </w:p>
    <w:p>
      <w:pPr>
        <w:spacing w:line="44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本项目总投资2699.13万元，全部由建设单位自筹解决。</w:t>
      </w:r>
    </w:p>
    <w:p>
      <w:pPr>
        <w:pStyle w:val="5"/>
        <w:keepLines w:val="0"/>
        <w:spacing w:before="0" w:after="0" w:line="360" w:lineRule="auto"/>
        <w:rPr>
          <w:rFonts w:hint="default" w:ascii="Times New Roman" w:hAnsi="Times New Roman" w:cs="Times New Roman"/>
          <w:bCs w:val="0"/>
          <w:color w:val="auto"/>
          <w:sz w:val="24"/>
          <w:szCs w:val="24"/>
        </w:rPr>
      </w:pPr>
      <w:bookmarkStart w:id="1471" w:name="_Toc17709516"/>
      <w:bookmarkStart w:id="1472" w:name="_Toc4377"/>
      <w:bookmarkStart w:id="1473" w:name="_Toc16244"/>
      <w:bookmarkStart w:id="1474" w:name="_Toc7999143"/>
      <w:bookmarkStart w:id="1475" w:name="_Toc8999"/>
      <w:bookmarkStart w:id="1476" w:name="_Toc8908"/>
      <w:r>
        <w:rPr>
          <w:rFonts w:hint="default" w:ascii="Times New Roman" w:hAnsi="Times New Roman" w:cs="Times New Roman"/>
          <w:bCs w:val="0"/>
          <w:color w:val="auto"/>
          <w:sz w:val="24"/>
          <w:szCs w:val="24"/>
        </w:rPr>
        <w:t>9.1.2环境质量现状评价结论</w:t>
      </w:r>
      <w:bookmarkEnd w:id="1471"/>
      <w:bookmarkEnd w:id="1472"/>
      <w:bookmarkEnd w:id="1473"/>
      <w:bookmarkEnd w:id="1474"/>
      <w:bookmarkEnd w:id="1475"/>
      <w:bookmarkEnd w:id="1476"/>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77" w:name="_Toc17709517"/>
      <w:bookmarkStart w:id="1478" w:name="_Toc9517"/>
      <w:bookmarkStart w:id="1479" w:name="_Toc21610"/>
      <w:r>
        <w:rPr>
          <w:rFonts w:hint="default" w:ascii="Times New Roman" w:hAnsi="Times New Roman" w:cs="Times New Roman"/>
          <w:color w:val="auto"/>
          <w:sz w:val="24"/>
          <w:szCs w:val="22"/>
        </w:rPr>
        <w:t>9.1.2.1环境空气</w:t>
      </w:r>
      <w:bookmarkEnd w:id="1477"/>
      <w:bookmarkEnd w:id="1478"/>
      <w:bookmarkEnd w:id="1479"/>
    </w:p>
    <w:p>
      <w:pPr>
        <w:widowControl/>
        <w:wordWrap w:val="0"/>
        <w:adjustRightInd w:val="0"/>
        <w:snapToGrid w:val="0"/>
        <w:spacing w:line="360" w:lineRule="auto"/>
        <w:ind w:firstLine="360"/>
        <w:jc w:val="left"/>
        <w:rPr>
          <w:rFonts w:hint="default" w:ascii="Times New Roman" w:hAnsi="Times New Roman" w:eastAsia="SimSun 宋体" w:cs="Times New Roman"/>
          <w:color w:val="auto"/>
          <w:kern w:val="0"/>
          <w:sz w:val="24"/>
        </w:rPr>
      </w:pPr>
      <w:bookmarkStart w:id="1480" w:name="_Toc25006"/>
      <w:bookmarkStart w:id="1481" w:name="_Toc26886"/>
      <w:bookmarkStart w:id="1482" w:name="_Toc17709518"/>
      <w:r>
        <w:rPr>
          <w:rFonts w:hint="default" w:ascii="Times New Roman" w:hAnsi="Times New Roman" w:eastAsia="SimSun 宋体" w:cs="Times New Roman"/>
          <w:color w:val="auto"/>
          <w:kern w:val="0"/>
          <w:sz w:val="24"/>
        </w:rPr>
        <w:t>根据《2017年新疆维吾尔自治区环境状况公报》：2017年，乌鲁木齐市环境空气质量优良天数为241天，占全年天数的66.0%，轻度、中度、重度、严重污染比列分别为14.8%、5.8%、9.6%、3.8%。空气可吸入颗粒物、细颗粒物、二氧化氮年均浓度超过国家二级标准，二氧化硫、一氧化碳、臭氧年均浓度达到国家二级标准。与2016年相比，优良天数比列减少1.2个百分点，可吸入颗粒物、细颗粒物、二氧化硫、二氧化氮和一氧化碳年均浓度分别下降7.8%、5.4%、7.1%、7.5%和6.7%，臭氧浓度同比上升19.7%。</w:t>
      </w:r>
    </w:p>
    <w:bookmarkEnd w:id="1480"/>
    <w:bookmarkEnd w:id="1481"/>
    <w:bookmarkEnd w:id="1482"/>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83" w:name="_Toc17709519"/>
      <w:bookmarkStart w:id="1484" w:name="_Toc9333"/>
      <w:bookmarkStart w:id="1485" w:name="_Toc15276"/>
      <w:r>
        <w:rPr>
          <w:rFonts w:hint="default" w:ascii="Times New Roman" w:hAnsi="Times New Roman" w:cs="Times New Roman"/>
          <w:color w:val="auto"/>
          <w:sz w:val="24"/>
          <w:szCs w:val="22"/>
        </w:rPr>
        <w:t>9.1.2.2地下水环境</w:t>
      </w:r>
      <w:bookmarkEnd w:id="1483"/>
      <w:bookmarkEnd w:id="1484"/>
      <w:bookmarkEnd w:id="1485"/>
    </w:p>
    <w:p>
      <w:pPr>
        <w:spacing w:line="360" w:lineRule="auto"/>
        <w:ind w:firstLine="480" w:firstLineChars="200"/>
        <w:rPr>
          <w:rFonts w:hint="default" w:ascii="Times New Roman" w:hAnsi="Times New Roman" w:cs="Times New Roman"/>
          <w:color w:val="auto"/>
          <w:sz w:val="24"/>
        </w:rPr>
      </w:pPr>
      <w:bookmarkStart w:id="1486" w:name="_Toc27035"/>
      <w:bookmarkStart w:id="1487" w:name="_Toc19926"/>
      <w:bookmarkStart w:id="1488" w:name="_Toc17709520"/>
      <w:r>
        <w:rPr>
          <w:rFonts w:hint="default" w:ascii="Times New Roman" w:hAnsi="Times New Roman" w:cs="Times New Roman"/>
          <w:color w:val="auto"/>
          <w:sz w:val="24"/>
        </w:rPr>
        <w:t>项目区地下水井监测指标中所有监测指标符合《地下水质量标准》（GB/T14848-2017）表中Ⅲ类标准，说明项目区地下水质较好。</w:t>
      </w:r>
    </w:p>
    <w:p>
      <w:pPr>
        <w:adjustRightInd w:val="0"/>
        <w:snapToGrid w:val="0"/>
        <w:spacing w:before="156" w:beforeLines="50" w:line="360" w:lineRule="auto"/>
        <w:outlineLvl w:val="3"/>
        <w:rPr>
          <w:rFonts w:hint="default" w:ascii="Times New Roman" w:hAnsi="Times New Roman" w:cs="Times New Roman"/>
          <w:color w:val="auto"/>
          <w:sz w:val="24"/>
          <w:szCs w:val="22"/>
        </w:rPr>
      </w:pPr>
      <w:r>
        <w:rPr>
          <w:rFonts w:hint="default" w:ascii="Times New Roman" w:hAnsi="Times New Roman" w:cs="Times New Roman"/>
          <w:color w:val="auto"/>
          <w:sz w:val="24"/>
          <w:szCs w:val="22"/>
        </w:rPr>
        <w:t>9.1.2.3声环境</w:t>
      </w:r>
      <w:bookmarkEnd w:id="1486"/>
      <w:bookmarkEnd w:id="1487"/>
      <w:bookmarkEnd w:id="1488"/>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由噪声现状监测及评价结果可知，</w:t>
      </w:r>
      <w:r>
        <w:rPr>
          <w:rFonts w:hint="default" w:ascii="Times New Roman" w:hAnsi="Times New Roman" w:cs="Times New Roman"/>
          <w:color w:val="auto"/>
          <w:sz w:val="24"/>
        </w:rPr>
        <w:t>矿区昼夜间噪声监测值均符合《声环境质量标准》（GB3096-2008）中的2类区标准限值，说明评价区域声环境质量较好。</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89" w:name="_Toc17709521"/>
      <w:r>
        <w:rPr>
          <w:rFonts w:hint="default" w:ascii="Times New Roman" w:hAnsi="Times New Roman" w:cs="Times New Roman"/>
          <w:color w:val="auto"/>
          <w:sz w:val="24"/>
          <w:szCs w:val="22"/>
        </w:rPr>
        <w:t>9.1.2.5土壤环境</w:t>
      </w:r>
      <w:bookmarkEnd w:id="1489"/>
    </w:p>
    <w:p>
      <w:pPr>
        <w:spacing w:line="360" w:lineRule="auto"/>
        <w:ind w:firstLine="600" w:firstLineChars="250"/>
        <w:textAlignment w:val="baseline"/>
        <w:rPr>
          <w:rFonts w:hint="default" w:ascii="Times New Roman" w:hAnsi="Times New Roman" w:cs="Times New Roman"/>
          <w:color w:val="auto"/>
          <w:sz w:val="24"/>
        </w:rPr>
      </w:pPr>
      <w:bookmarkStart w:id="1490" w:name="_Toc753"/>
      <w:bookmarkStart w:id="1491" w:name="_Toc20283"/>
      <w:bookmarkStart w:id="1492" w:name="_Toc15385"/>
      <w:bookmarkStart w:id="1493" w:name="_Toc7999144"/>
      <w:bookmarkStart w:id="1494" w:name="_Toc15577"/>
      <w:r>
        <w:rPr>
          <w:rFonts w:hint="default" w:ascii="Times New Roman" w:hAnsi="Times New Roman" w:cs="Times New Roman"/>
          <w:color w:val="auto"/>
          <w:sz w:val="24"/>
        </w:rPr>
        <w:t>项目区域内土壤各项指标均能满足《土壤环境指标  建设用地土壤污染风险管控标准（试行）》（GB36600-2018）的相关限值要求</w:t>
      </w:r>
    </w:p>
    <w:p>
      <w:pPr>
        <w:pStyle w:val="5"/>
        <w:keepLines w:val="0"/>
        <w:spacing w:before="0" w:after="0" w:line="360" w:lineRule="auto"/>
        <w:rPr>
          <w:rFonts w:hint="default" w:ascii="Times New Roman" w:hAnsi="Times New Roman" w:cs="Times New Roman"/>
          <w:bCs w:val="0"/>
          <w:color w:val="auto"/>
          <w:sz w:val="24"/>
          <w:szCs w:val="24"/>
        </w:rPr>
      </w:pPr>
      <w:bookmarkStart w:id="1495" w:name="_Toc17709522"/>
      <w:r>
        <w:rPr>
          <w:rFonts w:hint="default" w:ascii="Times New Roman" w:hAnsi="Times New Roman" w:cs="Times New Roman"/>
          <w:bCs w:val="0"/>
          <w:color w:val="auto"/>
          <w:sz w:val="24"/>
          <w:szCs w:val="24"/>
        </w:rPr>
        <w:t>9.1.3环境影响分析</w:t>
      </w:r>
      <w:bookmarkEnd w:id="1490"/>
      <w:bookmarkEnd w:id="1491"/>
      <w:bookmarkEnd w:id="1492"/>
      <w:bookmarkEnd w:id="1493"/>
      <w:bookmarkEnd w:id="1494"/>
      <w:bookmarkEnd w:id="1495"/>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96" w:name="_Toc17709523"/>
      <w:bookmarkStart w:id="1497" w:name="_Toc11874"/>
      <w:bookmarkStart w:id="1498" w:name="_Toc26572"/>
      <w:r>
        <w:rPr>
          <w:rFonts w:hint="default" w:ascii="Times New Roman" w:hAnsi="Times New Roman" w:cs="Times New Roman"/>
          <w:color w:val="auto"/>
          <w:sz w:val="24"/>
          <w:szCs w:val="22"/>
        </w:rPr>
        <w:t>9.1.3.1大气环境影响分析</w:t>
      </w:r>
      <w:bookmarkEnd w:id="1496"/>
      <w:bookmarkEnd w:id="1497"/>
      <w:bookmarkEnd w:id="1498"/>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1）本项目采用湿式凿岩作业方式、井下机械通风、喷雾水幕降尘等一系列措施，可有效降低矿区开采粉尘无组织排放的影响，同时降低对职工身体健康的危害。在爆破作业区的含尘废气扩散后，工作人员方可进入作业区开始工作；同时，工作人员必须在劳保用品配备齐全后，方可上岗作业。采取上述措施后，主要污染物浓度和排放速率满足《铜镍钴工业污染物排放标准》（GB25467-2010）中颗粒物无组织排放限值要求，当地环境空气可维持现状水平。</w:t>
      </w:r>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矿石运输车辆采取限速或低速行驶以减少扬尘；矿山运输矿石的道路经常洒水，即用水预湿运输道路、借助压力水将水雾化成40～200µm 左右的细小颗粒喷雾可大大降低铲装、清碴、卸矿、运输等工序的产尘量，以防粉尘的产生和扩散。根据同类矿山的类比调查分析，采取有效的降尘措施后粉尘排放量将降低70%左右。</w:t>
      </w:r>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废石在废石场堆放过程中和表土堆放过程中在有风情况下会产生一定量的扬尘，借助压力水将水雾化成40～200µm 左右的细小颗粒洒水可大大降低扬尘产尘量，以防粉尘的产生和扩散。根据同类矿山的类比调查分析，采取洒水降尘后粉尘排放量将降低85%。</w:t>
      </w:r>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本项目开采过程中地面产生的粉尘通常颗粒大、比重大，比较容易降落，其影响范围仅限于矿区产尘点设施附近局部区域，影响时间短，在采取了积极的粉尘防治措施后，排放量有限，影响范围明显缩小，矿区粉尘的排放对区域环境空气质量影响不大。</w:t>
      </w:r>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（2）汽车运输时由于碾压产生的扬尘对道路两侧一定范围会造成污染，在采取道路洒水降尘、压实路面、道路路面铺碎石等措施后，可有效抑制扬尘，对区域环境影响不大。</w:t>
      </w:r>
    </w:p>
    <w:p>
      <w:pPr>
        <w:autoSpaceDE w:val="0"/>
        <w:autoSpaceDN w:val="0"/>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bCs/>
          <w:color w:val="auto"/>
          <w:sz w:val="24"/>
        </w:rPr>
        <w:t>（3）柴油发电机燃油废气和汽车尾气排放量较小，对项目区空气环境影响小。</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499" w:name="_Toc17709524"/>
      <w:bookmarkStart w:id="1500" w:name="_Toc4833"/>
      <w:bookmarkStart w:id="1501" w:name="_Toc19861"/>
      <w:r>
        <w:rPr>
          <w:rFonts w:hint="default" w:ascii="Times New Roman" w:hAnsi="Times New Roman" w:cs="Times New Roman"/>
          <w:color w:val="auto"/>
          <w:sz w:val="24"/>
          <w:szCs w:val="22"/>
        </w:rPr>
        <w:t>9.1.3.2水环境影响分析</w:t>
      </w:r>
      <w:bookmarkEnd w:id="1499"/>
      <w:bookmarkEnd w:id="1500"/>
      <w:bookmarkEnd w:id="1501"/>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矿井涌水经沉淀处理后部分回用于采矿生产及矿区附近绿化，矿山开采对区域地下水环境的影响范围和程度不大。</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项目区设生活办公区，生活污水经地埋式污水处理设施，处理达标后用于周边绿化及道路洒水降尘。</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502" w:name="_Toc14426"/>
      <w:bookmarkStart w:id="1503" w:name="_Toc17709525"/>
      <w:bookmarkStart w:id="1504" w:name="_Toc11961"/>
      <w:r>
        <w:rPr>
          <w:rFonts w:hint="default" w:ascii="Times New Roman" w:hAnsi="Times New Roman" w:cs="Times New Roman"/>
          <w:color w:val="auto"/>
          <w:sz w:val="24"/>
          <w:szCs w:val="22"/>
        </w:rPr>
        <w:t>9.1.3.3声环境影响分析</w:t>
      </w:r>
      <w:bookmarkEnd w:id="1502"/>
      <w:bookmarkEnd w:id="1503"/>
      <w:bookmarkEnd w:id="1504"/>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设备噪声源强度较大，但是采矿作业主要声源于井下，处于井上地面的噪声源分布在各井口井场内，由于附近无居民区敏感点，对周围环境影响可以接受。采矿场噪声影响范围内无居民区敏感点，噪声影响主要是对矿区内工作人员，通过采取有效的隔声、降噪措施和对井下作业人员采取有效的劳动保护措施后可减轻对人员身体健康的影响，满足《声环境质量标准》（GB3096-2008）的2类标准要求。</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505" w:name="_Toc22565"/>
      <w:bookmarkStart w:id="1506" w:name="_Toc20889"/>
      <w:bookmarkStart w:id="1507" w:name="_Toc17709526"/>
      <w:r>
        <w:rPr>
          <w:rFonts w:hint="default" w:ascii="Times New Roman" w:hAnsi="Times New Roman" w:cs="Times New Roman"/>
          <w:color w:val="auto"/>
          <w:sz w:val="24"/>
          <w:szCs w:val="22"/>
        </w:rPr>
        <w:t>9.1.3.4固废环境影响分析</w:t>
      </w:r>
      <w:bookmarkEnd w:id="1505"/>
      <w:bookmarkEnd w:id="1506"/>
      <w:bookmarkEnd w:id="1507"/>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采矿废石排放量为9000t/a，一般工业固体废物的I类，废石可部分用于矿区内道路的硬化和加固，剩余部分堆存于废石场。由于废石为一般Ⅰ类固废，且项目区降水稀少，蒸发量大，废水堆放过程中淋溶水产生量少且不会有超标污染物，对环境影响也小。</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项目区设生活办公区，项目区的生活垃圾经集中收集，定期将生活垃圾清运至达坂城区柴窝堡乡垃圾收集站，对周边环境影响较小。</w:t>
      </w:r>
    </w:p>
    <w:p>
      <w:pPr>
        <w:adjustRightInd w:val="0"/>
        <w:snapToGrid w:val="0"/>
        <w:spacing w:before="156" w:beforeLines="50" w:line="360" w:lineRule="auto"/>
        <w:outlineLvl w:val="3"/>
        <w:rPr>
          <w:rFonts w:hint="default" w:ascii="Times New Roman" w:hAnsi="Times New Roman" w:cs="Times New Roman"/>
          <w:color w:val="auto"/>
          <w:sz w:val="24"/>
          <w:szCs w:val="22"/>
        </w:rPr>
      </w:pPr>
      <w:bookmarkStart w:id="1508" w:name="_Toc23725"/>
      <w:bookmarkStart w:id="1509" w:name="_Toc27877"/>
      <w:bookmarkStart w:id="1510" w:name="_Toc17709527"/>
      <w:r>
        <w:rPr>
          <w:rFonts w:hint="default" w:ascii="Times New Roman" w:hAnsi="Times New Roman" w:cs="Times New Roman"/>
          <w:color w:val="auto"/>
          <w:sz w:val="24"/>
          <w:szCs w:val="22"/>
        </w:rPr>
        <w:t>9.1.3.5生态环境影响分析</w:t>
      </w:r>
      <w:bookmarkEnd w:id="1508"/>
      <w:bookmarkEnd w:id="1509"/>
      <w:bookmarkEnd w:id="1510"/>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实施后由于人为活动的影响和改造，使评价区域的生态系统结构的稳定性发生了一定的变化，虽然改变了局部地带生态系统的完整性，但通过生态补偿等措施增加了生态系统的异质性和物种多样性，就整个区域来说，对生态系统的稳定性和完整性产生的影响是可以接受的。</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矿区生态环境综合治理方案主要是土地复垦。在矿区采取播种草籽，恢复为复垦方向较为适宜。</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采矿活动及车辆交通噪声等对保护区内的野生动物会产生一些干扰。需要加强对施工人员的宣传教育，严禁施工人员在保护区内进行围、追、射猎野生动物等违法活动；设置好动物保护警示标牌并及时维护和更新，加强矿山人员对野生动物的保护意识。</w:t>
      </w:r>
    </w:p>
    <w:p>
      <w:pPr>
        <w:autoSpaceDE w:val="0"/>
        <w:autoSpaceDN w:val="0"/>
        <w:spacing w:line="360" w:lineRule="auto"/>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对预测地面塌陷区周边设置铁丝围栏及警示牌。牌面用汉语及当地少数民族语言写有“地面塌陷灾害危险区”、“危险，禁止通行”等警示语，地下开采期间禁止车辆、行人进入。</w:t>
      </w:r>
    </w:p>
    <w:p>
      <w:pPr>
        <w:pStyle w:val="5"/>
        <w:keepLines w:val="0"/>
        <w:spacing w:before="0" w:after="0" w:line="360" w:lineRule="auto"/>
        <w:rPr>
          <w:rFonts w:hint="default" w:ascii="Times New Roman" w:hAnsi="Times New Roman" w:cs="Times New Roman"/>
          <w:bCs w:val="0"/>
          <w:color w:val="auto"/>
          <w:sz w:val="24"/>
          <w:szCs w:val="24"/>
        </w:rPr>
      </w:pPr>
      <w:bookmarkStart w:id="1511" w:name="_Toc23587"/>
      <w:bookmarkStart w:id="1512" w:name="_Toc7043"/>
      <w:bookmarkStart w:id="1513" w:name="_Toc7999145"/>
      <w:bookmarkStart w:id="1514" w:name="_Toc2868"/>
      <w:bookmarkStart w:id="1515" w:name="_Toc21745"/>
      <w:bookmarkStart w:id="1516" w:name="_Toc17709528"/>
      <w:r>
        <w:rPr>
          <w:rFonts w:hint="default" w:ascii="Times New Roman" w:hAnsi="Times New Roman" w:cs="Times New Roman"/>
          <w:bCs w:val="0"/>
          <w:color w:val="auto"/>
          <w:sz w:val="24"/>
          <w:szCs w:val="24"/>
        </w:rPr>
        <w:t>9.1.4环境影响经济损益分析结论</w:t>
      </w:r>
      <w:bookmarkEnd w:id="1511"/>
      <w:bookmarkEnd w:id="1512"/>
      <w:bookmarkEnd w:id="1513"/>
      <w:bookmarkEnd w:id="1514"/>
      <w:bookmarkEnd w:id="1515"/>
      <w:bookmarkEnd w:id="1516"/>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企业建设完善的环境管理机构和相关的环境管理制度，日常管理中规范排污口。按照监测计划定期对项目实施监测，及时了解和掌握拟建项目施工期主要污染物的排放情况，严格按照环境管理措施和环保行动计划，加强对项目的环境管理。</w:t>
      </w:r>
    </w:p>
    <w:p>
      <w:pPr>
        <w:pStyle w:val="5"/>
        <w:keepLines w:val="0"/>
        <w:spacing w:before="0" w:after="0" w:line="360" w:lineRule="auto"/>
        <w:rPr>
          <w:rFonts w:hint="default" w:ascii="Times New Roman" w:hAnsi="Times New Roman" w:cs="Times New Roman"/>
          <w:bCs w:val="0"/>
          <w:color w:val="auto"/>
          <w:sz w:val="24"/>
          <w:szCs w:val="24"/>
        </w:rPr>
      </w:pPr>
      <w:bookmarkStart w:id="1517" w:name="_Toc7999146"/>
      <w:bookmarkStart w:id="1518" w:name="_Toc2926"/>
      <w:bookmarkStart w:id="1519" w:name="_Toc19775"/>
      <w:bookmarkStart w:id="1520" w:name="_Toc24959"/>
      <w:bookmarkStart w:id="1521" w:name="_Toc25045"/>
      <w:bookmarkStart w:id="1522" w:name="_Toc17709529"/>
      <w:r>
        <w:rPr>
          <w:rFonts w:hint="default" w:ascii="Times New Roman" w:hAnsi="Times New Roman" w:cs="Times New Roman"/>
          <w:bCs w:val="0"/>
          <w:color w:val="auto"/>
          <w:sz w:val="24"/>
          <w:szCs w:val="24"/>
        </w:rPr>
        <w:t>9.1.5环境管理与环境监理计划结论</w:t>
      </w:r>
      <w:bookmarkEnd w:id="1517"/>
      <w:bookmarkEnd w:id="1518"/>
      <w:bookmarkEnd w:id="1519"/>
      <w:bookmarkEnd w:id="1520"/>
      <w:bookmarkEnd w:id="1521"/>
      <w:bookmarkEnd w:id="1522"/>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企业建设完善的环境管理机构和相关的环境管理制度，日常管理中规范排污口。按照监测计划定期对项目实施监测，及时了解和掌握拟建项目施工期主要污染物的排放情况，严格按照环境管理措施和环保行动计划，加强对项目的环境管理。</w:t>
      </w:r>
    </w:p>
    <w:p>
      <w:pPr>
        <w:pStyle w:val="4"/>
        <w:spacing w:line="360" w:lineRule="auto"/>
        <w:ind w:left="0" w:firstLine="0"/>
        <w:jc w:val="both"/>
        <w:rPr>
          <w:rFonts w:hint="default" w:ascii="Times New Roman" w:hAnsi="Times New Roman" w:cs="Times New Roman"/>
          <w:bCs w:val="0"/>
          <w:color w:val="auto"/>
          <w:sz w:val="28"/>
          <w:szCs w:val="28"/>
        </w:rPr>
      </w:pPr>
      <w:bookmarkStart w:id="1523" w:name="_Toc13203"/>
      <w:bookmarkStart w:id="1524" w:name="_Toc7999148"/>
      <w:bookmarkStart w:id="1525" w:name="_Toc1986"/>
      <w:bookmarkStart w:id="1526" w:name="_Toc14632"/>
      <w:bookmarkStart w:id="1527" w:name="_Toc21545"/>
      <w:bookmarkStart w:id="1528" w:name="_Toc8836397"/>
      <w:bookmarkStart w:id="1529" w:name="_Toc17709321"/>
      <w:bookmarkStart w:id="1530" w:name="_Toc17709531"/>
      <w:r>
        <w:rPr>
          <w:rFonts w:hint="default" w:ascii="Times New Roman" w:hAnsi="Times New Roman" w:cs="Times New Roman"/>
          <w:bCs w:val="0"/>
          <w:color w:val="auto"/>
          <w:sz w:val="28"/>
          <w:szCs w:val="28"/>
        </w:rPr>
        <w:t>9.2总体结论</w:t>
      </w:r>
      <w:bookmarkEnd w:id="1523"/>
      <w:bookmarkEnd w:id="1524"/>
      <w:bookmarkEnd w:id="1525"/>
      <w:bookmarkEnd w:id="1526"/>
      <w:bookmarkEnd w:id="1527"/>
      <w:bookmarkEnd w:id="1528"/>
      <w:bookmarkEnd w:id="1529"/>
      <w:bookmarkEnd w:id="1530"/>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综上所述，拟建项目采矿工艺及生产规模与储量的匹配关系较合理。项目建设符合国家产业政策，选址较为合理。项目符合当地经济结构的调整要求，在促进地区经济方面具有一定的作用。在严格执行国家环保政策和各项规章管理制度，全面贯彻“清洁生产、总量控制”的原则，并切实落实本报告书中提出的各项环保措施，保证环保设施正常运转的条件下，从环境保护的角度来看本项目的建设是可行的。</w:t>
      </w:r>
    </w:p>
    <w:p>
      <w:pPr>
        <w:pStyle w:val="4"/>
        <w:spacing w:line="360" w:lineRule="auto"/>
        <w:ind w:left="0" w:firstLine="0"/>
        <w:jc w:val="both"/>
        <w:rPr>
          <w:rFonts w:hint="default" w:ascii="Times New Roman" w:hAnsi="Times New Roman" w:cs="Times New Roman"/>
          <w:bCs w:val="0"/>
          <w:color w:val="auto"/>
          <w:sz w:val="28"/>
          <w:szCs w:val="28"/>
        </w:rPr>
      </w:pPr>
      <w:bookmarkStart w:id="1531" w:name="_Toc8836398"/>
      <w:bookmarkStart w:id="1532" w:name="_Toc20046"/>
      <w:bookmarkStart w:id="1533" w:name="_Toc5802"/>
      <w:bookmarkStart w:id="1534" w:name="_Toc8098"/>
      <w:bookmarkStart w:id="1535" w:name="_Toc17560"/>
      <w:bookmarkStart w:id="1536" w:name="_Toc17709322"/>
      <w:bookmarkStart w:id="1537" w:name="_Toc17709532"/>
      <w:bookmarkStart w:id="1538" w:name="_Toc7999149"/>
      <w:r>
        <w:rPr>
          <w:rFonts w:hint="default" w:ascii="Times New Roman" w:hAnsi="Times New Roman" w:cs="Times New Roman"/>
          <w:bCs w:val="0"/>
          <w:color w:val="auto"/>
          <w:sz w:val="28"/>
          <w:szCs w:val="28"/>
        </w:rPr>
        <w:t>9.3要求与建议</w:t>
      </w:r>
      <w:bookmarkEnd w:id="1531"/>
      <w:bookmarkEnd w:id="1532"/>
      <w:bookmarkEnd w:id="1533"/>
      <w:bookmarkEnd w:id="1534"/>
      <w:bookmarkEnd w:id="1535"/>
      <w:bookmarkEnd w:id="1536"/>
      <w:bookmarkEnd w:id="1537"/>
      <w:bookmarkEnd w:id="1538"/>
    </w:p>
    <w:p>
      <w:pPr>
        <w:pStyle w:val="5"/>
        <w:keepLines w:val="0"/>
        <w:spacing w:before="0" w:after="0" w:line="360" w:lineRule="auto"/>
        <w:rPr>
          <w:rFonts w:hint="default" w:ascii="Times New Roman" w:hAnsi="Times New Roman" w:cs="Times New Roman"/>
          <w:bCs w:val="0"/>
          <w:color w:val="auto"/>
          <w:sz w:val="24"/>
          <w:szCs w:val="24"/>
        </w:rPr>
      </w:pPr>
      <w:bookmarkStart w:id="1539" w:name="_Toc792"/>
      <w:bookmarkStart w:id="1540" w:name="_Toc17709533"/>
      <w:bookmarkStart w:id="1541" w:name="_Toc7999150"/>
      <w:bookmarkStart w:id="1542" w:name="_Toc26665"/>
      <w:bookmarkStart w:id="1543" w:name="_Toc31071"/>
      <w:bookmarkStart w:id="1544" w:name="_Toc3987"/>
      <w:r>
        <w:rPr>
          <w:rFonts w:hint="default" w:ascii="Times New Roman" w:hAnsi="Times New Roman" w:cs="Times New Roman"/>
          <w:bCs w:val="0"/>
          <w:color w:val="auto"/>
          <w:sz w:val="24"/>
          <w:szCs w:val="24"/>
        </w:rPr>
        <w:t>9.3.1要求</w:t>
      </w:r>
      <w:bookmarkEnd w:id="1539"/>
      <w:bookmarkEnd w:id="1540"/>
      <w:bookmarkEnd w:id="1541"/>
      <w:bookmarkEnd w:id="1542"/>
      <w:bookmarkEnd w:id="1543"/>
      <w:bookmarkEnd w:id="1544"/>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（1）根据《中华人民共和国水土保持法》中的有关规定，本项目应编制水土保持方案，并按方案做好水土保持工作。</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（2）根据国家规定的“谁破坏谁复垦”的原则，服务期满后，将地表平整压实，并进行植被恢复；不具备植被恢复条件的区域，在地表覆盖一层可抗风蚀的砾石。</w:t>
      </w:r>
    </w:p>
    <w:p>
      <w:pPr>
        <w:pStyle w:val="5"/>
        <w:keepLines w:val="0"/>
        <w:spacing w:before="0" w:after="0" w:line="360" w:lineRule="auto"/>
        <w:rPr>
          <w:rFonts w:hint="default" w:ascii="Times New Roman" w:hAnsi="Times New Roman" w:cs="Times New Roman"/>
          <w:bCs w:val="0"/>
          <w:color w:val="auto"/>
          <w:sz w:val="24"/>
          <w:szCs w:val="24"/>
        </w:rPr>
      </w:pPr>
      <w:bookmarkStart w:id="1545" w:name="_Toc1948"/>
      <w:bookmarkStart w:id="1546" w:name="_Toc31952"/>
      <w:bookmarkStart w:id="1547" w:name="_Toc14084"/>
      <w:bookmarkStart w:id="1548" w:name="_Toc7999151"/>
      <w:bookmarkStart w:id="1549" w:name="_Toc17709534"/>
      <w:bookmarkStart w:id="1550" w:name="_Toc14484"/>
      <w:r>
        <w:rPr>
          <w:rFonts w:hint="default" w:ascii="Times New Roman" w:hAnsi="Times New Roman" w:cs="Times New Roman"/>
          <w:bCs w:val="0"/>
          <w:color w:val="auto"/>
          <w:sz w:val="24"/>
          <w:szCs w:val="24"/>
        </w:rPr>
        <w:t>9.3.2建议</w:t>
      </w:r>
      <w:bookmarkEnd w:id="1545"/>
      <w:bookmarkEnd w:id="1546"/>
      <w:bookmarkEnd w:id="1547"/>
      <w:bookmarkEnd w:id="1548"/>
      <w:bookmarkEnd w:id="1549"/>
      <w:bookmarkEnd w:id="1550"/>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（1）认真贯彻生态保护预防为主，保护优先的原则，对现有矿山道路破损严重地段进行工程修复，最大限度地保持矿区生态系统的完整性；</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（2）闭矿后，应拆除生产、生活设施。对废石堆场进行压实复绿，使生态环境自然恢复，保持生态平衡；</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（3）加强废石场的管理，减少土壤侵蚀和水土流失；</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（4）加强矿山处理设施的管理和维护，确保其正常运行；</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（5）矿山必须对安全隐患给予高度重视，在实际生产中要加强管理，确保生产安全；</w:t>
      </w:r>
    </w:p>
    <w:p>
      <w:pPr>
        <w:autoSpaceDE w:val="0"/>
        <w:autoSpaceDN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建全并完善环境管理体系、规章制度，把污染预防、节能降耗贯彻到生产全过程中。要求对与环境影响密切相关的岗位，制定严格的操作程序和有效的监控机制，使各类清洁生产技术措施产生最佳效果，严格执行制度。</w:t>
      </w:r>
      <w:bookmarkEnd w:id="1337"/>
      <w:bookmarkEnd w:id="1338"/>
      <w:bookmarkEnd w:id="1339"/>
      <w:bookmarkEnd w:id="1340"/>
      <w:bookmarkEnd w:id="1341"/>
      <w:bookmarkEnd w:id="1342"/>
      <w:bookmarkEnd w:id="1343"/>
      <w:bookmarkEnd w:id="1344"/>
    </w:p>
    <w:sectPr>
      <w:headerReference r:id="rId6" w:type="default"/>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start="129"/>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华康简宋">
    <w:altName w:val="宋体"/>
    <w:panose1 w:val="02010609000101010101"/>
    <w:charset w:val="86"/>
    <w:family w:val="modern"/>
    <w:pitch w:val="default"/>
    <w:sig w:usb0="00000001"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黑体简体">
    <w:altName w:val="黑体"/>
    <w:panose1 w:val="03000509000000000000"/>
    <w:charset w:val="86"/>
    <w:family w:val="script"/>
    <w:pitch w:val="default"/>
    <w:sig w:usb0="00000000" w:usb1="00000000" w:usb2="00000010" w:usb3="00000000" w:csb0="00040000" w:csb1="00000000"/>
  </w:font>
  <w:font w:name="Times">
    <w:altName w:val="Times New Roman"/>
    <w:panose1 w:val="02020603050405020304"/>
    <w:charset w:val="00"/>
    <w:family w:val="roman"/>
    <w:pitch w:val="default"/>
    <w:sig w:usb0="E0002AFF" w:usb1="C0007841" w:usb2="00000009" w:usb3="00000000" w:csb0="000001F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3" w:usb1="00000000" w:usb2="00000000" w:usb3="00000000" w:csb0="00000001" w:csb1="00000000"/>
  </w:font>
  <w:font w:name="Batang">
    <w:panose1 w:val="02030600000101010101"/>
    <w:charset w:val="81"/>
    <w:family w:val="roman"/>
    <w:pitch w:val="default"/>
    <w:sig w:usb0="B00002AF" w:usb1="69D77CFB" w:usb2="00000030" w:usb3="00000000" w:csb0="4008009F" w:csb1="DFD7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SimSun 宋体">
    <w:altName w:val="宋体"/>
    <w:panose1 w:val="00000000000000000000"/>
    <w:charset w:val="86"/>
    <w:family w:val="roman"/>
    <w:pitch w:val="default"/>
    <w:sig w:usb0="00000001" w:usb1="080E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UI Emoji">
    <w:altName w:val="Segoe UI"/>
    <w:panose1 w:val="020B0502040204020203"/>
    <w:charset w:val="00"/>
    <w:family w:val="swiss"/>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 PAGE   \* MERGEFORMAT </w:instrText>
    </w:r>
    <w:r>
      <w:fldChar w:fldCharType="separate"/>
    </w:r>
    <w:r>
      <w:rPr>
        <w:lang w:val="zh-CN"/>
      </w:rPr>
      <w:t>V</w:t>
    </w:r>
    <w:r>
      <w:fldChar w:fldCharType="end"/>
    </w:r>
  </w:p>
  <w:p>
    <w:pPr>
      <w:pStyle w:val="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Fonts w:ascii="Times New Roman" w:hAnsi="Times New Roman" w:cs="Times New Roman"/>
      </w:rPr>
    </w:pPr>
    <w:r>
      <w:fldChar w:fldCharType="begin"/>
    </w:r>
    <w:r>
      <w:rPr>
        <w:rStyle w:val="87"/>
        <w:rFonts w:ascii="Times New Roman" w:hAnsi="Times New Roman" w:cs="Times New Roman"/>
      </w:rPr>
      <w:instrText xml:space="preserve">PAGE  </w:instrText>
    </w:r>
    <w:r>
      <w:fldChar w:fldCharType="separate"/>
    </w:r>
    <w:r>
      <w:rPr>
        <w:rStyle w:val="87"/>
        <w:rFonts w:ascii="Times New Roman" w:hAnsi="Times New Roman" w:cs="Times New Roman"/>
        <w:lang/>
      </w:rPr>
      <w:t>2</w:t>
    </w:r>
    <w:r>
      <w:fldChar w:fldCharType="end"/>
    </w:r>
  </w:p>
  <w:p>
    <w:pPr>
      <w:pStyle w:val="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sz w:val="20"/>
      </w:rPr>
    </w:pPr>
    <w:r>
      <w:rPr>
        <w:sz w:val="20"/>
      </w:rPr>
      <mc:AlternateContent>
        <mc:Choice Requires="wps">
          <w:drawing>
            <wp:anchor distT="0" distB="0" distL="114300" distR="114300" simplePos="0" relativeHeight="251658240" behindDoc="0" locked="0" layoutInCell="1" allowOverlap="1">
              <wp:simplePos x="0" y="0"/>
              <wp:positionH relativeFrom="margin">
                <wp:posOffset>2628900</wp:posOffset>
              </wp:positionH>
              <wp:positionV relativeFrom="paragraph">
                <wp:posOffset>-62865</wp:posOffset>
              </wp:positionV>
              <wp:extent cx="342900" cy="155575"/>
              <wp:effectExtent l="0" t="0" r="0" b="0"/>
              <wp:wrapNone/>
              <wp:docPr id="81" name="文本框 1033"/>
              <wp:cNvGraphicFramePr/>
              <a:graphic xmlns:a="http://schemas.openxmlformats.org/drawingml/2006/main">
                <a:graphicData uri="http://schemas.microsoft.com/office/word/2010/wordprocessingShape">
                  <wps:wsp>
                    <wps:cNvSpPr txBox="1"/>
                    <wps:spPr>
                      <a:xfrm>
                        <a:off x="0" y="0"/>
                        <a:ext cx="342900" cy="155575"/>
                      </a:xfrm>
                      <a:prstGeom prst="rect">
                        <a:avLst/>
                      </a:prstGeom>
                      <a:noFill/>
                      <a:ln>
                        <a:noFill/>
                      </a:ln>
                    </wps:spPr>
                    <wps:txbx>
                      <w:txbxContent>
                        <w:p>
                          <w:pPr>
                            <w:snapToGrid w:val="0"/>
                            <w:rPr>
                              <w:rFonts w:hint="default" w:ascii="Times New Roman" w:hAnsi="Times New Roman" w:cs="Times New Roman"/>
                              <w:sz w:val="18"/>
                            </w:rPr>
                          </w:pPr>
                          <w:r>
                            <w:rPr>
                              <w:rFonts w:hint="default" w:ascii="Times New Roman" w:hAnsi="Times New Roman" w:cs="Times New Roman"/>
                              <w:sz w:val="18"/>
                            </w:rPr>
                            <w:fldChar w:fldCharType="begin"/>
                          </w:r>
                          <w:r>
                            <w:rPr>
                              <w:rFonts w:hint="default" w:ascii="Times New Roman" w:hAnsi="Times New Roman" w:cs="Times New Roman"/>
                              <w:sz w:val="18"/>
                            </w:rPr>
                            <w:instrText xml:space="preserve"> PAGE  \* MERGEFORMAT </w:instrText>
                          </w:r>
                          <w:r>
                            <w:rPr>
                              <w:rFonts w:hint="default" w:ascii="Times New Roman" w:hAnsi="Times New Roman" w:cs="Times New Roman"/>
                              <w:sz w:val="18"/>
                            </w:rPr>
                            <w:fldChar w:fldCharType="separate"/>
                          </w:r>
                          <w:r>
                            <w:rPr>
                              <w:rFonts w:hint="default" w:ascii="Times New Roman" w:hAnsi="Times New Roman" w:cs="Times New Roman"/>
                              <w:sz w:val="18"/>
                              <w:lang/>
                            </w:rPr>
                            <w:t>182</w:t>
                          </w:r>
                          <w:r>
                            <w:rPr>
                              <w:rFonts w:hint="default" w:ascii="Times New Roman" w:hAnsi="Times New Roman" w:cs="Times New Roman"/>
                              <w:sz w:val="18"/>
                            </w:rPr>
                            <w:fldChar w:fldCharType="end"/>
                          </w:r>
                        </w:p>
                      </w:txbxContent>
                    </wps:txbx>
                    <wps:bodyPr vert="horz" wrap="square" lIns="0" tIns="0" rIns="0" bIns="0" anchor="t" upright="0"/>
                  </wps:wsp>
                </a:graphicData>
              </a:graphic>
            </wp:anchor>
          </w:drawing>
        </mc:Choice>
        <mc:Fallback>
          <w:pict>
            <v:shape id="文本框 1033" o:spid="_x0000_s1026" o:spt="202" type="#_x0000_t202" style="position:absolute;left:0pt;margin-left:207pt;margin-top:-4.95pt;height:12.25pt;width:27pt;mso-position-horizontal-relative:margin;z-index:251658240;mso-width-relative:page;mso-height-relative:page;" filled="f" stroked="f" coordsize="21600,21600" o:gfxdata="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rCv+2AAAAAkBAAAPAAAAAAAAAAEAIAAAACIAAABkcnMvZG93bnJldi54bWxQSwEC&#10;FAAUAAAACACHTuJAzXEs7LsBAABMAwAADgAAAAAAAAABACAAAAAnAQAAZHJzL2Uyb0RvYy54bWxQ&#10;SwUGAAAAAAYABgBZAQAAVAUAAAAA&#10;">
              <v:fill on="f" focussize="0,0"/>
              <v:stroke on="f"/>
              <v:imagedata o:title=""/>
              <o:lock v:ext="edit" aspectratio="f"/>
              <v:textbox inset="0mm,0mm,0mm,0mm">
                <w:txbxContent>
                  <w:p>
                    <w:pPr>
                      <w:snapToGrid w:val="0"/>
                      <w:rPr>
                        <w:rFonts w:hint="default" w:ascii="Times New Roman" w:hAnsi="Times New Roman" w:cs="Times New Roman"/>
                        <w:sz w:val="18"/>
                      </w:rPr>
                    </w:pPr>
                    <w:r>
                      <w:rPr>
                        <w:rFonts w:hint="default" w:ascii="Times New Roman" w:hAnsi="Times New Roman" w:cs="Times New Roman"/>
                        <w:sz w:val="18"/>
                      </w:rPr>
                      <w:fldChar w:fldCharType="begin"/>
                    </w:r>
                    <w:r>
                      <w:rPr>
                        <w:rFonts w:hint="default" w:ascii="Times New Roman" w:hAnsi="Times New Roman" w:cs="Times New Roman"/>
                        <w:sz w:val="18"/>
                      </w:rPr>
                      <w:instrText xml:space="preserve"> PAGE  \* MERGEFORMAT </w:instrText>
                    </w:r>
                    <w:r>
                      <w:rPr>
                        <w:rFonts w:hint="default" w:ascii="Times New Roman" w:hAnsi="Times New Roman" w:cs="Times New Roman"/>
                        <w:sz w:val="18"/>
                      </w:rPr>
                      <w:fldChar w:fldCharType="separate"/>
                    </w:r>
                    <w:r>
                      <w:rPr>
                        <w:rFonts w:hint="default" w:ascii="Times New Roman" w:hAnsi="Times New Roman" w:cs="Times New Roman"/>
                        <w:sz w:val="18"/>
                        <w:lang/>
                      </w:rPr>
                      <w:t>182</w:t>
                    </w:r>
                    <w:r>
                      <w:rPr>
                        <w:rFonts w:hint="default" w:ascii="Times New Roman" w:hAnsi="Times New Roman" w:cs="Times New Roman"/>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rPr>
        <w:sz w:val="21"/>
        <w:szCs w:val="21"/>
      </w:rPr>
    </w:pPr>
    <w:r>
      <w:rPr>
        <w:rFonts w:ascii="宋体" w:hAnsi="宋体"/>
        <w:sz w:val="21"/>
        <w:szCs w:val="21"/>
      </w:rPr>
      <w:t>乌鲁木齐北天山欣欣矿业有限公司新疆达坂城</w:t>
    </w:r>
    <w:r>
      <w:rPr>
        <w:rFonts w:hint="eastAsia" w:ascii="宋体" w:hAnsi="宋体"/>
        <w:sz w:val="21"/>
        <w:szCs w:val="21"/>
      </w:rPr>
      <w:t>柴窝堡</w:t>
    </w:r>
    <w:r>
      <w:rPr>
        <w:rFonts w:ascii="宋体" w:hAnsi="宋体"/>
        <w:sz w:val="21"/>
        <w:szCs w:val="21"/>
      </w:rPr>
      <w:t>杏树沟铜矿</w:t>
    </w:r>
    <w:r>
      <w:rPr>
        <w:rFonts w:hint="eastAsia" w:ascii="宋体" w:hAnsi="宋体"/>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rPr>
        <w:rFonts w:hint="eastAsia"/>
        <w:sz w:val="21"/>
        <w:szCs w:val="21"/>
      </w:rPr>
    </w:pPr>
    <w:r>
      <w:rPr>
        <w:rFonts w:ascii="宋体" w:hAnsi="宋体"/>
        <w:sz w:val="21"/>
        <w:szCs w:val="21"/>
      </w:rPr>
      <w:t>乌鲁木齐北天山欣欣矿业有限公司新疆达坂城</w:t>
    </w:r>
    <w:r>
      <w:rPr>
        <w:rFonts w:hint="eastAsia" w:ascii="宋体" w:hAnsi="宋体"/>
        <w:sz w:val="21"/>
        <w:szCs w:val="21"/>
      </w:rPr>
      <w:t>柴窝堡</w:t>
    </w:r>
    <w:r>
      <w:rPr>
        <w:rFonts w:ascii="宋体" w:hAnsi="宋体"/>
        <w:sz w:val="21"/>
        <w:szCs w:val="21"/>
      </w:rPr>
      <w:t>杏树沟铜矿</w:t>
    </w:r>
    <w:r>
      <w:rPr>
        <w:rFonts w:hint="eastAsia" w:ascii="宋体" w:hAnsi="宋体"/>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046BC"/>
    <w:multiLevelType w:val="singleLevel"/>
    <w:tmpl w:val="A50046BC"/>
    <w:lvl w:ilvl="0" w:tentative="0">
      <w:start w:val="2"/>
      <w:numFmt w:val="decimal"/>
      <w:suff w:val="nothing"/>
      <w:lvlText w:val="（%1）"/>
      <w:lvlJc w:val="left"/>
    </w:lvl>
  </w:abstractNum>
  <w:abstractNum w:abstractNumId="1">
    <w:nsid w:val="26CC65AF"/>
    <w:multiLevelType w:val="singleLevel"/>
    <w:tmpl w:val="26CC65AF"/>
    <w:lvl w:ilvl="0" w:tentative="0">
      <w:start w:val="2"/>
      <w:numFmt w:val="decimal"/>
      <w:suff w:val="nothing"/>
      <w:lvlText w:val="（%1）"/>
      <w:lvlJc w:val="left"/>
    </w:lvl>
  </w:abstractNum>
  <w:abstractNum w:abstractNumId="2">
    <w:nsid w:val="71795302"/>
    <w:multiLevelType w:val="singleLevel"/>
    <w:tmpl w:val="71795302"/>
    <w:lvl w:ilvl="0" w:tentative="0">
      <w:start w:val="4"/>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0E"/>
    <w:rsid w:val="00000363"/>
    <w:rsid w:val="0000071C"/>
    <w:rsid w:val="00000A37"/>
    <w:rsid w:val="00000AE5"/>
    <w:rsid w:val="00001139"/>
    <w:rsid w:val="00001385"/>
    <w:rsid w:val="00001457"/>
    <w:rsid w:val="0000149F"/>
    <w:rsid w:val="000017A0"/>
    <w:rsid w:val="000019F6"/>
    <w:rsid w:val="00002367"/>
    <w:rsid w:val="0000242D"/>
    <w:rsid w:val="00002585"/>
    <w:rsid w:val="00002783"/>
    <w:rsid w:val="00002A17"/>
    <w:rsid w:val="0000339D"/>
    <w:rsid w:val="000034EB"/>
    <w:rsid w:val="00003527"/>
    <w:rsid w:val="00003BAF"/>
    <w:rsid w:val="00003FDB"/>
    <w:rsid w:val="00004238"/>
    <w:rsid w:val="0000449F"/>
    <w:rsid w:val="0000495F"/>
    <w:rsid w:val="000054A0"/>
    <w:rsid w:val="00005586"/>
    <w:rsid w:val="000059FE"/>
    <w:rsid w:val="00006126"/>
    <w:rsid w:val="0000624A"/>
    <w:rsid w:val="00006A45"/>
    <w:rsid w:val="00006AE6"/>
    <w:rsid w:val="00006CDB"/>
    <w:rsid w:val="00006E1F"/>
    <w:rsid w:val="00006E70"/>
    <w:rsid w:val="00007091"/>
    <w:rsid w:val="000077DC"/>
    <w:rsid w:val="00007F17"/>
    <w:rsid w:val="000102C5"/>
    <w:rsid w:val="00010365"/>
    <w:rsid w:val="000104EF"/>
    <w:rsid w:val="000107C5"/>
    <w:rsid w:val="000108E9"/>
    <w:rsid w:val="00010ABA"/>
    <w:rsid w:val="00010CEC"/>
    <w:rsid w:val="00010D94"/>
    <w:rsid w:val="00010FCE"/>
    <w:rsid w:val="000112E9"/>
    <w:rsid w:val="00011717"/>
    <w:rsid w:val="00011A70"/>
    <w:rsid w:val="000122A2"/>
    <w:rsid w:val="000125CE"/>
    <w:rsid w:val="0001267B"/>
    <w:rsid w:val="000126B8"/>
    <w:rsid w:val="00012B84"/>
    <w:rsid w:val="0001351E"/>
    <w:rsid w:val="000136E2"/>
    <w:rsid w:val="00013CCF"/>
    <w:rsid w:val="00013D7C"/>
    <w:rsid w:val="00014265"/>
    <w:rsid w:val="00014363"/>
    <w:rsid w:val="00014856"/>
    <w:rsid w:val="0001490C"/>
    <w:rsid w:val="00014E8A"/>
    <w:rsid w:val="0001547C"/>
    <w:rsid w:val="0001559A"/>
    <w:rsid w:val="00015908"/>
    <w:rsid w:val="000159D0"/>
    <w:rsid w:val="00016025"/>
    <w:rsid w:val="00016147"/>
    <w:rsid w:val="000163AA"/>
    <w:rsid w:val="00016ECE"/>
    <w:rsid w:val="000172E5"/>
    <w:rsid w:val="0001768F"/>
    <w:rsid w:val="000176D4"/>
    <w:rsid w:val="000179DA"/>
    <w:rsid w:val="00020599"/>
    <w:rsid w:val="000206B0"/>
    <w:rsid w:val="00020FCD"/>
    <w:rsid w:val="0002103B"/>
    <w:rsid w:val="00021080"/>
    <w:rsid w:val="000212C9"/>
    <w:rsid w:val="00022065"/>
    <w:rsid w:val="0002234F"/>
    <w:rsid w:val="00022AFE"/>
    <w:rsid w:val="00022B9F"/>
    <w:rsid w:val="0002312A"/>
    <w:rsid w:val="000232C9"/>
    <w:rsid w:val="00023997"/>
    <w:rsid w:val="000242D2"/>
    <w:rsid w:val="0002434B"/>
    <w:rsid w:val="00024DBF"/>
    <w:rsid w:val="0002523C"/>
    <w:rsid w:val="000252EA"/>
    <w:rsid w:val="00025A11"/>
    <w:rsid w:val="00025A80"/>
    <w:rsid w:val="00025BA3"/>
    <w:rsid w:val="00025C71"/>
    <w:rsid w:val="00025FDE"/>
    <w:rsid w:val="000268EF"/>
    <w:rsid w:val="000270C7"/>
    <w:rsid w:val="0002713D"/>
    <w:rsid w:val="00027227"/>
    <w:rsid w:val="00027251"/>
    <w:rsid w:val="000274EE"/>
    <w:rsid w:val="000278AF"/>
    <w:rsid w:val="0002792E"/>
    <w:rsid w:val="00027D26"/>
    <w:rsid w:val="00030259"/>
    <w:rsid w:val="0003045A"/>
    <w:rsid w:val="00030526"/>
    <w:rsid w:val="000309D7"/>
    <w:rsid w:val="00030D2D"/>
    <w:rsid w:val="00030D60"/>
    <w:rsid w:val="00031097"/>
    <w:rsid w:val="000310F2"/>
    <w:rsid w:val="000312FD"/>
    <w:rsid w:val="000317F0"/>
    <w:rsid w:val="00031A6B"/>
    <w:rsid w:val="00031C00"/>
    <w:rsid w:val="000321AB"/>
    <w:rsid w:val="00032260"/>
    <w:rsid w:val="0003242D"/>
    <w:rsid w:val="00032562"/>
    <w:rsid w:val="000326D2"/>
    <w:rsid w:val="00032A03"/>
    <w:rsid w:val="00032AAA"/>
    <w:rsid w:val="00032AE9"/>
    <w:rsid w:val="00032C4B"/>
    <w:rsid w:val="00033DB2"/>
    <w:rsid w:val="00034470"/>
    <w:rsid w:val="00034B70"/>
    <w:rsid w:val="00034C9C"/>
    <w:rsid w:val="00034D39"/>
    <w:rsid w:val="00035360"/>
    <w:rsid w:val="000353D0"/>
    <w:rsid w:val="00035466"/>
    <w:rsid w:val="00035A3A"/>
    <w:rsid w:val="000360AA"/>
    <w:rsid w:val="000362C6"/>
    <w:rsid w:val="00036730"/>
    <w:rsid w:val="00036964"/>
    <w:rsid w:val="00036A45"/>
    <w:rsid w:val="00036AFF"/>
    <w:rsid w:val="00036ED9"/>
    <w:rsid w:val="00037065"/>
    <w:rsid w:val="0003710D"/>
    <w:rsid w:val="000371EF"/>
    <w:rsid w:val="00037314"/>
    <w:rsid w:val="000373D0"/>
    <w:rsid w:val="00040828"/>
    <w:rsid w:val="0004090B"/>
    <w:rsid w:val="00040C54"/>
    <w:rsid w:val="00040E6B"/>
    <w:rsid w:val="00041133"/>
    <w:rsid w:val="000417CE"/>
    <w:rsid w:val="00041B94"/>
    <w:rsid w:val="00041C9E"/>
    <w:rsid w:val="000422A3"/>
    <w:rsid w:val="00042367"/>
    <w:rsid w:val="0004247D"/>
    <w:rsid w:val="000425C5"/>
    <w:rsid w:val="0004312D"/>
    <w:rsid w:val="000433CA"/>
    <w:rsid w:val="00043F04"/>
    <w:rsid w:val="00043FE1"/>
    <w:rsid w:val="0004407D"/>
    <w:rsid w:val="000446FF"/>
    <w:rsid w:val="00044831"/>
    <w:rsid w:val="000449FB"/>
    <w:rsid w:val="00044B99"/>
    <w:rsid w:val="00045200"/>
    <w:rsid w:val="00045231"/>
    <w:rsid w:val="00045386"/>
    <w:rsid w:val="00045606"/>
    <w:rsid w:val="00045770"/>
    <w:rsid w:val="00045781"/>
    <w:rsid w:val="00045B06"/>
    <w:rsid w:val="00045B88"/>
    <w:rsid w:val="00045F3E"/>
    <w:rsid w:val="000461EB"/>
    <w:rsid w:val="0004667D"/>
    <w:rsid w:val="00046E59"/>
    <w:rsid w:val="00046E9F"/>
    <w:rsid w:val="0004723D"/>
    <w:rsid w:val="0004749B"/>
    <w:rsid w:val="000475FF"/>
    <w:rsid w:val="00047B6A"/>
    <w:rsid w:val="00047F28"/>
    <w:rsid w:val="00050585"/>
    <w:rsid w:val="000509E5"/>
    <w:rsid w:val="00050A5E"/>
    <w:rsid w:val="00050AB9"/>
    <w:rsid w:val="00050BC4"/>
    <w:rsid w:val="00050BC5"/>
    <w:rsid w:val="000513CC"/>
    <w:rsid w:val="00051E68"/>
    <w:rsid w:val="000520B8"/>
    <w:rsid w:val="00052B28"/>
    <w:rsid w:val="00052BB4"/>
    <w:rsid w:val="00054079"/>
    <w:rsid w:val="0005438A"/>
    <w:rsid w:val="000543F9"/>
    <w:rsid w:val="00055251"/>
    <w:rsid w:val="0005559D"/>
    <w:rsid w:val="00055A4C"/>
    <w:rsid w:val="00055BE5"/>
    <w:rsid w:val="00055E8A"/>
    <w:rsid w:val="00055ED0"/>
    <w:rsid w:val="000564F8"/>
    <w:rsid w:val="000566CE"/>
    <w:rsid w:val="00056F86"/>
    <w:rsid w:val="0005703F"/>
    <w:rsid w:val="00057091"/>
    <w:rsid w:val="00057684"/>
    <w:rsid w:val="0006011C"/>
    <w:rsid w:val="0006059E"/>
    <w:rsid w:val="00061446"/>
    <w:rsid w:val="000615F8"/>
    <w:rsid w:val="00061AB4"/>
    <w:rsid w:val="00062177"/>
    <w:rsid w:val="000629CF"/>
    <w:rsid w:val="00062D31"/>
    <w:rsid w:val="00062F49"/>
    <w:rsid w:val="000631A5"/>
    <w:rsid w:val="0006346C"/>
    <w:rsid w:val="0006382A"/>
    <w:rsid w:val="00064090"/>
    <w:rsid w:val="000640BD"/>
    <w:rsid w:val="00064A16"/>
    <w:rsid w:val="00064A1D"/>
    <w:rsid w:val="000657B0"/>
    <w:rsid w:val="00065952"/>
    <w:rsid w:val="00065C75"/>
    <w:rsid w:val="00065F1A"/>
    <w:rsid w:val="00066204"/>
    <w:rsid w:val="000662EB"/>
    <w:rsid w:val="0006690B"/>
    <w:rsid w:val="00066C8D"/>
    <w:rsid w:val="00066E4C"/>
    <w:rsid w:val="00066F1A"/>
    <w:rsid w:val="00066FE9"/>
    <w:rsid w:val="00067132"/>
    <w:rsid w:val="00067264"/>
    <w:rsid w:val="00067580"/>
    <w:rsid w:val="0006762F"/>
    <w:rsid w:val="00067928"/>
    <w:rsid w:val="00067977"/>
    <w:rsid w:val="00067D29"/>
    <w:rsid w:val="0007003D"/>
    <w:rsid w:val="000700D9"/>
    <w:rsid w:val="0007021F"/>
    <w:rsid w:val="00070846"/>
    <w:rsid w:val="00070A2C"/>
    <w:rsid w:val="00070E59"/>
    <w:rsid w:val="0007120D"/>
    <w:rsid w:val="00071356"/>
    <w:rsid w:val="000716EA"/>
    <w:rsid w:val="000719F9"/>
    <w:rsid w:val="00071D17"/>
    <w:rsid w:val="00071E05"/>
    <w:rsid w:val="000727E9"/>
    <w:rsid w:val="00072835"/>
    <w:rsid w:val="00072ADC"/>
    <w:rsid w:val="00072B06"/>
    <w:rsid w:val="00072D5C"/>
    <w:rsid w:val="00072EBB"/>
    <w:rsid w:val="000731A3"/>
    <w:rsid w:val="000731AC"/>
    <w:rsid w:val="00073DC6"/>
    <w:rsid w:val="00073FCF"/>
    <w:rsid w:val="00074464"/>
    <w:rsid w:val="00074567"/>
    <w:rsid w:val="0007498D"/>
    <w:rsid w:val="00075831"/>
    <w:rsid w:val="00075BF7"/>
    <w:rsid w:val="0007633B"/>
    <w:rsid w:val="00077776"/>
    <w:rsid w:val="0008044B"/>
    <w:rsid w:val="0008064F"/>
    <w:rsid w:val="000815A1"/>
    <w:rsid w:val="00081696"/>
    <w:rsid w:val="00081760"/>
    <w:rsid w:val="0008196E"/>
    <w:rsid w:val="000827AC"/>
    <w:rsid w:val="000829A8"/>
    <w:rsid w:val="000830D1"/>
    <w:rsid w:val="0008378B"/>
    <w:rsid w:val="00083867"/>
    <w:rsid w:val="0008391D"/>
    <w:rsid w:val="00083AEF"/>
    <w:rsid w:val="00083B25"/>
    <w:rsid w:val="000848E0"/>
    <w:rsid w:val="00084BC0"/>
    <w:rsid w:val="00084E32"/>
    <w:rsid w:val="00085559"/>
    <w:rsid w:val="00085B85"/>
    <w:rsid w:val="00085EEB"/>
    <w:rsid w:val="00086014"/>
    <w:rsid w:val="000860DB"/>
    <w:rsid w:val="00086138"/>
    <w:rsid w:val="00086ADE"/>
    <w:rsid w:val="0008710B"/>
    <w:rsid w:val="0008719A"/>
    <w:rsid w:val="00087486"/>
    <w:rsid w:val="00087BFA"/>
    <w:rsid w:val="00087FF6"/>
    <w:rsid w:val="00090952"/>
    <w:rsid w:val="00090D5B"/>
    <w:rsid w:val="00090F3E"/>
    <w:rsid w:val="00091EE8"/>
    <w:rsid w:val="00091F86"/>
    <w:rsid w:val="00092118"/>
    <w:rsid w:val="00092602"/>
    <w:rsid w:val="00092813"/>
    <w:rsid w:val="0009291D"/>
    <w:rsid w:val="000931C5"/>
    <w:rsid w:val="00093256"/>
    <w:rsid w:val="000933CF"/>
    <w:rsid w:val="00093949"/>
    <w:rsid w:val="00093E69"/>
    <w:rsid w:val="00093F98"/>
    <w:rsid w:val="0009427F"/>
    <w:rsid w:val="00094D56"/>
    <w:rsid w:val="00094DD7"/>
    <w:rsid w:val="0009594F"/>
    <w:rsid w:val="00096457"/>
    <w:rsid w:val="0009676A"/>
    <w:rsid w:val="00096D7B"/>
    <w:rsid w:val="000973A3"/>
    <w:rsid w:val="00097575"/>
    <w:rsid w:val="00097732"/>
    <w:rsid w:val="00097820"/>
    <w:rsid w:val="00097AA2"/>
    <w:rsid w:val="00097E40"/>
    <w:rsid w:val="000A00E0"/>
    <w:rsid w:val="000A0BA8"/>
    <w:rsid w:val="000A0EF4"/>
    <w:rsid w:val="000A186E"/>
    <w:rsid w:val="000A190F"/>
    <w:rsid w:val="000A21F2"/>
    <w:rsid w:val="000A232D"/>
    <w:rsid w:val="000A264F"/>
    <w:rsid w:val="000A2A25"/>
    <w:rsid w:val="000A2C57"/>
    <w:rsid w:val="000A3007"/>
    <w:rsid w:val="000A330B"/>
    <w:rsid w:val="000A35EC"/>
    <w:rsid w:val="000A38F9"/>
    <w:rsid w:val="000A3BEB"/>
    <w:rsid w:val="000A428E"/>
    <w:rsid w:val="000A4729"/>
    <w:rsid w:val="000A474B"/>
    <w:rsid w:val="000A503A"/>
    <w:rsid w:val="000A51FC"/>
    <w:rsid w:val="000A53A5"/>
    <w:rsid w:val="000A58FB"/>
    <w:rsid w:val="000A6274"/>
    <w:rsid w:val="000A62C5"/>
    <w:rsid w:val="000A65B6"/>
    <w:rsid w:val="000A669D"/>
    <w:rsid w:val="000A7782"/>
    <w:rsid w:val="000A7D19"/>
    <w:rsid w:val="000A7DA3"/>
    <w:rsid w:val="000B00ED"/>
    <w:rsid w:val="000B035F"/>
    <w:rsid w:val="000B0BF9"/>
    <w:rsid w:val="000B10DF"/>
    <w:rsid w:val="000B1199"/>
    <w:rsid w:val="000B1326"/>
    <w:rsid w:val="000B1421"/>
    <w:rsid w:val="000B1594"/>
    <w:rsid w:val="000B173C"/>
    <w:rsid w:val="000B19D9"/>
    <w:rsid w:val="000B19EB"/>
    <w:rsid w:val="000B2121"/>
    <w:rsid w:val="000B2334"/>
    <w:rsid w:val="000B2948"/>
    <w:rsid w:val="000B2B41"/>
    <w:rsid w:val="000B2C5E"/>
    <w:rsid w:val="000B336A"/>
    <w:rsid w:val="000B3570"/>
    <w:rsid w:val="000B35D0"/>
    <w:rsid w:val="000B3A70"/>
    <w:rsid w:val="000B3A7C"/>
    <w:rsid w:val="000B3C11"/>
    <w:rsid w:val="000B4E46"/>
    <w:rsid w:val="000B4E7C"/>
    <w:rsid w:val="000B55F6"/>
    <w:rsid w:val="000B59CA"/>
    <w:rsid w:val="000B5F2F"/>
    <w:rsid w:val="000B67B0"/>
    <w:rsid w:val="000B6CAB"/>
    <w:rsid w:val="000B6DBC"/>
    <w:rsid w:val="000B6DCF"/>
    <w:rsid w:val="000B6DF9"/>
    <w:rsid w:val="000B71D4"/>
    <w:rsid w:val="000B7224"/>
    <w:rsid w:val="000B7AFD"/>
    <w:rsid w:val="000B7D71"/>
    <w:rsid w:val="000B7ECF"/>
    <w:rsid w:val="000C00A8"/>
    <w:rsid w:val="000C04D5"/>
    <w:rsid w:val="000C1280"/>
    <w:rsid w:val="000C13BE"/>
    <w:rsid w:val="000C1454"/>
    <w:rsid w:val="000C14EA"/>
    <w:rsid w:val="000C18DB"/>
    <w:rsid w:val="000C2286"/>
    <w:rsid w:val="000C22A6"/>
    <w:rsid w:val="000C25B6"/>
    <w:rsid w:val="000C27DC"/>
    <w:rsid w:val="000C320A"/>
    <w:rsid w:val="000C32F1"/>
    <w:rsid w:val="000C38F8"/>
    <w:rsid w:val="000C3FCD"/>
    <w:rsid w:val="000C415F"/>
    <w:rsid w:val="000C44F2"/>
    <w:rsid w:val="000C4619"/>
    <w:rsid w:val="000C492E"/>
    <w:rsid w:val="000C4D75"/>
    <w:rsid w:val="000C4E50"/>
    <w:rsid w:val="000C4E96"/>
    <w:rsid w:val="000C5530"/>
    <w:rsid w:val="000C55DA"/>
    <w:rsid w:val="000C613E"/>
    <w:rsid w:val="000C620D"/>
    <w:rsid w:val="000C6282"/>
    <w:rsid w:val="000C69A4"/>
    <w:rsid w:val="000C69B2"/>
    <w:rsid w:val="000C6B8D"/>
    <w:rsid w:val="000C6C05"/>
    <w:rsid w:val="000C7B07"/>
    <w:rsid w:val="000C7E42"/>
    <w:rsid w:val="000D0159"/>
    <w:rsid w:val="000D0335"/>
    <w:rsid w:val="000D0577"/>
    <w:rsid w:val="000D07D0"/>
    <w:rsid w:val="000D0907"/>
    <w:rsid w:val="000D128C"/>
    <w:rsid w:val="000D139C"/>
    <w:rsid w:val="000D177B"/>
    <w:rsid w:val="000D19D1"/>
    <w:rsid w:val="000D1B38"/>
    <w:rsid w:val="000D1BF8"/>
    <w:rsid w:val="000D1CF9"/>
    <w:rsid w:val="000D1D50"/>
    <w:rsid w:val="000D2673"/>
    <w:rsid w:val="000D2B66"/>
    <w:rsid w:val="000D345C"/>
    <w:rsid w:val="000D3AF8"/>
    <w:rsid w:val="000D3C8E"/>
    <w:rsid w:val="000D3CAE"/>
    <w:rsid w:val="000D3F21"/>
    <w:rsid w:val="000D422D"/>
    <w:rsid w:val="000D4DF8"/>
    <w:rsid w:val="000D4FB5"/>
    <w:rsid w:val="000D5104"/>
    <w:rsid w:val="000D5517"/>
    <w:rsid w:val="000D5636"/>
    <w:rsid w:val="000D5C5A"/>
    <w:rsid w:val="000D6416"/>
    <w:rsid w:val="000D7200"/>
    <w:rsid w:val="000D7ACA"/>
    <w:rsid w:val="000D7BA8"/>
    <w:rsid w:val="000D7E75"/>
    <w:rsid w:val="000E026E"/>
    <w:rsid w:val="000E0BBF"/>
    <w:rsid w:val="000E0D3C"/>
    <w:rsid w:val="000E0E4E"/>
    <w:rsid w:val="000E13D5"/>
    <w:rsid w:val="000E1671"/>
    <w:rsid w:val="000E1727"/>
    <w:rsid w:val="000E1785"/>
    <w:rsid w:val="000E17F6"/>
    <w:rsid w:val="000E1910"/>
    <w:rsid w:val="000E1940"/>
    <w:rsid w:val="000E1A5D"/>
    <w:rsid w:val="000E1F54"/>
    <w:rsid w:val="000E22FF"/>
    <w:rsid w:val="000E233B"/>
    <w:rsid w:val="000E24E6"/>
    <w:rsid w:val="000E26B4"/>
    <w:rsid w:val="000E317C"/>
    <w:rsid w:val="000E36DD"/>
    <w:rsid w:val="000E3F20"/>
    <w:rsid w:val="000E43AB"/>
    <w:rsid w:val="000E44F6"/>
    <w:rsid w:val="000E4712"/>
    <w:rsid w:val="000E4985"/>
    <w:rsid w:val="000E4B5F"/>
    <w:rsid w:val="000E4D81"/>
    <w:rsid w:val="000E530E"/>
    <w:rsid w:val="000E5316"/>
    <w:rsid w:val="000E5CCB"/>
    <w:rsid w:val="000E5D3B"/>
    <w:rsid w:val="000E5F3B"/>
    <w:rsid w:val="000E683D"/>
    <w:rsid w:val="000E685E"/>
    <w:rsid w:val="000E6CC5"/>
    <w:rsid w:val="000E6E62"/>
    <w:rsid w:val="000E7019"/>
    <w:rsid w:val="000E7091"/>
    <w:rsid w:val="000E766E"/>
    <w:rsid w:val="000E78B9"/>
    <w:rsid w:val="000E78D9"/>
    <w:rsid w:val="000E7DF8"/>
    <w:rsid w:val="000F03C7"/>
    <w:rsid w:val="000F0CB7"/>
    <w:rsid w:val="000F0EAD"/>
    <w:rsid w:val="000F1967"/>
    <w:rsid w:val="000F1A4A"/>
    <w:rsid w:val="000F1E46"/>
    <w:rsid w:val="000F1EFC"/>
    <w:rsid w:val="000F218F"/>
    <w:rsid w:val="000F2302"/>
    <w:rsid w:val="000F2311"/>
    <w:rsid w:val="000F23AC"/>
    <w:rsid w:val="000F23E9"/>
    <w:rsid w:val="000F26C3"/>
    <w:rsid w:val="000F29A8"/>
    <w:rsid w:val="000F2C56"/>
    <w:rsid w:val="000F2E27"/>
    <w:rsid w:val="000F34B3"/>
    <w:rsid w:val="000F372B"/>
    <w:rsid w:val="000F37F3"/>
    <w:rsid w:val="000F3B69"/>
    <w:rsid w:val="000F3BF8"/>
    <w:rsid w:val="000F4002"/>
    <w:rsid w:val="000F4066"/>
    <w:rsid w:val="000F425B"/>
    <w:rsid w:val="000F42EC"/>
    <w:rsid w:val="000F4545"/>
    <w:rsid w:val="000F49FA"/>
    <w:rsid w:val="000F4B55"/>
    <w:rsid w:val="000F4F9C"/>
    <w:rsid w:val="000F5035"/>
    <w:rsid w:val="000F59F6"/>
    <w:rsid w:val="000F5BE9"/>
    <w:rsid w:val="000F5F86"/>
    <w:rsid w:val="000F6027"/>
    <w:rsid w:val="000F672B"/>
    <w:rsid w:val="000F71E5"/>
    <w:rsid w:val="000F729C"/>
    <w:rsid w:val="0010048B"/>
    <w:rsid w:val="00100539"/>
    <w:rsid w:val="00100768"/>
    <w:rsid w:val="00100BDE"/>
    <w:rsid w:val="0010109D"/>
    <w:rsid w:val="001012C0"/>
    <w:rsid w:val="00101428"/>
    <w:rsid w:val="0010201D"/>
    <w:rsid w:val="001023A2"/>
    <w:rsid w:val="001029D9"/>
    <w:rsid w:val="00102FB1"/>
    <w:rsid w:val="00103079"/>
    <w:rsid w:val="00103397"/>
    <w:rsid w:val="00103445"/>
    <w:rsid w:val="001037C9"/>
    <w:rsid w:val="001040BE"/>
    <w:rsid w:val="001045B1"/>
    <w:rsid w:val="00104735"/>
    <w:rsid w:val="00104AAF"/>
    <w:rsid w:val="00104DEC"/>
    <w:rsid w:val="00105190"/>
    <w:rsid w:val="00105572"/>
    <w:rsid w:val="001056D4"/>
    <w:rsid w:val="00105A79"/>
    <w:rsid w:val="00106246"/>
    <w:rsid w:val="00106370"/>
    <w:rsid w:val="001064F3"/>
    <w:rsid w:val="00106633"/>
    <w:rsid w:val="001066DA"/>
    <w:rsid w:val="00106716"/>
    <w:rsid w:val="00106735"/>
    <w:rsid w:val="001069FB"/>
    <w:rsid w:val="00106B1C"/>
    <w:rsid w:val="00106C40"/>
    <w:rsid w:val="00106ED7"/>
    <w:rsid w:val="00107296"/>
    <w:rsid w:val="001072E8"/>
    <w:rsid w:val="001078A2"/>
    <w:rsid w:val="00107934"/>
    <w:rsid w:val="00107DE8"/>
    <w:rsid w:val="00107EB2"/>
    <w:rsid w:val="001101C8"/>
    <w:rsid w:val="00110723"/>
    <w:rsid w:val="0011072D"/>
    <w:rsid w:val="00110C23"/>
    <w:rsid w:val="00110F6B"/>
    <w:rsid w:val="00111048"/>
    <w:rsid w:val="00111FB8"/>
    <w:rsid w:val="0011214E"/>
    <w:rsid w:val="001121ED"/>
    <w:rsid w:val="00112941"/>
    <w:rsid w:val="00112A0E"/>
    <w:rsid w:val="00113C26"/>
    <w:rsid w:val="001146DA"/>
    <w:rsid w:val="00114D13"/>
    <w:rsid w:val="00114F0E"/>
    <w:rsid w:val="00115B0E"/>
    <w:rsid w:val="00115E1C"/>
    <w:rsid w:val="00115E71"/>
    <w:rsid w:val="00116001"/>
    <w:rsid w:val="001162FB"/>
    <w:rsid w:val="001163E5"/>
    <w:rsid w:val="001175DF"/>
    <w:rsid w:val="00117B1C"/>
    <w:rsid w:val="0012033E"/>
    <w:rsid w:val="001204A0"/>
    <w:rsid w:val="00120A1F"/>
    <w:rsid w:val="00120A2A"/>
    <w:rsid w:val="00120C5F"/>
    <w:rsid w:val="001210D9"/>
    <w:rsid w:val="001218AA"/>
    <w:rsid w:val="001219BC"/>
    <w:rsid w:val="001226B3"/>
    <w:rsid w:val="001226ED"/>
    <w:rsid w:val="001228C0"/>
    <w:rsid w:val="00122D2D"/>
    <w:rsid w:val="0012321F"/>
    <w:rsid w:val="0012395F"/>
    <w:rsid w:val="00124159"/>
    <w:rsid w:val="001242C3"/>
    <w:rsid w:val="00124654"/>
    <w:rsid w:val="0012469B"/>
    <w:rsid w:val="001248B5"/>
    <w:rsid w:val="001248DD"/>
    <w:rsid w:val="00124F5A"/>
    <w:rsid w:val="00125070"/>
    <w:rsid w:val="001258A1"/>
    <w:rsid w:val="00125D10"/>
    <w:rsid w:val="0012605F"/>
    <w:rsid w:val="0012652B"/>
    <w:rsid w:val="00126534"/>
    <w:rsid w:val="00126821"/>
    <w:rsid w:val="00126912"/>
    <w:rsid w:val="0012691F"/>
    <w:rsid w:val="00127015"/>
    <w:rsid w:val="001271B1"/>
    <w:rsid w:val="00127C4D"/>
    <w:rsid w:val="00127CFC"/>
    <w:rsid w:val="00127E2B"/>
    <w:rsid w:val="00127F1C"/>
    <w:rsid w:val="00127F90"/>
    <w:rsid w:val="001302CC"/>
    <w:rsid w:val="001304C0"/>
    <w:rsid w:val="001304C1"/>
    <w:rsid w:val="00130555"/>
    <w:rsid w:val="001305C2"/>
    <w:rsid w:val="00130C44"/>
    <w:rsid w:val="00130EEA"/>
    <w:rsid w:val="001310D2"/>
    <w:rsid w:val="00131763"/>
    <w:rsid w:val="00131BA9"/>
    <w:rsid w:val="00131F9F"/>
    <w:rsid w:val="00132739"/>
    <w:rsid w:val="001329AE"/>
    <w:rsid w:val="00132A22"/>
    <w:rsid w:val="00132B9A"/>
    <w:rsid w:val="00132C95"/>
    <w:rsid w:val="00132F0F"/>
    <w:rsid w:val="0013302E"/>
    <w:rsid w:val="00133167"/>
    <w:rsid w:val="0013328C"/>
    <w:rsid w:val="00133561"/>
    <w:rsid w:val="0013358A"/>
    <w:rsid w:val="00133645"/>
    <w:rsid w:val="001336CC"/>
    <w:rsid w:val="00133872"/>
    <w:rsid w:val="00133D44"/>
    <w:rsid w:val="00133D71"/>
    <w:rsid w:val="00134224"/>
    <w:rsid w:val="001346AF"/>
    <w:rsid w:val="00134861"/>
    <w:rsid w:val="00134A9C"/>
    <w:rsid w:val="00134DAE"/>
    <w:rsid w:val="00134E47"/>
    <w:rsid w:val="001356D2"/>
    <w:rsid w:val="00135A5A"/>
    <w:rsid w:val="00135B62"/>
    <w:rsid w:val="00135C7B"/>
    <w:rsid w:val="00135EE2"/>
    <w:rsid w:val="00135F95"/>
    <w:rsid w:val="00135FA4"/>
    <w:rsid w:val="00135FBF"/>
    <w:rsid w:val="00136D56"/>
    <w:rsid w:val="00136DAA"/>
    <w:rsid w:val="00136E10"/>
    <w:rsid w:val="00137327"/>
    <w:rsid w:val="0013739F"/>
    <w:rsid w:val="001375AE"/>
    <w:rsid w:val="00137A51"/>
    <w:rsid w:val="00137B2F"/>
    <w:rsid w:val="00137F9E"/>
    <w:rsid w:val="0014050B"/>
    <w:rsid w:val="00140A22"/>
    <w:rsid w:val="00140A71"/>
    <w:rsid w:val="00141CF8"/>
    <w:rsid w:val="00141F22"/>
    <w:rsid w:val="001420AE"/>
    <w:rsid w:val="00142DC5"/>
    <w:rsid w:val="001430D8"/>
    <w:rsid w:val="00143504"/>
    <w:rsid w:val="001435A8"/>
    <w:rsid w:val="0014390E"/>
    <w:rsid w:val="00143983"/>
    <w:rsid w:val="00143BD1"/>
    <w:rsid w:val="00143C36"/>
    <w:rsid w:val="00143EF1"/>
    <w:rsid w:val="00144FDD"/>
    <w:rsid w:val="001453AD"/>
    <w:rsid w:val="00145713"/>
    <w:rsid w:val="001457D5"/>
    <w:rsid w:val="00145A66"/>
    <w:rsid w:val="001462B7"/>
    <w:rsid w:val="00146988"/>
    <w:rsid w:val="00146F10"/>
    <w:rsid w:val="001476B7"/>
    <w:rsid w:val="00147965"/>
    <w:rsid w:val="00147D2B"/>
    <w:rsid w:val="001500BF"/>
    <w:rsid w:val="001503D3"/>
    <w:rsid w:val="001503D6"/>
    <w:rsid w:val="00150724"/>
    <w:rsid w:val="00150C54"/>
    <w:rsid w:val="00150F1B"/>
    <w:rsid w:val="001517C2"/>
    <w:rsid w:val="00151821"/>
    <w:rsid w:val="00151AC5"/>
    <w:rsid w:val="00151F26"/>
    <w:rsid w:val="001521F7"/>
    <w:rsid w:val="001522E1"/>
    <w:rsid w:val="00152352"/>
    <w:rsid w:val="00152644"/>
    <w:rsid w:val="0015273B"/>
    <w:rsid w:val="0015288B"/>
    <w:rsid w:val="00152ED0"/>
    <w:rsid w:val="00153113"/>
    <w:rsid w:val="0015345F"/>
    <w:rsid w:val="00153545"/>
    <w:rsid w:val="00153569"/>
    <w:rsid w:val="00153629"/>
    <w:rsid w:val="00153753"/>
    <w:rsid w:val="00153889"/>
    <w:rsid w:val="00154176"/>
    <w:rsid w:val="00154281"/>
    <w:rsid w:val="00154D28"/>
    <w:rsid w:val="00154F5C"/>
    <w:rsid w:val="00155074"/>
    <w:rsid w:val="00155597"/>
    <w:rsid w:val="0015587B"/>
    <w:rsid w:val="00155A67"/>
    <w:rsid w:val="00155BF8"/>
    <w:rsid w:val="00155E90"/>
    <w:rsid w:val="0015601E"/>
    <w:rsid w:val="001561D8"/>
    <w:rsid w:val="0015623F"/>
    <w:rsid w:val="00156C35"/>
    <w:rsid w:val="00156E37"/>
    <w:rsid w:val="00157136"/>
    <w:rsid w:val="001571D7"/>
    <w:rsid w:val="0015768E"/>
    <w:rsid w:val="0016003A"/>
    <w:rsid w:val="00160802"/>
    <w:rsid w:val="00160818"/>
    <w:rsid w:val="00160B21"/>
    <w:rsid w:val="00160CE4"/>
    <w:rsid w:val="00161527"/>
    <w:rsid w:val="00161632"/>
    <w:rsid w:val="00161774"/>
    <w:rsid w:val="00161E29"/>
    <w:rsid w:val="001626C7"/>
    <w:rsid w:val="001632E7"/>
    <w:rsid w:val="001635B7"/>
    <w:rsid w:val="0016363B"/>
    <w:rsid w:val="00163AE2"/>
    <w:rsid w:val="00164235"/>
    <w:rsid w:val="00164510"/>
    <w:rsid w:val="00164575"/>
    <w:rsid w:val="00164D3B"/>
    <w:rsid w:val="00164E2F"/>
    <w:rsid w:val="0016578A"/>
    <w:rsid w:val="00165CD8"/>
    <w:rsid w:val="00165F76"/>
    <w:rsid w:val="001663F2"/>
    <w:rsid w:val="001663FB"/>
    <w:rsid w:val="0016646B"/>
    <w:rsid w:val="001664B4"/>
    <w:rsid w:val="0016671F"/>
    <w:rsid w:val="00166CD8"/>
    <w:rsid w:val="00167521"/>
    <w:rsid w:val="0016752B"/>
    <w:rsid w:val="001677EC"/>
    <w:rsid w:val="00167E3B"/>
    <w:rsid w:val="001705E6"/>
    <w:rsid w:val="00170867"/>
    <w:rsid w:val="001709D1"/>
    <w:rsid w:val="00170D40"/>
    <w:rsid w:val="00170DDF"/>
    <w:rsid w:val="0017131D"/>
    <w:rsid w:val="00171A30"/>
    <w:rsid w:val="00172268"/>
    <w:rsid w:val="00172564"/>
    <w:rsid w:val="00172A54"/>
    <w:rsid w:val="00172C50"/>
    <w:rsid w:val="00172F05"/>
    <w:rsid w:val="00173303"/>
    <w:rsid w:val="00173F24"/>
    <w:rsid w:val="00173FD5"/>
    <w:rsid w:val="001747B3"/>
    <w:rsid w:val="001747F9"/>
    <w:rsid w:val="0017496B"/>
    <w:rsid w:val="00174C2E"/>
    <w:rsid w:val="0017509C"/>
    <w:rsid w:val="0017514E"/>
    <w:rsid w:val="00175317"/>
    <w:rsid w:val="00175529"/>
    <w:rsid w:val="00175540"/>
    <w:rsid w:val="0017578B"/>
    <w:rsid w:val="00175EFF"/>
    <w:rsid w:val="00176267"/>
    <w:rsid w:val="0017633A"/>
    <w:rsid w:val="001772AE"/>
    <w:rsid w:val="001775F6"/>
    <w:rsid w:val="00177782"/>
    <w:rsid w:val="001779E4"/>
    <w:rsid w:val="00177C1A"/>
    <w:rsid w:val="00177F22"/>
    <w:rsid w:val="001801B9"/>
    <w:rsid w:val="0018050C"/>
    <w:rsid w:val="0018106A"/>
    <w:rsid w:val="00181193"/>
    <w:rsid w:val="00181490"/>
    <w:rsid w:val="001817C8"/>
    <w:rsid w:val="00181A15"/>
    <w:rsid w:val="00181B70"/>
    <w:rsid w:val="00182082"/>
    <w:rsid w:val="0018208B"/>
    <w:rsid w:val="00182328"/>
    <w:rsid w:val="00182398"/>
    <w:rsid w:val="001827B0"/>
    <w:rsid w:val="00183168"/>
    <w:rsid w:val="00183D72"/>
    <w:rsid w:val="00183FB0"/>
    <w:rsid w:val="00184067"/>
    <w:rsid w:val="0018426F"/>
    <w:rsid w:val="001844CF"/>
    <w:rsid w:val="0018464F"/>
    <w:rsid w:val="001847A6"/>
    <w:rsid w:val="00184A54"/>
    <w:rsid w:val="00184F0B"/>
    <w:rsid w:val="001851AD"/>
    <w:rsid w:val="001852FB"/>
    <w:rsid w:val="00185827"/>
    <w:rsid w:val="00185A8F"/>
    <w:rsid w:val="00185D49"/>
    <w:rsid w:val="00185FDA"/>
    <w:rsid w:val="00186513"/>
    <w:rsid w:val="001867A1"/>
    <w:rsid w:val="00186886"/>
    <w:rsid w:val="0018752D"/>
    <w:rsid w:val="00187CA8"/>
    <w:rsid w:val="00187D35"/>
    <w:rsid w:val="00187E55"/>
    <w:rsid w:val="00190492"/>
    <w:rsid w:val="00190E72"/>
    <w:rsid w:val="00190E9B"/>
    <w:rsid w:val="00191413"/>
    <w:rsid w:val="00191563"/>
    <w:rsid w:val="00191612"/>
    <w:rsid w:val="00191618"/>
    <w:rsid w:val="00191B23"/>
    <w:rsid w:val="00191C2A"/>
    <w:rsid w:val="0019244B"/>
    <w:rsid w:val="00192D07"/>
    <w:rsid w:val="00192E82"/>
    <w:rsid w:val="00192ED2"/>
    <w:rsid w:val="00192F7C"/>
    <w:rsid w:val="00193762"/>
    <w:rsid w:val="00193B49"/>
    <w:rsid w:val="00193C03"/>
    <w:rsid w:val="00193FA3"/>
    <w:rsid w:val="00194190"/>
    <w:rsid w:val="0019427A"/>
    <w:rsid w:val="001948EE"/>
    <w:rsid w:val="00194A55"/>
    <w:rsid w:val="00194DF5"/>
    <w:rsid w:val="001953E4"/>
    <w:rsid w:val="001956E9"/>
    <w:rsid w:val="00195720"/>
    <w:rsid w:val="001957DA"/>
    <w:rsid w:val="00195EB7"/>
    <w:rsid w:val="00195FE3"/>
    <w:rsid w:val="00196256"/>
    <w:rsid w:val="001963C2"/>
    <w:rsid w:val="0019691E"/>
    <w:rsid w:val="00196B9A"/>
    <w:rsid w:val="00196FB0"/>
    <w:rsid w:val="001971E3"/>
    <w:rsid w:val="001973F4"/>
    <w:rsid w:val="00197432"/>
    <w:rsid w:val="001974B5"/>
    <w:rsid w:val="0019764A"/>
    <w:rsid w:val="00197C3F"/>
    <w:rsid w:val="001A0D08"/>
    <w:rsid w:val="001A0E59"/>
    <w:rsid w:val="001A0E95"/>
    <w:rsid w:val="001A13D5"/>
    <w:rsid w:val="001A14DE"/>
    <w:rsid w:val="001A1668"/>
    <w:rsid w:val="001A19D1"/>
    <w:rsid w:val="001A1B89"/>
    <w:rsid w:val="001A1E4B"/>
    <w:rsid w:val="001A1FA3"/>
    <w:rsid w:val="001A2365"/>
    <w:rsid w:val="001A255E"/>
    <w:rsid w:val="001A30FC"/>
    <w:rsid w:val="001A3A84"/>
    <w:rsid w:val="001A3C9F"/>
    <w:rsid w:val="001A3D35"/>
    <w:rsid w:val="001A4298"/>
    <w:rsid w:val="001A42B9"/>
    <w:rsid w:val="001A431A"/>
    <w:rsid w:val="001A4BFB"/>
    <w:rsid w:val="001A4FA4"/>
    <w:rsid w:val="001A4FF3"/>
    <w:rsid w:val="001A558A"/>
    <w:rsid w:val="001A56FD"/>
    <w:rsid w:val="001A5B28"/>
    <w:rsid w:val="001A5BB9"/>
    <w:rsid w:val="001A5DA9"/>
    <w:rsid w:val="001A64CF"/>
    <w:rsid w:val="001A662E"/>
    <w:rsid w:val="001A6803"/>
    <w:rsid w:val="001A6C95"/>
    <w:rsid w:val="001A6F9A"/>
    <w:rsid w:val="001A7098"/>
    <w:rsid w:val="001A7122"/>
    <w:rsid w:val="001A730D"/>
    <w:rsid w:val="001A7331"/>
    <w:rsid w:val="001A7537"/>
    <w:rsid w:val="001A7E3D"/>
    <w:rsid w:val="001B00D9"/>
    <w:rsid w:val="001B020C"/>
    <w:rsid w:val="001B04A1"/>
    <w:rsid w:val="001B0D92"/>
    <w:rsid w:val="001B10BC"/>
    <w:rsid w:val="001B127A"/>
    <w:rsid w:val="001B17CC"/>
    <w:rsid w:val="001B182B"/>
    <w:rsid w:val="001B1897"/>
    <w:rsid w:val="001B190F"/>
    <w:rsid w:val="001B1DA2"/>
    <w:rsid w:val="001B201F"/>
    <w:rsid w:val="001B2609"/>
    <w:rsid w:val="001B2915"/>
    <w:rsid w:val="001B2A67"/>
    <w:rsid w:val="001B2E04"/>
    <w:rsid w:val="001B307F"/>
    <w:rsid w:val="001B34DF"/>
    <w:rsid w:val="001B3CF4"/>
    <w:rsid w:val="001B4149"/>
    <w:rsid w:val="001B4926"/>
    <w:rsid w:val="001B52E3"/>
    <w:rsid w:val="001B582A"/>
    <w:rsid w:val="001B59BD"/>
    <w:rsid w:val="001B706E"/>
    <w:rsid w:val="001B76E3"/>
    <w:rsid w:val="001B77DC"/>
    <w:rsid w:val="001C01E2"/>
    <w:rsid w:val="001C0471"/>
    <w:rsid w:val="001C049C"/>
    <w:rsid w:val="001C05B2"/>
    <w:rsid w:val="001C0601"/>
    <w:rsid w:val="001C099F"/>
    <w:rsid w:val="001C1061"/>
    <w:rsid w:val="001C115D"/>
    <w:rsid w:val="001C122E"/>
    <w:rsid w:val="001C129B"/>
    <w:rsid w:val="001C12A5"/>
    <w:rsid w:val="001C16A0"/>
    <w:rsid w:val="001C1F10"/>
    <w:rsid w:val="001C2132"/>
    <w:rsid w:val="001C23BE"/>
    <w:rsid w:val="001C24A2"/>
    <w:rsid w:val="001C3059"/>
    <w:rsid w:val="001C3DFA"/>
    <w:rsid w:val="001C4798"/>
    <w:rsid w:val="001C4BC0"/>
    <w:rsid w:val="001C5443"/>
    <w:rsid w:val="001C5BC0"/>
    <w:rsid w:val="001C5F22"/>
    <w:rsid w:val="001C5F84"/>
    <w:rsid w:val="001C605B"/>
    <w:rsid w:val="001C6362"/>
    <w:rsid w:val="001C64B2"/>
    <w:rsid w:val="001C6AA9"/>
    <w:rsid w:val="001C6BB3"/>
    <w:rsid w:val="001C6BC5"/>
    <w:rsid w:val="001C6D02"/>
    <w:rsid w:val="001C7481"/>
    <w:rsid w:val="001C758E"/>
    <w:rsid w:val="001C7678"/>
    <w:rsid w:val="001C7E85"/>
    <w:rsid w:val="001D046B"/>
    <w:rsid w:val="001D162D"/>
    <w:rsid w:val="001D18A0"/>
    <w:rsid w:val="001D18AA"/>
    <w:rsid w:val="001D1FB7"/>
    <w:rsid w:val="001D2405"/>
    <w:rsid w:val="001D298D"/>
    <w:rsid w:val="001D29C3"/>
    <w:rsid w:val="001D2D06"/>
    <w:rsid w:val="001D2FDC"/>
    <w:rsid w:val="001D34EA"/>
    <w:rsid w:val="001D439E"/>
    <w:rsid w:val="001D43B9"/>
    <w:rsid w:val="001D46E4"/>
    <w:rsid w:val="001D4E7F"/>
    <w:rsid w:val="001D4EA7"/>
    <w:rsid w:val="001D4F82"/>
    <w:rsid w:val="001D5197"/>
    <w:rsid w:val="001D528C"/>
    <w:rsid w:val="001D53C0"/>
    <w:rsid w:val="001D5542"/>
    <w:rsid w:val="001D590F"/>
    <w:rsid w:val="001D5EEB"/>
    <w:rsid w:val="001D5FAB"/>
    <w:rsid w:val="001D66A8"/>
    <w:rsid w:val="001D68E9"/>
    <w:rsid w:val="001D6FA6"/>
    <w:rsid w:val="001D7206"/>
    <w:rsid w:val="001D74D3"/>
    <w:rsid w:val="001D772F"/>
    <w:rsid w:val="001D7CB8"/>
    <w:rsid w:val="001D7EF8"/>
    <w:rsid w:val="001E0250"/>
    <w:rsid w:val="001E0785"/>
    <w:rsid w:val="001E09E6"/>
    <w:rsid w:val="001E0BC1"/>
    <w:rsid w:val="001E1019"/>
    <w:rsid w:val="001E1630"/>
    <w:rsid w:val="001E1944"/>
    <w:rsid w:val="001E19AB"/>
    <w:rsid w:val="001E1BD7"/>
    <w:rsid w:val="001E1F32"/>
    <w:rsid w:val="001E25A5"/>
    <w:rsid w:val="001E26B7"/>
    <w:rsid w:val="001E279C"/>
    <w:rsid w:val="001E28BA"/>
    <w:rsid w:val="001E2B60"/>
    <w:rsid w:val="001E2F9A"/>
    <w:rsid w:val="001E391C"/>
    <w:rsid w:val="001E3948"/>
    <w:rsid w:val="001E3D3A"/>
    <w:rsid w:val="001E3E53"/>
    <w:rsid w:val="001E3F34"/>
    <w:rsid w:val="001E4197"/>
    <w:rsid w:val="001E43D5"/>
    <w:rsid w:val="001E4577"/>
    <w:rsid w:val="001E4610"/>
    <w:rsid w:val="001E469F"/>
    <w:rsid w:val="001E48A0"/>
    <w:rsid w:val="001E4D4E"/>
    <w:rsid w:val="001E4DDF"/>
    <w:rsid w:val="001E4EEE"/>
    <w:rsid w:val="001E4F16"/>
    <w:rsid w:val="001E4F99"/>
    <w:rsid w:val="001E54F3"/>
    <w:rsid w:val="001E55DA"/>
    <w:rsid w:val="001E59D2"/>
    <w:rsid w:val="001E5D00"/>
    <w:rsid w:val="001E5F01"/>
    <w:rsid w:val="001E5FCB"/>
    <w:rsid w:val="001E65E6"/>
    <w:rsid w:val="001E6A01"/>
    <w:rsid w:val="001E6C6E"/>
    <w:rsid w:val="001E7441"/>
    <w:rsid w:val="001E7865"/>
    <w:rsid w:val="001E7966"/>
    <w:rsid w:val="001F0205"/>
    <w:rsid w:val="001F0619"/>
    <w:rsid w:val="001F0915"/>
    <w:rsid w:val="001F0C3D"/>
    <w:rsid w:val="001F0DBE"/>
    <w:rsid w:val="001F1080"/>
    <w:rsid w:val="001F13AC"/>
    <w:rsid w:val="001F1B4D"/>
    <w:rsid w:val="001F27E4"/>
    <w:rsid w:val="001F28F3"/>
    <w:rsid w:val="001F2B56"/>
    <w:rsid w:val="001F2D8A"/>
    <w:rsid w:val="001F3094"/>
    <w:rsid w:val="001F3100"/>
    <w:rsid w:val="001F3147"/>
    <w:rsid w:val="001F3154"/>
    <w:rsid w:val="001F3C70"/>
    <w:rsid w:val="001F42E3"/>
    <w:rsid w:val="001F4A14"/>
    <w:rsid w:val="001F5C76"/>
    <w:rsid w:val="001F5C8E"/>
    <w:rsid w:val="001F5EF9"/>
    <w:rsid w:val="001F5FF2"/>
    <w:rsid w:val="001F652F"/>
    <w:rsid w:val="001F6829"/>
    <w:rsid w:val="001F6A4E"/>
    <w:rsid w:val="001F6A99"/>
    <w:rsid w:val="001F7425"/>
    <w:rsid w:val="001F7C9D"/>
    <w:rsid w:val="001F7F78"/>
    <w:rsid w:val="00200145"/>
    <w:rsid w:val="002001B8"/>
    <w:rsid w:val="00200277"/>
    <w:rsid w:val="002005AB"/>
    <w:rsid w:val="002005AC"/>
    <w:rsid w:val="0020065B"/>
    <w:rsid w:val="0020066D"/>
    <w:rsid w:val="00200831"/>
    <w:rsid w:val="00200E9B"/>
    <w:rsid w:val="00201255"/>
    <w:rsid w:val="002016EF"/>
    <w:rsid w:val="00201B22"/>
    <w:rsid w:val="00201CC2"/>
    <w:rsid w:val="002021D4"/>
    <w:rsid w:val="00202A5B"/>
    <w:rsid w:val="002037F2"/>
    <w:rsid w:val="00203B17"/>
    <w:rsid w:val="00203BCD"/>
    <w:rsid w:val="00203F24"/>
    <w:rsid w:val="00204644"/>
    <w:rsid w:val="002051D6"/>
    <w:rsid w:val="00205415"/>
    <w:rsid w:val="0020580B"/>
    <w:rsid w:val="0020593D"/>
    <w:rsid w:val="0020593E"/>
    <w:rsid w:val="00205DBB"/>
    <w:rsid w:val="00205FA3"/>
    <w:rsid w:val="00206182"/>
    <w:rsid w:val="0020625A"/>
    <w:rsid w:val="00206289"/>
    <w:rsid w:val="002069BB"/>
    <w:rsid w:val="00206AB0"/>
    <w:rsid w:val="00206BA1"/>
    <w:rsid w:val="00207254"/>
    <w:rsid w:val="00207A0C"/>
    <w:rsid w:val="00207B4E"/>
    <w:rsid w:val="00207F24"/>
    <w:rsid w:val="00207FC4"/>
    <w:rsid w:val="00210628"/>
    <w:rsid w:val="00210733"/>
    <w:rsid w:val="002108BF"/>
    <w:rsid w:val="00210F13"/>
    <w:rsid w:val="00210FE2"/>
    <w:rsid w:val="0021105E"/>
    <w:rsid w:val="00211060"/>
    <w:rsid w:val="00211116"/>
    <w:rsid w:val="00211123"/>
    <w:rsid w:val="00211150"/>
    <w:rsid w:val="002112BD"/>
    <w:rsid w:val="00211524"/>
    <w:rsid w:val="0021182B"/>
    <w:rsid w:val="002120A7"/>
    <w:rsid w:val="00212BB7"/>
    <w:rsid w:val="002131E3"/>
    <w:rsid w:val="00213358"/>
    <w:rsid w:val="002136B5"/>
    <w:rsid w:val="002136C5"/>
    <w:rsid w:val="00213A51"/>
    <w:rsid w:val="00213C41"/>
    <w:rsid w:val="00213FB9"/>
    <w:rsid w:val="00214122"/>
    <w:rsid w:val="0021501A"/>
    <w:rsid w:val="0021512C"/>
    <w:rsid w:val="002152FA"/>
    <w:rsid w:val="0021599D"/>
    <w:rsid w:val="002162BA"/>
    <w:rsid w:val="002166C2"/>
    <w:rsid w:val="00217292"/>
    <w:rsid w:val="0021776C"/>
    <w:rsid w:val="00217B76"/>
    <w:rsid w:val="00217E68"/>
    <w:rsid w:val="00217F54"/>
    <w:rsid w:val="00217FE4"/>
    <w:rsid w:val="00220230"/>
    <w:rsid w:val="0022040E"/>
    <w:rsid w:val="002204F9"/>
    <w:rsid w:val="002205C4"/>
    <w:rsid w:val="0022096C"/>
    <w:rsid w:val="00220C0A"/>
    <w:rsid w:val="00220ECE"/>
    <w:rsid w:val="00220ED3"/>
    <w:rsid w:val="002212AE"/>
    <w:rsid w:val="00221643"/>
    <w:rsid w:val="00221E5C"/>
    <w:rsid w:val="002221D0"/>
    <w:rsid w:val="00222215"/>
    <w:rsid w:val="002225D0"/>
    <w:rsid w:val="00222C28"/>
    <w:rsid w:val="00222C90"/>
    <w:rsid w:val="002231EB"/>
    <w:rsid w:val="002232CB"/>
    <w:rsid w:val="00223991"/>
    <w:rsid w:val="00223BEF"/>
    <w:rsid w:val="0022483A"/>
    <w:rsid w:val="00224D1E"/>
    <w:rsid w:val="0022541A"/>
    <w:rsid w:val="002258B9"/>
    <w:rsid w:val="00225958"/>
    <w:rsid w:val="00225A23"/>
    <w:rsid w:val="0022609C"/>
    <w:rsid w:val="0022610D"/>
    <w:rsid w:val="0022615A"/>
    <w:rsid w:val="0022636C"/>
    <w:rsid w:val="00226572"/>
    <w:rsid w:val="002265FD"/>
    <w:rsid w:val="00226650"/>
    <w:rsid w:val="00226CB2"/>
    <w:rsid w:val="00226F2C"/>
    <w:rsid w:val="002270DF"/>
    <w:rsid w:val="00227B5D"/>
    <w:rsid w:val="00227EFF"/>
    <w:rsid w:val="002306C6"/>
    <w:rsid w:val="00230913"/>
    <w:rsid w:val="00230C38"/>
    <w:rsid w:val="002314B6"/>
    <w:rsid w:val="00231559"/>
    <w:rsid w:val="00231B75"/>
    <w:rsid w:val="00231CD1"/>
    <w:rsid w:val="00231D7C"/>
    <w:rsid w:val="00231DAC"/>
    <w:rsid w:val="00231E99"/>
    <w:rsid w:val="00232172"/>
    <w:rsid w:val="002326ED"/>
    <w:rsid w:val="00232727"/>
    <w:rsid w:val="00232A21"/>
    <w:rsid w:val="00232EAC"/>
    <w:rsid w:val="002336C2"/>
    <w:rsid w:val="00233A2F"/>
    <w:rsid w:val="00233A80"/>
    <w:rsid w:val="00233E3E"/>
    <w:rsid w:val="00233E72"/>
    <w:rsid w:val="00233F91"/>
    <w:rsid w:val="00234F3C"/>
    <w:rsid w:val="00235330"/>
    <w:rsid w:val="00235389"/>
    <w:rsid w:val="002356F4"/>
    <w:rsid w:val="00235C41"/>
    <w:rsid w:val="00235C5C"/>
    <w:rsid w:val="00236B26"/>
    <w:rsid w:val="00236DDD"/>
    <w:rsid w:val="00236FE0"/>
    <w:rsid w:val="00236FEE"/>
    <w:rsid w:val="002371D1"/>
    <w:rsid w:val="002374E1"/>
    <w:rsid w:val="002377C4"/>
    <w:rsid w:val="002377FC"/>
    <w:rsid w:val="00237A83"/>
    <w:rsid w:val="00237E5B"/>
    <w:rsid w:val="00237EB3"/>
    <w:rsid w:val="00240124"/>
    <w:rsid w:val="00240147"/>
    <w:rsid w:val="002401E7"/>
    <w:rsid w:val="00241186"/>
    <w:rsid w:val="0024123C"/>
    <w:rsid w:val="002414FA"/>
    <w:rsid w:val="00241577"/>
    <w:rsid w:val="0024158A"/>
    <w:rsid w:val="00241E27"/>
    <w:rsid w:val="00241FEA"/>
    <w:rsid w:val="00242359"/>
    <w:rsid w:val="0024282A"/>
    <w:rsid w:val="0024283E"/>
    <w:rsid w:val="00242BEC"/>
    <w:rsid w:val="002432BB"/>
    <w:rsid w:val="0024360E"/>
    <w:rsid w:val="002439EA"/>
    <w:rsid w:val="00243A32"/>
    <w:rsid w:val="00244070"/>
    <w:rsid w:val="002443A9"/>
    <w:rsid w:val="002444A7"/>
    <w:rsid w:val="00244743"/>
    <w:rsid w:val="002448A6"/>
    <w:rsid w:val="00244B51"/>
    <w:rsid w:val="002459AC"/>
    <w:rsid w:val="00245CCE"/>
    <w:rsid w:val="00246800"/>
    <w:rsid w:val="00246D20"/>
    <w:rsid w:val="00246D8C"/>
    <w:rsid w:val="00246F09"/>
    <w:rsid w:val="002476B3"/>
    <w:rsid w:val="00247823"/>
    <w:rsid w:val="00247883"/>
    <w:rsid w:val="002500C6"/>
    <w:rsid w:val="002500F4"/>
    <w:rsid w:val="00250B32"/>
    <w:rsid w:val="00250DF5"/>
    <w:rsid w:val="00250DFE"/>
    <w:rsid w:val="00251069"/>
    <w:rsid w:val="0025108D"/>
    <w:rsid w:val="00251541"/>
    <w:rsid w:val="00251F33"/>
    <w:rsid w:val="00252545"/>
    <w:rsid w:val="0025275F"/>
    <w:rsid w:val="0025361B"/>
    <w:rsid w:val="00253A13"/>
    <w:rsid w:val="00253AC9"/>
    <w:rsid w:val="00253F25"/>
    <w:rsid w:val="002549E1"/>
    <w:rsid w:val="00254D4E"/>
    <w:rsid w:val="00254EC4"/>
    <w:rsid w:val="002550E6"/>
    <w:rsid w:val="00255254"/>
    <w:rsid w:val="002552C9"/>
    <w:rsid w:val="00255316"/>
    <w:rsid w:val="002559B5"/>
    <w:rsid w:val="00255C7D"/>
    <w:rsid w:val="00255DE4"/>
    <w:rsid w:val="002561FC"/>
    <w:rsid w:val="00257297"/>
    <w:rsid w:val="002572AF"/>
    <w:rsid w:val="0025742A"/>
    <w:rsid w:val="00260AD3"/>
    <w:rsid w:val="00260EE2"/>
    <w:rsid w:val="00260F54"/>
    <w:rsid w:val="00261135"/>
    <w:rsid w:val="00261FFF"/>
    <w:rsid w:val="00262207"/>
    <w:rsid w:val="0026272F"/>
    <w:rsid w:val="00262892"/>
    <w:rsid w:val="00262AE9"/>
    <w:rsid w:val="0026303F"/>
    <w:rsid w:val="0026320E"/>
    <w:rsid w:val="0026352F"/>
    <w:rsid w:val="00263636"/>
    <w:rsid w:val="00263AB1"/>
    <w:rsid w:val="00263C5F"/>
    <w:rsid w:val="00264B18"/>
    <w:rsid w:val="00264B38"/>
    <w:rsid w:val="002650FC"/>
    <w:rsid w:val="002654A1"/>
    <w:rsid w:val="00265578"/>
    <w:rsid w:val="0026577C"/>
    <w:rsid w:val="002658AA"/>
    <w:rsid w:val="0026599A"/>
    <w:rsid w:val="00265A3F"/>
    <w:rsid w:val="002661E8"/>
    <w:rsid w:val="0026629C"/>
    <w:rsid w:val="00266C15"/>
    <w:rsid w:val="00266CF1"/>
    <w:rsid w:val="00266D20"/>
    <w:rsid w:val="0026700C"/>
    <w:rsid w:val="0026759D"/>
    <w:rsid w:val="002705D0"/>
    <w:rsid w:val="002709D0"/>
    <w:rsid w:val="00270A3C"/>
    <w:rsid w:val="00270A9B"/>
    <w:rsid w:val="00270B4F"/>
    <w:rsid w:val="0027115B"/>
    <w:rsid w:val="00271ACE"/>
    <w:rsid w:val="00271B01"/>
    <w:rsid w:val="00272090"/>
    <w:rsid w:val="00272450"/>
    <w:rsid w:val="002747C8"/>
    <w:rsid w:val="00274BB8"/>
    <w:rsid w:val="00274C3A"/>
    <w:rsid w:val="0027514A"/>
    <w:rsid w:val="002755E2"/>
    <w:rsid w:val="00275750"/>
    <w:rsid w:val="002763A5"/>
    <w:rsid w:val="0027642A"/>
    <w:rsid w:val="00276711"/>
    <w:rsid w:val="00276A86"/>
    <w:rsid w:val="00276D37"/>
    <w:rsid w:val="00277F21"/>
    <w:rsid w:val="00280920"/>
    <w:rsid w:val="00280C57"/>
    <w:rsid w:val="00280C7B"/>
    <w:rsid w:val="002817F6"/>
    <w:rsid w:val="00281ED8"/>
    <w:rsid w:val="00282C20"/>
    <w:rsid w:val="00282DD0"/>
    <w:rsid w:val="00283098"/>
    <w:rsid w:val="002832E8"/>
    <w:rsid w:val="0028386D"/>
    <w:rsid w:val="00283ECD"/>
    <w:rsid w:val="00284CEF"/>
    <w:rsid w:val="00284F04"/>
    <w:rsid w:val="00284FE4"/>
    <w:rsid w:val="0028517E"/>
    <w:rsid w:val="002852C0"/>
    <w:rsid w:val="00285630"/>
    <w:rsid w:val="00285840"/>
    <w:rsid w:val="00285847"/>
    <w:rsid w:val="0028620E"/>
    <w:rsid w:val="002867CC"/>
    <w:rsid w:val="0028680B"/>
    <w:rsid w:val="002868E1"/>
    <w:rsid w:val="00286AC0"/>
    <w:rsid w:val="002873AA"/>
    <w:rsid w:val="002873C2"/>
    <w:rsid w:val="0028758C"/>
    <w:rsid w:val="002875D9"/>
    <w:rsid w:val="00287805"/>
    <w:rsid w:val="00287AC7"/>
    <w:rsid w:val="00290231"/>
    <w:rsid w:val="0029086C"/>
    <w:rsid w:val="002908BD"/>
    <w:rsid w:val="00290C40"/>
    <w:rsid w:val="00290C75"/>
    <w:rsid w:val="0029109B"/>
    <w:rsid w:val="0029152B"/>
    <w:rsid w:val="002915B1"/>
    <w:rsid w:val="00291752"/>
    <w:rsid w:val="00291A7E"/>
    <w:rsid w:val="00291DE8"/>
    <w:rsid w:val="00292185"/>
    <w:rsid w:val="002923B8"/>
    <w:rsid w:val="0029275F"/>
    <w:rsid w:val="002928DF"/>
    <w:rsid w:val="00293543"/>
    <w:rsid w:val="00293597"/>
    <w:rsid w:val="002936FE"/>
    <w:rsid w:val="00293A23"/>
    <w:rsid w:val="002943A4"/>
    <w:rsid w:val="00294415"/>
    <w:rsid w:val="0029446E"/>
    <w:rsid w:val="00294967"/>
    <w:rsid w:val="00294980"/>
    <w:rsid w:val="00294B76"/>
    <w:rsid w:val="00295114"/>
    <w:rsid w:val="00295146"/>
    <w:rsid w:val="002953A1"/>
    <w:rsid w:val="0029567B"/>
    <w:rsid w:val="00295971"/>
    <w:rsid w:val="00296001"/>
    <w:rsid w:val="002966DE"/>
    <w:rsid w:val="00296DCD"/>
    <w:rsid w:val="00297831"/>
    <w:rsid w:val="00297A67"/>
    <w:rsid w:val="00297C0E"/>
    <w:rsid w:val="00297C12"/>
    <w:rsid w:val="002A005D"/>
    <w:rsid w:val="002A0104"/>
    <w:rsid w:val="002A034E"/>
    <w:rsid w:val="002A06A2"/>
    <w:rsid w:val="002A1279"/>
    <w:rsid w:val="002A159C"/>
    <w:rsid w:val="002A1996"/>
    <w:rsid w:val="002A2216"/>
    <w:rsid w:val="002A25D2"/>
    <w:rsid w:val="002A2A2C"/>
    <w:rsid w:val="002A2AA4"/>
    <w:rsid w:val="002A2D7A"/>
    <w:rsid w:val="002A2DC9"/>
    <w:rsid w:val="002A3136"/>
    <w:rsid w:val="002A338F"/>
    <w:rsid w:val="002A3AD5"/>
    <w:rsid w:val="002A4448"/>
    <w:rsid w:val="002A4476"/>
    <w:rsid w:val="002A4EAC"/>
    <w:rsid w:val="002A4F08"/>
    <w:rsid w:val="002A5011"/>
    <w:rsid w:val="002A552C"/>
    <w:rsid w:val="002A5C14"/>
    <w:rsid w:val="002A5E5A"/>
    <w:rsid w:val="002A5EE1"/>
    <w:rsid w:val="002A6277"/>
    <w:rsid w:val="002A6292"/>
    <w:rsid w:val="002A62B3"/>
    <w:rsid w:val="002A67AB"/>
    <w:rsid w:val="002A6839"/>
    <w:rsid w:val="002A6F3D"/>
    <w:rsid w:val="002A6F88"/>
    <w:rsid w:val="002A6FD4"/>
    <w:rsid w:val="002A702E"/>
    <w:rsid w:val="002A7179"/>
    <w:rsid w:val="002A7418"/>
    <w:rsid w:val="002A7497"/>
    <w:rsid w:val="002A779B"/>
    <w:rsid w:val="002A77BF"/>
    <w:rsid w:val="002A7CB9"/>
    <w:rsid w:val="002A7D5B"/>
    <w:rsid w:val="002B029C"/>
    <w:rsid w:val="002B03B6"/>
    <w:rsid w:val="002B056D"/>
    <w:rsid w:val="002B078F"/>
    <w:rsid w:val="002B08C7"/>
    <w:rsid w:val="002B0C9B"/>
    <w:rsid w:val="002B0D2B"/>
    <w:rsid w:val="002B0F62"/>
    <w:rsid w:val="002B1068"/>
    <w:rsid w:val="002B148F"/>
    <w:rsid w:val="002B1899"/>
    <w:rsid w:val="002B26AE"/>
    <w:rsid w:val="002B288D"/>
    <w:rsid w:val="002B29D1"/>
    <w:rsid w:val="002B2B3F"/>
    <w:rsid w:val="002B3282"/>
    <w:rsid w:val="002B36DB"/>
    <w:rsid w:val="002B3A65"/>
    <w:rsid w:val="002B3B38"/>
    <w:rsid w:val="002B3F38"/>
    <w:rsid w:val="002B421F"/>
    <w:rsid w:val="002B44DA"/>
    <w:rsid w:val="002B4572"/>
    <w:rsid w:val="002B466D"/>
    <w:rsid w:val="002B469C"/>
    <w:rsid w:val="002B47F7"/>
    <w:rsid w:val="002B49EF"/>
    <w:rsid w:val="002B4A63"/>
    <w:rsid w:val="002B4D33"/>
    <w:rsid w:val="002B4E9F"/>
    <w:rsid w:val="002B59A7"/>
    <w:rsid w:val="002B5AE7"/>
    <w:rsid w:val="002B5D9B"/>
    <w:rsid w:val="002B5EDD"/>
    <w:rsid w:val="002B5F21"/>
    <w:rsid w:val="002B6293"/>
    <w:rsid w:val="002B6325"/>
    <w:rsid w:val="002B6667"/>
    <w:rsid w:val="002B66FC"/>
    <w:rsid w:val="002B6AA0"/>
    <w:rsid w:val="002B6E5B"/>
    <w:rsid w:val="002B6EAB"/>
    <w:rsid w:val="002B72A6"/>
    <w:rsid w:val="002B7A5C"/>
    <w:rsid w:val="002B7BF3"/>
    <w:rsid w:val="002B7F76"/>
    <w:rsid w:val="002C01D8"/>
    <w:rsid w:val="002C01FD"/>
    <w:rsid w:val="002C0309"/>
    <w:rsid w:val="002C0657"/>
    <w:rsid w:val="002C0F29"/>
    <w:rsid w:val="002C11A3"/>
    <w:rsid w:val="002C13A5"/>
    <w:rsid w:val="002C13C4"/>
    <w:rsid w:val="002C1449"/>
    <w:rsid w:val="002C18E5"/>
    <w:rsid w:val="002C1ADB"/>
    <w:rsid w:val="002C233B"/>
    <w:rsid w:val="002C3427"/>
    <w:rsid w:val="002C34A6"/>
    <w:rsid w:val="002C397C"/>
    <w:rsid w:val="002C3AC5"/>
    <w:rsid w:val="002C4080"/>
    <w:rsid w:val="002C44B5"/>
    <w:rsid w:val="002C49E5"/>
    <w:rsid w:val="002C538C"/>
    <w:rsid w:val="002C5992"/>
    <w:rsid w:val="002C5B6F"/>
    <w:rsid w:val="002C612D"/>
    <w:rsid w:val="002C6156"/>
    <w:rsid w:val="002C6578"/>
    <w:rsid w:val="002C65B0"/>
    <w:rsid w:val="002C6682"/>
    <w:rsid w:val="002C67CF"/>
    <w:rsid w:val="002C7526"/>
    <w:rsid w:val="002C76BF"/>
    <w:rsid w:val="002C79C5"/>
    <w:rsid w:val="002C7A1F"/>
    <w:rsid w:val="002C7D61"/>
    <w:rsid w:val="002D03CB"/>
    <w:rsid w:val="002D1053"/>
    <w:rsid w:val="002D118C"/>
    <w:rsid w:val="002D1871"/>
    <w:rsid w:val="002D194D"/>
    <w:rsid w:val="002D19C8"/>
    <w:rsid w:val="002D1BDC"/>
    <w:rsid w:val="002D1C44"/>
    <w:rsid w:val="002D1E0D"/>
    <w:rsid w:val="002D1FB0"/>
    <w:rsid w:val="002D1FF2"/>
    <w:rsid w:val="002D2128"/>
    <w:rsid w:val="002D2350"/>
    <w:rsid w:val="002D2606"/>
    <w:rsid w:val="002D28EE"/>
    <w:rsid w:val="002D3116"/>
    <w:rsid w:val="002D313F"/>
    <w:rsid w:val="002D3284"/>
    <w:rsid w:val="002D35ED"/>
    <w:rsid w:val="002D3997"/>
    <w:rsid w:val="002D3B4F"/>
    <w:rsid w:val="002D3C26"/>
    <w:rsid w:val="002D44FA"/>
    <w:rsid w:val="002D4753"/>
    <w:rsid w:val="002D47A8"/>
    <w:rsid w:val="002D4BA2"/>
    <w:rsid w:val="002D4DEF"/>
    <w:rsid w:val="002D5047"/>
    <w:rsid w:val="002D5281"/>
    <w:rsid w:val="002D5311"/>
    <w:rsid w:val="002D5B98"/>
    <w:rsid w:val="002D5FDA"/>
    <w:rsid w:val="002D61FD"/>
    <w:rsid w:val="002D6728"/>
    <w:rsid w:val="002D6993"/>
    <w:rsid w:val="002D7025"/>
    <w:rsid w:val="002D721D"/>
    <w:rsid w:val="002D7FE7"/>
    <w:rsid w:val="002E02C4"/>
    <w:rsid w:val="002E0C11"/>
    <w:rsid w:val="002E0D33"/>
    <w:rsid w:val="002E0EF5"/>
    <w:rsid w:val="002E0F92"/>
    <w:rsid w:val="002E13E5"/>
    <w:rsid w:val="002E14C2"/>
    <w:rsid w:val="002E17CD"/>
    <w:rsid w:val="002E18C0"/>
    <w:rsid w:val="002E1951"/>
    <w:rsid w:val="002E1CCD"/>
    <w:rsid w:val="002E1E52"/>
    <w:rsid w:val="002E1EC3"/>
    <w:rsid w:val="002E2461"/>
    <w:rsid w:val="002E24FC"/>
    <w:rsid w:val="002E2A2B"/>
    <w:rsid w:val="002E2AF4"/>
    <w:rsid w:val="002E2F73"/>
    <w:rsid w:val="002E2FB7"/>
    <w:rsid w:val="002E328A"/>
    <w:rsid w:val="002E3C3B"/>
    <w:rsid w:val="002E3D75"/>
    <w:rsid w:val="002E4056"/>
    <w:rsid w:val="002E4143"/>
    <w:rsid w:val="002E464D"/>
    <w:rsid w:val="002E46E5"/>
    <w:rsid w:val="002E4821"/>
    <w:rsid w:val="002E5AFE"/>
    <w:rsid w:val="002E5FB0"/>
    <w:rsid w:val="002E629A"/>
    <w:rsid w:val="002E6833"/>
    <w:rsid w:val="002E68F4"/>
    <w:rsid w:val="002E69E2"/>
    <w:rsid w:val="002E6A1E"/>
    <w:rsid w:val="002E6A34"/>
    <w:rsid w:val="002E72E4"/>
    <w:rsid w:val="002E7895"/>
    <w:rsid w:val="002E7D3B"/>
    <w:rsid w:val="002E7D65"/>
    <w:rsid w:val="002E7F48"/>
    <w:rsid w:val="002F00B4"/>
    <w:rsid w:val="002F04B5"/>
    <w:rsid w:val="002F08F5"/>
    <w:rsid w:val="002F099E"/>
    <w:rsid w:val="002F0C17"/>
    <w:rsid w:val="002F0C33"/>
    <w:rsid w:val="002F0D2E"/>
    <w:rsid w:val="002F1631"/>
    <w:rsid w:val="002F190A"/>
    <w:rsid w:val="002F195C"/>
    <w:rsid w:val="002F1B34"/>
    <w:rsid w:val="002F1CA9"/>
    <w:rsid w:val="002F1EB7"/>
    <w:rsid w:val="002F2541"/>
    <w:rsid w:val="002F25B3"/>
    <w:rsid w:val="002F4087"/>
    <w:rsid w:val="002F43A1"/>
    <w:rsid w:val="002F4B0D"/>
    <w:rsid w:val="002F5B28"/>
    <w:rsid w:val="002F5E51"/>
    <w:rsid w:val="002F6627"/>
    <w:rsid w:val="002F7FBC"/>
    <w:rsid w:val="0030039A"/>
    <w:rsid w:val="0030044D"/>
    <w:rsid w:val="003008CA"/>
    <w:rsid w:val="00300985"/>
    <w:rsid w:val="00300A08"/>
    <w:rsid w:val="0030147D"/>
    <w:rsid w:val="00301597"/>
    <w:rsid w:val="00301613"/>
    <w:rsid w:val="00301DF1"/>
    <w:rsid w:val="00301F12"/>
    <w:rsid w:val="00302640"/>
    <w:rsid w:val="00302965"/>
    <w:rsid w:val="00302B5D"/>
    <w:rsid w:val="0030304D"/>
    <w:rsid w:val="00303225"/>
    <w:rsid w:val="00303555"/>
    <w:rsid w:val="003037E0"/>
    <w:rsid w:val="003038C7"/>
    <w:rsid w:val="00303C2E"/>
    <w:rsid w:val="003041EC"/>
    <w:rsid w:val="003045CB"/>
    <w:rsid w:val="00304632"/>
    <w:rsid w:val="003049E4"/>
    <w:rsid w:val="00304F57"/>
    <w:rsid w:val="00304F8F"/>
    <w:rsid w:val="003050DF"/>
    <w:rsid w:val="003051EB"/>
    <w:rsid w:val="0030540F"/>
    <w:rsid w:val="003057E7"/>
    <w:rsid w:val="0030593F"/>
    <w:rsid w:val="00305D04"/>
    <w:rsid w:val="00305D5E"/>
    <w:rsid w:val="00306408"/>
    <w:rsid w:val="00306945"/>
    <w:rsid w:val="00306BEA"/>
    <w:rsid w:val="00306D2C"/>
    <w:rsid w:val="00306E49"/>
    <w:rsid w:val="00306EE0"/>
    <w:rsid w:val="0030760F"/>
    <w:rsid w:val="003076B8"/>
    <w:rsid w:val="00307B30"/>
    <w:rsid w:val="00307BEB"/>
    <w:rsid w:val="00307E91"/>
    <w:rsid w:val="00307FC4"/>
    <w:rsid w:val="003101B8"/>
    <w:rsid w:val="003102B7"/>
    <w:rsid w:val="003104F7"/>
    <w:rsid w:val="00310505"/>
    <w:rsid w:val="0031074D"/>
    <w:rsid w:val="00310C44"/>
    <w:rsid w:val="00310D51"/>
    <w:rsid w:val="003111C4"/>
    <w:rsid w:val="003113E4"/>
    <w:rsid w:val="00311C6B"/>
    <w:rsid w:val="00311CC6"/>
    <w:rsid w:val="00312329"/>
    <w:rsid w:val="003124C3"/>
    <w:rsid w:val="0031261D"/>
    <w:rsid w:val="00312767"/>
    <w:rsid w:val="003129B5"/>
    <w:rsid w:val="00312C45"/>
    <w:rsid w:val="00313556"/>
    <w:rsid w:val="00313A9D"/>
    <w:rsid w:val="00313AF7"/>
    <w:rsid w:val="00313B5C"/>
    <w:rsid w:val="00313C51"/>
    <w:rsid w:val="00313DD6"/>
    <w:rsid w:val="00314173"/>
    <w:rsid w:val="00314257"/>
    <w:rsid w:val="003146D7"/>
    <w:rsid w:val="003148F3"/>
    <w:rsid w:val="00314908"/>
    <w:rsid w:val="00314A47"/>
    <w:rsid w:val="00314C96"/>
    <w:rsid w:val="003155B9"/>
    <w:rsid w:val="00315DAB"/>
    <w:rsid w:val="00315DEF"/>
    <w:rsid w:val="003160AD"/>
    <w:rsid w:val="00316476"/>
    <w:rsid w:val="00316789"/>
    <w:rsid w:val="003167F2"/>
    <w:rsid w:val="00316C50"/>
    <w:rsid w:val="00317438"/>
    <w:rsid w:val="003179BC"/>
    <w:rsid w:val="00317B55"/>
    <w:rsid w:val="00320009"/>
    <w:rsid w:val="00320562"/>
    <w:rsid w:val="003206CB"/>
    <w:rsid w:val="003206D9"/>
    <w:rsid w:val="00320B34"/>
    <w:rsid w:val="00320E48"/>
    <w:rsid w:val="00321397"/>
    <w:rsid w:val="00321706"/>
    <w:rsid w:val="00321A08"/>
    <w:rsid w:val="00321CD2"/>
    <w:rsid w:val="00322FE7"/>
    <w:rsid w:val="00323405"/>
    <w:rsid w:val="0032375D"/>
    <w:rsid w:val="00323935"/>
    <w:rsid w:val="00323DB8"/>
    <w:rsid w:val="00323FE5"/>
    <w:rsid w:val="003247E9"/>
    <w:rsid w:val="0032492A"/>
    <w:rsid w:val="003257A5"/>
    <w:rsid w:val="003257D5"/>
    <w:rsid w:val="003257F2"/>
    <w:rsid w:val="00325EE3"/>
    <w:rsid w:val="0032634F"/>
    <w:rsid w:val="00326A3C"/>
    <w:rsid w:val="00326B06"/>
    <w:rsid w:val="0032723F"/>
    <w:rsid w:val="003276D6"/>
    <w:rsid w:val="00327856"/>
    <w:rsid w:val="0033080E"/>
    <w:rsid w:val="00330B49"/>
    <w:rsid w:val="00330B6B"/>
    <w:rsid w:val="0033136C"/>
    <w:rsid w:val="003313CE"/>
    <w:rsid w:val="00331B58"/>
    <w:rsid w:val="003322C6"/>
    <w:rsid w:val="003326EF"/>
    <w:rsid w:val="003331A9"/>
    <w:rsid w:val="003332C9"/>
    <w:rsid w:val="003335BC"/>
    <w:rsid w:val="00333814"/>
    <w:rsid w:val="00333942"/>
    <w:rsid w:val="00333B9F"/>
    <w:rsid w:val="00333BFC"/>
    <w:rsid w:val="003342E9"/>
    <w:rsid w:val="0033464B"/>
    <w:rsid w:val="00334A02"/>
    <w:rsid w:val="00334A6B"/>
    <w:rsid w:val="0033650C"/>
    <w:rsid w:val="0033667F"/>
    <w:rsid w:val="00336846"/>
    <w:rsid w:val="00336AC9"/>
    <w:rsid w:val="00336B08"/>
    <w:rsid w:val="00336EA7"/>
    <w:rsid w:val="00337447"/>
    <w:rsid w:val="0033782E"/>
    <w:rsid w:val="00340336"/>
    <w:rsid w:val="00340364"/>
    <w:rsid w:val="00340515"/>
    <w:rsid w:val="003405D9"/>
    <w:rsid w:val="00340C1A"/>
    <w:rsid w:val="00341675"/>
    <w:rsid w:val="003416F7"/>
    <w:rsid w:val="00341DB5"/>
    <w:rsid w:val="00342721"/>
    <w:rsid w:val="0034275A"/>
    <w:rsid w:val="003428DD"/>
    <w:rsid w:val="00342BEF"/>
    <w:rsid w:val="00342CF2"/>
    <w:rsid w:val="00343820"/>
    <w:rsid w:val="003439B9"/>
    <w:rsid w:val="00343A8F"/>
    <w:rsid w:val="00343D7A"/>
    <w:rsid w:val="00343EFA"/>
    <w:rsid w:val="00343F87"/>
    <w:rsid w:val="0034438F"/>
    <w:rsid w:val="003444F3"/>
    <w:rsid w:val="00344B37"/>
    <w:rsid w:val="00344BFE"/>
    <w:rsid w:val="003450E2"/>
    <w:rsid w:val="00345162"/>
    <w:rsid w:val="0034537F"/>
    <w:rsid w:val="0034584C"/>
    <w:rsid w:val="00345898"/>
    <w:rsid w:val="00345ACD"/>
    <w:rsid w:val="003460E1"/>
    <w:rsid w:val="0034646D"/>
    <w:rsid w:val="003466D6"/>
    <w:rsid w:val="003468FD"/>
    <w:rsid w:val="00346A51"/>
    <w:rsid w:val="00346B0F"/>
    <w:rsid w:val="003473AA"/>
    <w:rsid w:val="0034740B"/>
    <w:rsid w:val="00347A77"/>
    <w:rsid w:val="00347D80"/>
    <w:rsid w:val="00350269"/>
    <w:rsid w:val="00350386"/>
    <w:rsid w:val="00350517"/>
    <w:rsid w:val="0035067C"/>
    <w:rsid w:val="00350A25"/>
    <w:rsid w:val="0035105B"/>
    <w:rsid w:val="00351131"/>
    <w:rsid w:val="00351764"/>
    <w:rsid w:val="00351834"/>
    <w:rsid w:val="00351B0A"/>
    <w:rsid w:val="00351D9C"/>
    <w:rsid w:val="00351ECD"/>
    <w:rsid w:val="00352364"/>
    <w:rsid w:val="00352385"/>
    <w:rsid w:val="003523A1"/>
    <w:rsid w:val="003523E7"/>
    <w:rsid w:val="0035267B"/>
    <w:rsid w:val="003526BD"/>
    <w:rsid w:val="00352A4E"/>
    <w:rsid w:val="00352AF1"/>
    <w:rsid w:val="00353A59"/>
    <w:rsid w:val="00353A84"/>
    <w:rsid w:val="00353AAB"/>
    <w:rsid w:val="00353B81"/>
    <w:rsid w:val="00354109"/>
    <w:rsid w:val="003542E8"/>
    <w:rsid w:val="00354B13"/>
    <w:rsid w:val="00354B42"/>
    <w:rsid w:val="00354BAF"/>
    <w:rsid w:val="0035526D"/>
    <w:rsid w:val="00355362"/>
    <w:rsid w:val="00356071"/>
    <w:rsid w:val="00356878"/>
    <w:rsid w:val="00356CB1"/>
    <w:rsid w:val="00356CCA"/>
    <w:rsid w:val="00356DAC"/>
    <w:rsid w:val="00356DF5"/>
    <w:rsid w:val="003571A0"/>
    <w:rsid w:val="003575A8"/>
    <w:rsid w:val="00357670"/>
    <w:rsid w:val="00357D55"/>
    <w:rsid w:val="00360526"/>
    <w:rsid w:val="00360665"/>
    <w:rsid w:val="00360A8E"/>
    <w:rsid w:val="003611E7"/>
    <w:rsid w:val="003613DE"/>
    <w:rsid w:val="00361B2C"/>
    <w:rsid w:val="00361DBD"/>
    <w:rsid w:val="003626F5"/>
    <w:rsid w:val="0036280C"/>
    <w:rsid w:val="003628B7"/>
    <w:rsid w:val="00362C92"/>
    <w:rsid w:val="00362DC5"/>
    <w:rsid w:val="003632ED"/>
    <w:rsid w:val="00363492"/>
    <w:rsid w:val="00363512"/>
    <w:rsid w:val="00363FC2"/>
    <w:rsid w:val="00363FD2"/>
    <w:rsid w:val="0036438E"/>
    <w:rsid w:val="00364D15"/>
    <w:rsid w:val="00364DA3"/>
    <w:rsid w:val="00365126"/>
    <w:rsid w:val="003655A4"/>
    <w:rsid w:val="0036570C"/>
    <w:rsid w:val="00365CDF"/>
    <w:rsid w:val="0036620F"/>
    <w:rsid w:val="00366836"/>
    <w:rsid w:val="00366A2D"/>
    <w:rsid w:val="00366BDA"/>
    <w:rsid w:val="00366F31"/>
    <w:rsid w:val="0036701C"/>
    <w:rsid w:val="00367164"/>
    <w:rsid w:val="00367249"/>
    <w:rsid w:val="003672BF"/>
    <w:rsid w:val="00367835"/>
    <w:rsid w:val="003678A5"/>
    <w:rsid w:val="00367DE5"/>
    <w:rsid w:val="00367F1C"/>
    <w:rsid w:val="0037024E"/>
    <w:rsid w:val="003707BF"/>
    <w:rsid w:val="00370802"/>
    <w:rsid w:val="00370AED"/>
    <w:rsid w:val="00370D06"/>
    <w:rsid w:val="00371305"/>
    <w:rsid w:val="00371475"/>
    <w:rsid w:val="003715CB"/>
    <w:rsid w:val="00371AD7"/>
    <w:rsid w:val="00371E1C"/>
    <w:rsid w:val="00372188"/>
    <w:rsid w:val="00372341"/>
    <w:rsid w:val="00372503"/>
    <w:rsid w:val="00372F6D"/>
    <w:rsid w:val="00373172"/>
    <w:rsid w:val="003731F4"/>
    <w:rsid w:val="003735E3"/>
    <w:rsid w:val="00373DA3"/>
    <w:rsid w:val="003746FF"/>
    <w:rsid w:val="00374FDA"/>
    <w:rsid w:val="003750A7"/>
    <w:rsid w:val="0037544D"/>
    <w:rsid w:val="003755E8"/>
    <w:rsid w:val="0037565F"/>
    <w:rsid w:val="0037581C"/>
    <w:rsid w:val="003758D3"/>
    <w:rsid w:val="003759C8"/>
    <w:rsid w:val="00375C10"/>
    <w:rsid w:val="00375CAC"/>
    <w:rsid w:val="00376185"/>
    <w:rsid w:val="00376494"/>
    <w:rsid w:val="003766D8"/>
    <w:rsid w:val="0037674C"/>
    <w:rsid w:val="00376964"/>
    <w:rsid w:val="0037779C"/>
    <w:rsid w:val="00377AFC"/>
    <w:rsid w:val="0038043F"/>
    <w:rsid w:val="003805E6"/>
    <w:rsid w:val="00380A90"/>
    <w:rsid w:val="00380BAE"/>
    <w:rsid w:val="00380D63"/>
    <w:rsid w:val="003817F1"/>
    <w:rsid w:val="00381FF0"/>
    <w:rsid w:val="003827E5"/>
    <w:rsid w:val="00382F9E"/>
    <w:rsid w:val="0038315F"/>
    <w:rsid w:val="00384191"/>
    <w:rsid w:val="003841EE"/>
    <w:rsid w:val="00384641"/>
    <w:rsid w:val="0038469B"/>
    <w:rsid w:val="003846C0"/>
    <w:rsid w:val="003849A8"/>
    <w:rsid w:val="0038523F"/>
    <w:rsid w:val="0038550A"/>
    <w:rsid w:val="0038568B"/>
    <w:rsid w:val="00385B09"/>
    <w:rsid w:val="00385C95"/>
    <w:rsid w:val="00385CB9"/>
    <w:rsid w:val="00386295"/>
    <w:rsid w:val="003864AC"/>
    <w:rsid w:val="00386C21"/>
    <w:rsid w:val="003870DD"/>
    <w:rsid w:val="00387191"/>
    <w:rsid w:val="00387781"/>
    <w:rsid w:val="00387D62"/>
    <w:rsid w:val="0039019D"/>
    <w:rsid w:val="00390B33"/>
    <w:rsid w:val="00390B7F"/>
    <w:rsid w:val="00390CFB"/>
    <w:rsid w:val="00390E72"/>
    <w:rsid w:val="003910EF"/>
    <w:rsid w:val="00391338"/>
    <w:rsid w:val="003918D3"/>
    <w:rsid w:val="00391936"/>
    <w:rsid w:val="00392310"/>
    <w:rsid w:val="003927C7"/>
    <w:rsid w:val="00392826"/>
    <w:rsid w:val="003928AA"/>
    <w:rsid w:val="00392960"/>
    <w:rsid w:val="00393276"/>
    <w:rsid w:val="00393518"/>
    <w:rsid w:val="00393BB4"/>
    <w:rsid w:val="00393FC8"/>
    <w:rsid w:val="003945D4"/>
    <w:rsid w:val="003946F0"/>
    <w:rsid w:val="00394721"/>
    <w:rsid w:val="003947D4"/>
    <w:rsid w:val="0039487D"/>
    <w:rsid w:val="00394A4E"/>
    <w:rsid w:val="00394CB4"/>
    <w:rsid w:val="00394EC0"/>
    <w:rsid w:val="0039535C"/>
    <w:rsid w:val="00395E3A"/>
    <w:rsid w:val="003960F5"/>
    <w:rsid w:val="00396701"/>
    <w:rsid w:val="003967C1"/>
    <w:rsid w:val="003967D0"/>
    <w:rsid w:val="003969EB"/>
    <w:rsid w:val="00396CA4"/>
    <w:rsid w:val="00396CE1"/>
    <w:rsid w:val="00396DF4"/>
    <w:rsid w:val="00396EDC"/>
    <w:rsid w:val="00396F88"/>
    <w:rsid w:val="00397105"/>
    <w:rsid w:val="003973DE"/>
    <w:rsid w:val="003975FA"/>
    <w:rsid w:val="0039798B"/>
    <w:rsid w:val="00397AA9"/>
    <w:rsid w:val="00397CFD"/>
    <w:rsid w:val="00397DCA"/>
    <w:rsid w:val="003A0170"/>
    <w:rsid w:val="003A0608"/>
    <w:rsid w:val="003A07CA"/>
    <w:rsid w:val="003A0A82"/>
    <w:rsid w:val="003A0B9E"/>
    <w:rsid w:val="003A108A"/>
    <w:rsid w:val="003A11C4"/>
    <w:rsid w:val="003A1896"/>
    <w:rsid w:val="003A1EAC"/>
    <w:rsid w:val="003A248B"/>
    <w:rsid w:val="003A24A2"/>
    <w:rsid w:val="003A26A7"/>
    <w:rsid w:val="003A2E72"/>
    <w:rsid w:val="003A3122"/>
    <w:rsid w:val="003A34A2"/>
    <w:rsid w:val="003A34E6"/>
    <w:rsid w:val="003A369A"/>
    <w:rsid w:val="003A370C"/>
    <w:rsid w:val="003A3FBC"/>
    <w:rsid w:val="003A404D"/>
    <w:rsid w:val="003A4351"/>
    <w:rsid w:val="003A4FDC"/>
    <w:rsid w:val="003A591A"/>
    <w:rsid w:val="003A5A50"/>
    <w:rsid w:val="003A5D46"/>
    <w:rsid w:val="003A5DA9"/>
    <w:rsid w:val="003A6212"/>
    <w:rsid w:val="003A67B4"/>
    <w:rsid w:val="003A6AF2"/>
    <w:rsid w:val="003A7154"/>
    <w:rsid w:val="003A7309"/>
    <w:rsid w:val="003A7A5E"/>
    <w:rsid w:val="003B0245"/>
    <w:rsid w:val="003B062A"/>
    <w:rsid w:val="003B0633"/>
    <w:rsid w:val="003B08A6"/>
    <w:rsid w:val="003B096E"/>
    <w:rsid w:val="003B0A87"/>
    <w:rsid w:val="003B0F88"/>
    <w:rsid w:val="003B0FAA"/>
    <w:rsid w:val="003B1550"/>
    <w:rsid w:val="003B175B"/>
    <w:rsid w:val="003B17F7"/>
    <w:rsid w:val="003B1A97"/>
    <w:rsid w:val="003B1B5A"/>
    <w:rsid w:val="003B2282"/>
    <w:rsid w:val="003B24B7"/>
    <w:rsid w:val="003B256D"/>
    <w:rsid w:val="003B32C1"/>
    <w:rsid w:val="003B4441"/>
    <w:rsid w:val="003B445C"/>
    <w:rsid w:val="003B4613"/>
    <w:rsid w:val="003B4E04"/>
    <w:rsid w:val="003B4F23"/>
    <w:rsid w:val="003B51B1"/>
    <w:rsid w:val="003B51FC"/>
    <w:rsid w:val="003B52A6"/>
    <w:rsid w:val="003B5441"/>
    <w:rsid w:val="003B5C9B"/>
    <w:rsid w:val="003B5F8C"/>
    <w:rsid w:val="003B602F"/>
    <w:rsid w:val="003B6355"/>
    <w:rsid w:val="003B6B2D"/>
    <w:rsid w:val="003B70C6"/>
    <w:rsid w:val="003B76F4"/>
    <w:rsid w:val="003C06CC"/>
    <w:rsid w:val="003C0740"/>
    <w:rsid w:val="003C0BBB"/>
    <w:rsid w:val="003C0C1C"/>
    <w:rsid w:val="003C0DB7"/>
    <w:rsid w:val="003C1EF6"/>
    <w:rsid w:val="003C24FB"/>
    <w:rsid w:val="003C25EF"/>
    <w:rsid w:val="003C25F7"/>
    <w:rsid w:val="003C27A3"/>
    <w:rsid w:val="003C2857"/>
    <w:rsid w:val="003C290C"/>
    <w:rsid w:val="003C29CF"/>
    <w:rsid w:val="003C3294"/>
    <w:rsid w:val="003C32D0"/>
    <w:rsid w:val="003C33BB"/>
    <w:rsid w:val="003C393D"/>
    <w:rsid w:val="003C3E80"/>
    <w:rsid w:val="003C4E0F"/>
    <w:rsid w:val="003C58C6"/>
    <w:rsid w:val="003C58E0"/>
    <w:rsid w:val="003C5FC5"/>
    <w:rsid w:val="003C615B"/>
    <w:rsid w:val="003C63A6"/>
    <w:rsid w:val="003C66E5"/>
    <w:rsid w:val="003C6E8F"/>
    <w:rsid w:val="003C6EFC"/>
    <w:rsid w:val="003C6F38"/>
    <w:rsid w:val="003C70B9"/>
    <w:rsid w:val="003C742C"/>
    <w:rsid w:val="003D0391"/>
    <w:rsid w:val="003D08F6"/>
    <w:rsid w:val="003D0BD4"/>
    <w:rsid w:val="003D1128"/>
    <w:rsid w:val="003D117B"/>
    <w:rsid w:val="003D1431"/>
    <w:rsid w:val="003D15FD"/>
    <w:rsid w:val="003D1FDB"/>
    <w:rsid w:val="003D221F"/>
    <w:rsid w:val="003D24E5"/>
    <w:rsid w:val="003D258A"/>
    <w:rsid w:val="003D2734"/>
    <w:rsid w:val="003D2974"/>
    <w:rsid w:val="003D2EBF"/>
    <w:rsid w:val="003D32E4"/>
    <w:rsid w:val="003D3D36"/>
    <w:rsid w:val="003D43A0"/>
    <w:rsid w:val="003D50FD"/>
    <w:rsid w:val="003D53A6"/>
    <w:rsid w:val="003D5C0E"/>
    <w:rsid w:val="003D6CD8"/>
    <w:rsid w:val="003D6D3B"/>
    <w:rsid w:val="003D73E6"/>
    <w:rsid w:val="003D79B2"/>
    <w:rsid w:val="003E0095"/>
    <w:rsid w:val="003E065F"/>
    <w:rsid w:val="003E06AE"/>
    <w:rsid w:val="003E09F3"/>
    <w:rsid w:val="003E0DC7"/>
    <w:rsid w:val="003E1842"/>
    <w:rsid w:val="003E1B4A"/>
    <w:rsid w:val="003E24B7"/>
    <w:rsid w:val="003E2A6E"/>
    <w:rsid w:val="003E2CCD"/>
    <w:rsid w:val="003E3809"/>
    <w:rsid w:val="003E3C15"/>
    <w:rsid w:val="003E3E6F"/>
    <w:rsid w:val="003E45A5"/>
    <w:rsid w:val="003E4924"/>
    <w:rsid w:val="003E4AD4"/>
    <w:rsid w:val="003E4B52"/>
    <w:rsid w:val="003E5151"/>
    <w:rsid w:val="003E591E"/>
    <w:rsid w:val="003E5937"/>
    <w:rsid w:val="003E5DBB"/>
    <w:rsid w:val="003E614D"/>
    <w:rsid w:val="003E6567"/>
    <w:rsid w:val="003E68B1"/>
    <w:rsid w:val="003E6AEF"/>
    <w:rsid w:val="003E6B43"/>
    <w:rsid w:val="003E73D6"/>
    <w:rsid w:val="003E7B7A"/>
    <w:rsid w:val="003E7C8C"/>
    <w:rsid w:val="003F0578"/>
    <w:rsid w:val="003F11CA"/>
    <w:rsid w:val="003F1514"/>
    <w:rsid w:val="003F1523"/>
    <w:rsid w:val="003F17F6"/>
    <w:rsid w:val="003F219C"/>
    <w:rsid w:val="003F21CA"/>
    <w:rsid w:val="003F22A1"/>
    <w:rsid w:val="003F260E"/>
    <w:rsid w:val="003F28CE"/>
    <w:rsid w:val="003F2BB7"/>
    <w:rsid w:val="003F2CC1"/>
    <w:rsid w:val="003F2EAC"/>
    <w:rsid w:val="003F2F03"/>
    <w:rsid w:val="003F308A"/>
    <w:rsid w:val="003F34BB"/>
    <w:rsid w:val="003F3732"/>
    <w:rsid w:val="003F385E"/>
    <w:rsid w:val="003F38A3"/>
    <w:rsid w:val="003F39A0"/>
    <w:rsid w:val="003F3F6D"/>
    <w:rsid w:val="003F401A"/>
    <w:rsid w:val="003F40F6"/>
    <w:rsid w:val="003F422A"/>
    <w:rsid w:val="003F5783"/>
    <w:rsid w:val="003F58C7"/>
    <w:rsid w:val="003F59DE"/>
    <w:rsid w:val="003F5CCA"/>
    <w:rsid w:val="003F626B"/>
    <w:rsid w:val="003F6378"/>
    <w:rsid w:val="003F656B"/>
    <w:rsid w:val="003F6841"/>
    <w:rsid w:val="003F69D5"/>
    <w:rsid w:val="003F6F75"/>
    <w:rsid w:val="003F73E5"/>
    <w:rsid w:val="003F75A8"/>
    <w:rsid w:val="003F7737"/>
    <w:rsid w:val="003F7C00"/>
    <w:rsid w:val="003F7D15"/>
    <w:rsid w:val="003F7EF6"/>
    <w:rsid w:val="0040028B"/>
    <w:rsid w:val="004002E9"/>
    <w:rsid w:val="0040068D"/>
    <w:rsid w:val="00400EA3"/>
    <w:rsid w:val="00401484"/>
    <w:rsid w:val="0040172A"/>
    <w:rsid w:val="00401AD3"/>
    <w:rsid w:val="00401C6D"/>
    <w:rsid w:val="00401D07"/>
    <w:rsid w:val="00402339"/>
    <w:rsid w:val="004031F2"/>
    <w:rsid w:val="00403625"/>
    <w:rsid w:val="00403679"/>
    <w:rsid w:val="00403805"/>
    <w:rsid w:val="00404335"/>
    <w:rsid w:val="00404343"/>
    <w:rsid w:val="0040476E"/>
    <w:rsid w:val="00404BE4"/>
    <w:rsid w:val="00405B2A"/>
    <w:rsid w:val="00405D86"/>
    <w:rsid w:val="00405DDF"/>
    <w:rsid w:val="00405EB1"/>
    <w:rsid w:val="00405F8E"/>
    <w:rsid w:val="004069A1"/>
    <w:rsid w:val="0040700E"/>
    <w:rsid w:val="00407350"/>
    <w:rsid w:val="0040748B"/>
    <w:rsid w:val="004079E0"/>
    <w:rsid w:val="00407CF5"/>
    <w:rsid w:val="00407D10"/>
    <w:rsid w:val="00407E8B"/>
    <w:rsid w:val="00407EC4"/>
    <w:rsid w:val="004103CF"/>
    <w:rsid w:val="00410454"/>
    <w:rsid w:val="00410666"/>
    <w:rsid w:val="00410B6F"/>
    <w:rsid w:val="0041134F"/>
    <w:rsid w:val="0041229F"/>
    <w:rsid w:val="004122FC"/>
    <w:rsid w:val="00412509"/>
    <w:rsid w:val="00412C82"/>
    <w:rsid w:val="00412E95"/>
    <w:rsid w:val="00412FA5"/>
    <w:rsid w:val="004134FD"/>
    <w:rsid w:val="00413530"/>
    <w:rsid w:val="00413A61"/>
    <w:rsid w:val="00413BAA"/>
    <w:rsid w:val="00413D40"/>
    <w:rsid w:val="0041448A"/>
    <w:rsid w:val="00414571"/>
    <w:rsid w:val="004145DC"/>
    <w:rsid w:val="004148CA"/>
    <w:rsid w:val="00414C5C"/>
    <w:rsid w:val="00414E68"/>
    <w:rsid w:val="00414FAC"/>
    <w:rsid w:val="004158CB"/>
    <w:rsid w:val="004158FF"/>
    <w:rsid w:val="00415DF0"/>
    <w:rsid w:val="004168FA"/>
    <w:rsid w:val="0041703B"/>
    <w:rsid w:val="00417763"/>
    <w:rsid w:val="0041777B"/>
    <w:rsid w:val="00417EAC"/>
    <w:rsid w:val="004200A3"/>
    <w:rsid w:val="004200A5"/>
    <w:rsid w:val="004200A6"/>
    <w:rsid w:val="0042035D"/>
    <w:rsid w:val="004204AA"/>
    <w:rsid w:val="00420549"/>
    <w:rsid w:val="004206E7"/>
    <w:rsid w:val="0042074C"/>
    <w:rsid w:val="0042090A"/>
    <w:rsid w:val="00420E9B"/>
    <w:rsid w:val="00421147"/>
    <w:rsid w:val="00421169"/>
    <w:rsid w:val="004216BA"/>
    <w:rsid w:val="004216E0"/>
    <w:rsid w:val="00421899"/>
    <w:rsid w:val="00421A36"/>
    <w:rsid w:val="00421A6A"/>
    <w:rsid w:val="0042230C"/>
    <w:rsid w:val="00422322"/>
    <w:rsid w:val="0042250A"/>
    <w:rsid w:val="00422A67"/>
    <w:rsid w:val="00422BD8"/>
    <w:rsid w:val="00422FB5"/>
    <w:rsid w:val="0042333D"/>
    <w:rsid w:val="0042356F"/>
    <w:rsid w:val="00423703"/>
    <w:rsid w:val="00423839"/>
    <w:rsid w:val="00424156"/>
    <w:rsid w:val="00424349"/>
    <w:rsid w:val="004247FD"/>
    <w:rsid w:val="00424A4A"/>
    <w:rsid w:val="004250AF"/>
    <w:rsid w:val="0042514E"/>
    <w:rsid w:val="004252D9"/>
    <w:rsid w:val="004253E9"/>
    <w:rsid w:val="00425DDE"/>
    <w:rsid w:val="0042628A"/>
    <w:rsid w:val="004262DF"/>
    <w:rsid w:val="00426357"/>
    <w:rsid w:val="00426474"/>
    <w:rsid w:val="00426B21"/>
    <w:rsid w:val="00426EC1"/>
    <w:rsid w:val="00427242"/>
    <w:rsid w:val="0042770E"/>
    <w:rsid w:val="00427AF2"/>
    <w:rsid w:val="00430230"/>
    <w:rsid w:val="004303DD"/>
    <w:rsid w:val="0043085E"/>
    <w:rsid w:val="00430931"/>
    <w:rsid w:val="00430F66"/>
    <w:rsid w:val="00431848"/>
    <w:rsid w:val="004318FC"/>
    <w:rsid w:val="00431A97"/>
    <w:rsid w:val="00431CAB"/>
    <w:rsid w:val="0043298C"/>
    <w:rsid w:val="004329FF"/>
    <w:rsid w:val="00432ABC"/>
    <w:rsid w:val="00432BC4"/>
    <w:rsid w:val="00432C73"/>
    <w:rsid w:val="004331E2"/>
    <w:rsid w:val="0043344B"/>
    <w:rsid w:val="004335E9"/>
    <w:rsid w:val="0043382E"/>
    <w:rsid w:val="00433979"/>
    <w:rsid w:val="00433D23"/>
    <w:rsid w:val="00433D5D"/>
    <w:rsid w:val="00433E1C"/>
    <w:rsid w:val="004346B9"/>
    <w:rsid w:val="0043505F"/>
    <w:rsid w:val="00435106"/>
    <w:rsid w:val="0043563C"/>
    <w:rsid w:val="00435E9F"/>
    <w:rsid w:val="00435F6B"/>
    <w:rsid w:val="00436341"/>
    <w:rsid w:val="0043675C"/>
    <w:rsid w:val="0043679E"/>
    <w:rsid w:val="004373FF"/>
    <w:rsid w:val="0043754A"/>
    <w:rsid w:val="00437ED3"/>
    <w:rsid w:val="00440077"/>
    <w:rsid w:val="00440416"/>
    <w:rsid w:val="0044071B"/>
    <w:rsid w:val="0044096A"/>
    <w:rsid w:val="004409BB"/>
    <w:rsid w:val="00440DE6"/>
    <w:rsid w:val="0044186E"/>
    <w:rsid w:val="00441CDD"/>
    <w:rsid w:val="00441FAD"/>
    <w:rsid w:val="004429A2"/>
    <w:rsid w:val="00442A77"/>
    <w:rsid w:val="00442E19"/>
    <w:rsid w:val="00443316"/>
    <w:rsid w:val="0044370C"/>
    <w:rsid w:val="00443D40"/>
    <w:rsid w:val="00443D45"/>
    <w:rsid w:val="004447E1"/>
    <w:rsid w:val="00444877"/>
    <w:rsid w:val="004449AE"/>
    <w:rsid w:val="004449F5"/>
    <w:rsid w:val="00444C9A"/>
    <w:rsid w:val="00445263"/>
    <w:rsid w:val="00445977"/>
    <w:rsid w:val="00445AD3"/>
    <w:rsid w:val="0044624D"/>
    <w:rsid w:val="0044645E"/>
    <w:rsid w:val="00446A31"/>
    <w:rsid w:val="00446B7C"/>
    <w:rsid w:val="00446BB1"/>
    <w:rsid w:val="00446C2F"/>
    <w:rsid w:val="00446DD5"/>
    <w:rsid w:val="00447476"/>
    <w:rsid w:val="00447D16"/>
    <w:rsid w:val="00447FC0"/>
    <w:rsid w:val="004511D0"/>
    <w:rsid w:val="00451417"/>
    <w:rsid w:val="004516DD"/>
    <w:rsid w:val="004520ED"/>
    <w:rsid w:val="0045233B"/>
    <w:rsid w:val="00452A9D"/>
    <w:rsid w:val="00452EE4"/>
    <w:rsid w:val="004534D4"/>
    <w:rsid w:val="004534D8"/>
    <w:rsid w:val="0045354B"/>
    <w:rsid w:val="00453864"/>
    <w:rsid w:val="0045389E"/>
    <w:rsid w:val="00453925"/>
    <w:rsid w:val="00453FFA"/>
    <w:rsid w:val="00454544"/>
    <w:rsid w:val="00454EC2"/>
    <w:rsid w:val="004551BF"/>
    <w:rsid w:val="004556CD"/>
    <w:rsid w:val="00455A46"/>
    <w:rsid w:val="00455C23"/>
    <w:rsid w:val="00456083"/>
    <w:rsid w:val="00456282"/>
    <w:rsid w:val="004562D5"/>
    <w:rsid w:val="004566BA"/>
    <w:rsid w:val="00456789"/>
    <w:rsid w:val="00456BB3"/>
    <w:rsid w:val="00456F45"/>
    <w:rsid w:val="004571DF"/>
    <w:rsid w:val="004574FE"/>
    <w:rsid w:val="004607B0"/>
    <w:rsid w:val="00460826"/>
    <w:rsid w:val="00460B08"/>
    <w:rsid w:val="00460D77"/>
    <w:rsid w:val="00461812"/>
    <w:rsid w:val="00462C87"/>
    <w:rsid w:val="00462DB2"/>
    <w:rsid w:val="00462ED0"/>
    <w:rsid w:val="00462F02"/>
    <w:rsid w:val="0046327B"/>
    <w:rsid w:val="0046338E"/>
    <w:rsid w:val="004633D0"/>
    <w:rsid w:val="0046341D"/>
    <w:rsid w:val="00463753"/>
    <w:rsid w:val="004642AC"/>
    <w:rsid w:val="00464701"/>
    <w:rsid w:val="00464AA1"/>
    <w:rsid w:val="004651E1"/>
    <w:rsid w:val="00465667"/>
    <w:rsid w:val="004658BA"/>
    <w:rsid w:val="00465B05"/>
    <w:rsid w:val="00465BAE"/>
    <w:rsid w:val="00465D1E"/>
    <w:rsid w:val="0046615C"/>
    <w:rsid w:val="00466B77"/>
    <w:rsid w:val="00466C39"/>
    <w:rsid w:val="00466C55"/>
    <w:rsid w:val="00466C7B"/>
    <w:rsid w:val="00466DE5"/>
    <w:rsid w:val="00467771"/>
    <w:rsid w:val="00467944"/>
    <w:rsid w:val="00467B2F"/>
    <w:rsid w:val="00470694"/>
    <w:rsid w:val="004709D5"/>
    <w:rsid w:val="00470C52"/>
    <w:rsid w:val="00470CF9"/>
    <w:rsid w:val="004713A0"/>
    <w:rsid w:val="0047165A"/>
    <w:rsid w:val="004717C1"/>
    <w:rsid w:val="00471F76"/>
    <w:rsid w:val="00472405"/>
    <w:rsid w:val="004728A9"/>
    <w:rsid w:val="004728BA"/>
    <w:rsid w:val="00473968"/>
    <w:rsid w:val="00473C57"/>
    <w:rsid w:val="00473EA0"/>
    <w:rsid w:val="00473F98"/>
    <w:rsid w:val="004743D7"/>
    <w:rsid w:val="00474639"/>
    <w:rsid w:val="00474A76"/>
    <w:rsid w:val="00474A7F"/>
    <w:rsid w:val="00474E72"/>
    <w:rsid w:val="00474E76"/>
    <w:rsid w:val="00474EBC"/>
    <w:rsid w:val="00475098"/>
    <w:rsid w:val="00475758"/>
    <w:rsid w:val="00475ABA"/>
    <w:rsid w:val="00475E58"/>
    <w:rsid w:val="004766BF"/>
    <w:rsid w:val="0047686C"/>
    <w:rsid w:val="00476A5A"/>
    <w:rsid w:val="00476DE4"/>
    <w:rsid w:val="00477085"/>
    <w:rsid w:val="004771D1"/>
    <w:rsid w:val="00477395"/>
    <w:rsid w:val="004774E7"/>
    <w:rsid w:val="00477856"/>
    <w:rsid w:val="00477A4E"/>
    <w:rsid w:val="00477CF5"/>
    <w:rsid w:val="00480D0E"/>
    <w:rsid w:val="00481585"/>
    <w:rsid w:val="0048161B"/>
    <w:rsid w:val="004825B2"/>
    <w:rsid w:val="004826A3"/>
    <w:rsid w:val="004827CF"/>
    <w:rsid w:val="004827E7"/>
    <w:rsid w:val="00482A3E"/>
    <w:rsid w:val="0048336D"/>
    <w:rsid w:val="00483513"/>
    <w:rsid w:val="00483749"/>
    <w:rsid w:val="00483C4D"/>
    <w:rsid w:val="00483DC7"/>
    <w:rsid w:val="00483E34"/>
    <w:rsid w:val="00483E65"/>
    <w:rsid w:val="004841F7"/>
    <w:rsid w:val="004844F9"/>
    <w:rsid w:val="00484E3E"/>
    <w:rsid w:val="00485340"/>
    <w:rsid w:val="00485ADB"/>
    <w:rsid w:val="00485FD8"/>
    <w:rsid w:val="004867E2"/>
    <w:rsid w:val="00486E0A"/>
    <w:rsid w:val="004872E9"/>
    <w:rsid w:val="00487D3D"/>
    <w:rsid w:val="00487E33"/>
    <w:rsid w:val="004903D2"/>
    <w:rsid w:val="0049066E"/>
    <w:rsid w:val="00490AC3"/>
    <w:rsid w:val="00490EF9"/>
    <w:rsid w:val="00491161"/>
    <w:rsid w:val="0049159C"/>
    <w:rsid w:val="00491649"/>
    <w:rsid w:val="0049190D"/>
    <w:rsid w:val="0049226C"/>
    <w:rsid w:val="004930D6"/>
    <w:rsid w:val="00493142"/>
    <w:rsid w:val="004932A7"/>
    <w:rsid w:val="00493982"/>
    <w:rsid w:val="00493F87"/>
    <w:rsid w:val="0049402D"/>
    <w:rsid w:val="004941AA"/>
    <w:rsid w:val="00494594"/>
    <w:rsid w:val="00494878"/>
    <w:rsid w:val="00494C39"/>
    <w:rsid w:val="00494EB9"/>
    <w:rsid w:val="004950B9"/>
    <w:rsid w:val="00495628"/>
    <w:rsid w:val="0049595A"/>
    <w:rsid w:val="00495FFF"/>
    <w:rsid w:val="004961D1"/>
    <w:rsid w:val="004965EA"/>
    <w:rsid w:val="0049675F"/>
    <w:rsid w:val="004969A0"/>
    <w:rsid w:val="00496B42"/>
    <w:rsid w:val="00496B80"/>
    <w:rsid w:val="00496C48"/>
    <w:rsid w:val="00496D41"/>
    <w:rsid w:val="00496F4B"/>
    <w:rsid w:val="00497CBC"/>
    <w:rsid w:val="00497CF0"/>
    <w:rsid w:val="004A0450"/>
    <w:rsid w:val="004A0A56"/>
    <w:rsid w:val="004A1126"/>
    <w:rsid w:val="004A1EC7"/>
    <w:rsid w:val="004A1F3A"/>
    <w:rsid w:val="004A2340"/>
    <w:rsid w:val="004A237C"/>
    <w:rsid w:val="004A277B"/>
    <w:rsid w:val="004A2B53"/>
    <w:rsid w:val="004A2D1E"/>
    <w:rsid w:val="004A2DD3"/>
    <w:rsid w:val="004A329C"/>
    <w:rsid w:val="004A3381"/>
    <w:rsid w:val="004A37CC"/>
    <w:rsid w:val="004A3CA3"/>
    <w:rsid w:val="004A4191"/>
    <w:rsid w:val="004A4215"/>
    <w:rsid w:val="004A425D"/>
    <w:rsid w:val="004A4370"/>
    <w:rsid w:val="004A453E"/>
    <w:rsid w:val="004A45C6"/>
    <w:rsid w:val="004A4F62"/>
    <w:rsid w:val="004A5474"/>
    <w:rsid w:val="004A54B8"/>
    <w:rsid w:val="004A5E97"/>
    <w:rsid w:val="004A6147"/>
    <w:rsid w:val="004A68A0"/>
    <w:rsid w:val="004A6B3A"/>
    <w:rsid w:val="004A6DB8"/>
    <w:rsid w:val="004A7789"/>
    <w:rsid w:val="004A7AEB"/>
    <w:rsid w:val="004A7BBD"/>
    <w:rsid w:val="004A7E89"/>
    <w:rsid w:val="004B08E0"/>
    <w:rsid w:val="004B095A"/>
    <w:rsid w:val="004B09C5"/>
    <w:rsid w:val="004B0BD5"/>
    <w:rsid w:val="004B0C3B"/>
    <w:rsid w:val="004B10FA"/>
    <w:rsid w:val="004B1C7F"/>
    <w:rsid w:val="004B1CE3"/>
    <w:rsid w:val="004B1E54"/>
    <w:rsid w:val="004B2530"/>
    <w:rsid w:val="004B2803"/>
    <w:rsid w:val="004B2AA5"/>
    <w:rsid w:val="004B2F23"/>
    <w:rsid w:val="004B2FCB"/>
    <w:rsid w:val="004B317B"/>
    <w:rsid w:val="004B331E"/>
    <w:rsid w:val="004B35E9"/>
    <w:rsid w:val="004B374E"/>
    <w:rsid w:val="004B3A0D"/>
    <w:rsid w:val="004B420D"/>
    <w:rsid w:val="004B43A1"/>
    <w:rsid w:val="004B4523"/>
    <w:rsid w:val="004B59B8"/>
    <w:rsid w:val="004B59E8"/>
    <w:rsid w:val="004B5D95"/>
    <w:rsid w:val="004B5E09"/>
    <w:rsid w:val="004B5F93"/>
    <w:rsid w:val="004B613E"/>
    <w:rsid w:val="004B6292"/>
    <w:rsid w:val="004B65C9"/>
    <w:rsid w:val="004B6BAD"/>
    <w:rsid w:val="004B6BB1"/>
    <w:rsid w:val="004B7689"/>
    <w:rsid w:val="004B79A5"/>
    <w:rsid w:val="004C060C"/>
    <w:rsid w:val="004C09F4"/>
    <w:rsid w:val="004C0CA2"/>
    <w:rsid w:val="004C233A"/>
    <w:rsid w:val="004C254C"/>
    <w:rsid w:val="004C264E"/>
    <w:rsid w:val="004C273F"/>
    <w:rsid w:val="004C288D"/>
    <w:rsid w:val="004C2A19"/>
    <w:rsid w:val="004C2EF8"/>
    <w:rsid w:val="004C302A"/>
    <w:rsid w:val="004C3286"/>
    <w:rsid w:val="004C344B"/>
    <w:rsid w:val="004C397A"/>
    <w:rsid w:val="004C398B"/>
    <w:rsid w:val="004C435A"/>
    <w:rsid w:val="004C46B3"/>
    <w:rsid w:val="004C4F3C"/>
    <w:rsid w:val="004C530C"/>
    <w:rsid w:val="004C552A"/>
    <w:rsid w:val="004C5973"/>
    <w:rsid w:val="004C5A4F"/>
    <w:rsid w:val="004C5B12"/>
    <w:rsid w:val="004C60EB"/>
    <w:rsid w:val="004C6176"/>
    <w:rsid w:val="004C647E"/>
    <w:rsid w:val="004C6AF6"/>
    <w:rsid w:val="004C762F"/>
    <w:rsid w:val="004C7B74"/>
    <w:rsid w:val="004C7C2D"/>
    <w:rsid w:val="004C7D52"/>
    <w:rsid w:val="004C7D59"/>
    <w:rsid w:val="004C7E95"/>
    <w:rsid w:val="004D077B"/>
    <w:rsid w:val="004D08A4"/>
    <w:rsid w:val="004D0BA7"/>
    <w:rsid w:val="004D0DD2"/>
    <w:rsid w:val="004D0FF6"/>
    <w:rsid w:val="004D136E"/>
    <w:rsid w:val="004D1422"/>
    <w:rsid w:val="004D159D"/>
    <w:rsid w:val="004D1DFF"/>
    <w:rsid w:val="004D253D"/>
    <w:rsid w:val="004D255B"/>
    <w:rsid w:val="004D2691"/>
    <w:rsid w:val="004D28F2"/>
    <w:rsid w:val="004D2B5C"/>
    <w:rsid w:val="004D2B5D"/>
    <w:rsid w:val="004D2D0F"/>
    <w:rsid w:val="004D2D81"/>
    <w:rsid w:val="004D32A1"/>
    <w:rsid w:val="004D3475"/>
    <w:rsid w:val="004D3540"/>
    <w:rsid w:val="004D359A"/>
    <w:rsid w:val="004D3B8D"/>
    <w:rsid w:val="004D3C74"/>
    <w:rsid w:val="004D3CE7"/>
    <w:rsid w:val="004D3CF5"/>
    <w:rsid w:val="004D4B53"/>
    <w:rsid w:val="004D4DFC"/>
    <w:rsid w:val="004D5010"/>
    <w:rsid w:val="004D509A"/>
    <w:rsid w:val="004D5381"/>
    <w:rsid w:val="004D5388"/>
    <w:rsid w:val="004D55FD"/>
    <w:rsid w:val="004D5666"/>
    <w:rsid w:val="004D58F7"/>
    <w:rsid w:val="004D595E"/>
    <w:rsid w:val="004D5973"/>
    <w:rsid w:val="004D59F4"/>
    <w:rsid w:val="004D5A32"/>
    <w:rsid w:val="004D5C69"/>
    <w:rsid w:val="004D61A9"/>
    <w:rsid w:val="004D63CE"/>
    <w:rsid w:val="004D785E"/>
    <w:rsid w:val="004E01A4"/>
    <w:rsid w:val="004E06AA"/>
    <w:rsid w:val="004E09E2"/>
    <w:rsid w:val="004E1AA6"/>
    <w:rsid w:val="004E1B61"/>
    <w:rsid w:val="004E1BB3"/>
    <w:rsid w:val="004E1C1F"/>
    <w:rsid w:val="004E2239"/>
    <w:rsid w:val="004E2697"/>
    <w:rsid w:val="004E2CED"/>
    <w:rsid w:val="004E309F"/>
    <w:rsid w:val="004E36CA"/>
    <w:rsid w:val="004E3B6D"/>
    <w:rsid w:val="004E3E74"/>
    <w:rsid w:val="004E4372"/>
    <w:rsid w:val="004E447E"/>
    <w:rsid w:val="004E4726"/>
    <w:rsid w:val="004E47E5"/>
    <w:rsid w:val="004E49AF"/>
    <w:rsid w:val="004E4A67"/>
    <w:rsid w:val="004E50E2"/>
    <w:rsid w:val="004E50EE"/>
    <w:rsid w:val="004E580E"/>
    <w:rsid w:val="004E5E1E"/>
    <w:rsid w:val="004E5E8C"/>
    <w:rsid w:val="004E601F"/>
    <w:rsid w:val="004E60AE"/>
    <w:rsid w:val="004E642F"/>
    <w:rsid w:val="004E6724"/>
    <w:rsid w:val="004E6B30"/>
    <w:rsid w:val="004E6C14"/>
    <w:rsid w:val="004E6C76"/>
    <w:rsid w:val="004E6E70"/>
    <w:rsid w:val="004E6EDE"/>
    <w:rsid w:val="004E7072"/>
    <w:rsid w:val="004E719C"/>
    <w:rsid w:val="004E7464"/>
    <w:rsid w:val="004E7512"/>
    <w:rsid w:val="004E77B4"/>
    <w:rsid w:val="004E77E5"/>
    <w:rsid w:val="004E7956"/>
    <w:rsid w:val="004E7A3C"/>
    <w:rsid w:val="004F0351"/>
    <w:rsid w:val="004F0BA6"/>
    <w:rsid w:val="004F0CBD"/>
    <w:rsid w:val="004F0D7B"/>
    <w:rsid w:val="004F1373"/>
    <w:rsid w:val="004F161F"/>
    <w:rsid w:val="004F163B"/>
    <w:rsid w:val="004F165E"/>
    <w:rsid w:val="004F18CC"/>
    <w:rsid w:val="004F1A34"/>
    <w:rsid w:val="004F1BAC"/>
    <w:rsid w:val="004F2178"/>
    <w:rsid w:val="004F2653"/>
    <w:rsid w:val="004F2CB4"/>
    <w:rsid w:val="004F2E79"/>
    <w:rsid w:val="004F31E1"/>
    <w:rsid w:val="004F35A1"/>
    <w:rsid w:val="004F3A9D"/>
    <w:rsid w:val="004F3BB0"/>
    <w:rsid w:val="004F3CF8"/>
    <w:rsid w:val="004F41A5"/>
    <w:rsid w:val="004F442D"/>
    <w:rsid w:val="004F47DA"/>
    <w:rsid w:val="004F4854"/>
    <w:rsid w:val="004F50E1"/>
    <w:rsid w:val="004F5111"/>
    <w:rsid w:val="004F55A6"/>
    <w:rsid w:val="004F5850"/>
    <w:rsid w:val="004F5BFC"/>
    <w:rsid w:val="004F5EE8"/>
    <w:rsid w:val="004F723A"/>
    <w:rsid w:val="004F742E"/>
    <w:rsid w:val="004F7F4A"/>
    <w:rsid w:val="00500D5E"/>
    <w:rsid w:val="00500E8B"/>
    <w:rsid w:val="00500FE2"/>
    <w:rsid w:val="005010C9"/>
    <w:rsid w:val="00501307"/>
    <w:rsid w:val="0050150C"/>
    <w:rsid w:val="00501634"/>
    <w:rsid w:val="00501860"/>
    <w:rsid w:val="005026BA"/>
    <w:rsid w:val="005027A7"/>
    <w:rsid w:val="00502963"/>
    <w:rsid w:val="00503007"/>
    <w:rsid w:val="00503123"/>
    <w:rsid w:val="00503348"/>
    <w:rsid w:val="0050343C"/>
    <w:rsid w:val="005041B0"/>
    <w:rsid w:val="00504312"/>
    <w:rsid w:val="005049BA"/>
    <w:rsid w:val="0050544C"/>
    <w:rsid w:val="005054B4"/>
    <w:rsid w:val="005059B5"/>
    <w:rsid w:val="00505DC2"/>
    <w:rsid w:val="005062A0"/>
    <w:rsid w:val="0050641B"/>
    <w:rsid w:val="0050653F"/>
    <w:rsid w:val="00506978"/>
    <w:rsid w:val="00506B72"/>
    <w:rsid w:val="00506B9D"/>
    <w:rsid w:val="005074A0"/>
    <w:rsid w:val="005075FC"/>
    <w:rsid w:val="005078BC"/>
    <w:rsid w:val="005078D5"/>
    <w:rsid w:val="00507AFD"/>
    <w:rsid w:val="00507B47"/>
    <w:rsid w:val="00507C2B"/>
    <w:rsid w:val="00507DF9"/>
    <w:rsid w:val="0051029E"/>
    <w:rsid w:val="00510CD1"/>
    <w:rsid w:val="00510D1C"/>
    <w:rsid w:val="00511071"/>
    <w:rsid w:val="0051149C"/>
    <w:rsid w:val="00511D3E"/>
    <w:rsid w:val="00511FB6"/>
    <w:rsid w:val="00512094"/>
    <w:rsid w:val="0051209D"/>
    <w:rsid w:val="00512301"/>
    <w:rsid w:val="00512627"/>
    <w:rsid w:val="00512FB1"/>
    <w:rsid w:val="00513455"/>
    <w:rsid w:val="005135EA"/>
    <w:rsid w:val="00514327"/>
    <w:rsid w:val="0051436E"/>
    <w:rsid w:val="0051448A"/>
    <w:rsid w:val="00514D77"/>
    <w:rsid w:val="005150E4"/>
    <w:rsid w:val="00515610"/>
    <w:rsid w:val="00515A06"/>
    <w:rsid w:val="00515A88"/>
    <w:rsid w:val="00515E46"/>
    <w:rsid w:val="00515FB4"/>
    <w:rsid w:val="005168F0"/>
    <w:rsid w:val="00516BC5"/>
    <w:rsid w:val="005172C6"/>
    <w:rsid w:val="005173D5"/>
    <w:rsid w:val="00517844"/>
    <w:rsid w:val="005178E3"/>
    <w:rsid w:val="00517BAE"/>
    <w:rsid w:val="00517D0A"/>
    <w:rsid w:val="00520045"/>
    <w:rsid w:val="005200D2"/>
    <w:rsid w:val="005200F8"/>
    <w:rsid w:val="005201F9"/>
    <w:rsid w:val="005203B5"/>
    <w:rsid w:val="00520643"/>
    <w:rsid w:val="00520F9A"/>
    <w:rsid w:val="005210B7"/>
    <w:rsid w:val="005211DE"/>
    <w:rsid w:val="00521328"/>
    <w:rsid w:val="00521400"/>
    <w:rsid w:val="0052145A"/>
    <w:rsid w:val="005217B3"/>
    <w:rsid w:val="00521BED"/>
    <w:rsid w:val="005225FB"/>
    <w:rsid w:val="0052319F"/>
    <w:rsid w:val="005231FC"/>
    <w:rsid w:val="00523B6C"/>
    <w:rsid w:val="00524162"/>
    <w:rsid w:val="00524860"/>
    <w:rsid w:val="005249DB"/>
    <w:rsid w:val="00524C48"/>
    <w:rsid w:val="00524EF3"/>
    <w:rsid w:val="00524FE4"/>
    <w:rsid w:val="005250FA"/>
    <w:rsid w:val="00525722"/>
    <w:rsid w:val="005261F7"/>
    <w:rsid w:val="00526433"/>
    <w:rsid w:val="005265D6"/>
    <w:rsid w:val="00527684"/>
    <w:rsid w:val="005276E8"/>
    <w:rsid w:val="00530085"/>
    <w:rsid w:val="00530B6D"/>
    <w:rsid w:val="00530DC7"/>
    <w:rsid w:val="005311BF"/>
    <w:rsid w:val="00531478"/>
    <w:rsid w:val="0053171C"/>
    <w:rsid w:val="005318C2"/>
    <w:rsid w:val="00531A36"/>
    <w:rsid w:val="00532437"/>
    <w:rsid w:val="005324EE"/>
    <w:rsid w:val="00532A29"/>
    <w:rsid w:val="00532B71"/>
    <w:rsid w:val="00532F0E"/>
    <w:rsid w:val="00533528"/>
    <w:rsid w:val="00534289"/>
    <w:rsid w:val="00534323"/>
    <w:rsid w:val="0053460D"/>
    <w:rsid w:val="00534A22"/>
    <w:rsid w:val="00534E56"/>
    <w:rsid w:val="00535836"/>
    <w:rsid w:val="00536163"/>
    <w:rsid w:val="005361B3"/>
    <w:rsid w:val="0053627B"/>
    <w:rsid w:val="00536313"/>
    <w:rsid w:val="005363DD"/>
    <w:rsid w:val="0053667D"/>
    <w:rsid w:val="005366CD"/>
    <w:rsid w:val="00536769"/>
    <w:rsid w:val="0054003D"/>
    <w:rsid w:val="0054033A"/>
    <w:rsid w:val="00540617"/>
    <w:rsid w:val="00540A93"/>
    <w:rsid w:val="00540BFE"/>
    <w:rsid w:val="00540E0D"/>
    <w:rsid w:val="00541266"/>
    <w:rsid w:val="0054178B"/>
    <w:rsid w:val="0054180C"/>
    <w:rsid w:val="00541FFA"/>
    <w:rsid w:val="00542142"/>
    <w:rsid w:val="005421A3"/>
    <w:rsid w:val="005425BF"/>
    <w:rsid w:val="005428F9"/>
    <w:rsid w:val="00543111"/>
    <w:rsid w:val="00543290"/>
    <w:rsid w:val="00543DAA"/>
    <w:rsid w:val="0054435D"/>
    <w:rsid w:val="005443B1"/>
    <w:rsid w:val="00544478"/>
    <w:rsid w:val="00544570"/>
    <w:rsid w:val="00544C51"/>
    <w:rsid w:val="0054530B"/>
    <w:rsid w:val="00545573"/>
    <w:rsid w:val="005456BE"/>
    <w:rsid w:val="00545A18"/>
    <w:rsid w:val="00545B22"/>
    <w:rsid w:val="00545C39"/>
    <w:rsid w:val="00545CB3"/>
    <w:rsid w:val="00545E8D"/>
    <w:rsid w:val="005460EB"/>
    <w:rsid w:val="00546417"/>
    <w:rsid w:val="005465CD"/>
    <w:rsid w:val="005467C8"/>
    <w:rsid w:val="005468C0"/>
    <w:rsid w:val="00546B37"/>
    <w:rsid w:val="00547CF9"/>
    <w:rsid w:val="005501E0"/>
    <w:rsid w:val="00550B1C"/>
    <w:rsid w:val="00551185"/>
    <w:rsid w:val="005513B7"/>
    <w:rsid w:val="0055150B"/>
    <w:rsid w:val="00551565"/>
    <w:rsid w:val="005518F4"/>
    <w:rsid w:val="00551990"/>
    <w:rsid w:val="00551CE6"/>
    <w:rsid w:val="00551F64"/>
    <w:rsid w:val="005521C3"/>
    <w:rsid w:val="00553085"/>
    <w:rsid w:val="005531D8"/>
    <w:rsid w:val="005538DB"/>
    <w:rsid w:val="00553A4E"/>
    <w:rsid w:val="00553C72"/>
    <w:rsid w:val="005540E9"/>
    <w:rsid w:val="0055422F"/>
    <w:rsid w:val="00554B86"/>
    <w:rsid w:val="00554D18"/>
    <w:rsid w:val="00554F1D"/>
    <w:rsid w:val="0055589A"/>
    <w:rsid w:val="0055597D"/>
    <w:rsid w:val="00555BDC"/>
    <w:rsid w:val="00555CCE"/>
    <w:rsid w:val="00556328"/>
    <w:rsid w:val="00556AB1"/>
    <w:rsid w:val="00556E6B"/>
    <w:rsid w:val="00556ECD"/>
    <w:rsid w:val="0055736D"/>
    <w:rsid w:val="00557BB6"/>
    <w:rsid w:val="00557DBF"/>
    <w:rsid w:val="0056061F"/>
    <w:rsid w:val="00560A97"/>
    <w:rsid w:val="00560ADA"/>
    <w:rsid w:val="00560AF9"/>
    <w:rsid w:val="00560AFF"/>
    <w:rsid w:val="0056102C"/>
    <w:rsid w:val="005612B0"/>
    <w:rsid w:val="005612D6"/>
    <w:rsid w:val="005613F8"/>
    <w:rsid w:val="00561767"/>
    <w:rsid w:val="005617E8"/>
    <w:rsid w:val="00561B4B"/>
    <w:rsid w:val="00561CCE"/>
    <w:rsid w:val="00562B38"/>
    <w:rsid w:val="00562B9E"/>
    <w:rsid w:val="00562C7B"/>
    <w:rsid w:val="00562DAB"/>
    <w:rsid w:val="005630FE"/>
    <w:rsid w:val="0056320D"/>
    <w:rsid w:val="00563559"/>
    <w:rsid w:val="00564216"/>
    <w:rsid w:val="0056501F"/>
    <w:rsid w:val="005656ED"/>
    <w:rsid w:val="005658C2"/>
    <w:rsid w:val="00565A70"/>
    <w:rsid w:val="00565FEB"/>
    <w:rsid w:val="005661B5"/>
    <w:rsid w:val="005661DA"/>
    <w:rsid w:val="0056622D"/>
    <w:rsid w:val="0056684D"/>
    <w:rsid w:val="00566902"/>
    <w:rsid w:val="00566CA3"/>
    <w:rsid w:val="00566D2B"/>
    <w:rsid w:val="00566D3B"/>
    <w:rsid w:val="0056720C"/>
    <w:rsid w:val="0056750F"/>
    <w:rsid w:val="00567A38"/>
    <w:rsid w:val="00567CEA"/>
    <w:rsid w:val="00567F5D"/>
    <w:rsid w:val="0057035C"/>
    <w:rsid w:val="0057091A"/>
    <w:rsid w:val="00570B4F"/>
    <w:rsid w:val="00570D19"/>
    <w:rsid w:val="00570DD1"/>
    <w:rsid w:val="005712B1"/>
    <w:rsid w:val="0057153F"/>
    <w:rsid w:val="005715F9"/>
    <w:rsid w:val="00571699"/>
    <w:rsid w:val="00571AEB"/>
    <w:rsid w:val="0057242F"/>
    <w:rsid w:val="00572A98"/>
    <w:rsid w:val="00572D61"/>
    <w:rsid w:val="00572F81"/>
    <w:rsid w:val="00573037"/>
    <w:rsid w:val="005732A3"/>
    <w:rsid w:val="00573452"/>
    <w:rsid w:val="00573917"/>
    <w:rsid w:val="00573A39"/>
    <w:rsid w:val="00573C69"/>
    <w:rsid w:val="00573EA7"/>
    <w:rsid w:val="00574052"/>
    <w:rsid w:val="005746BD"/>
    <w:rsid w:val="00574BDF"/>
    <w:rsid w:val="00574C8C"/>
    <w:rsid w:val="00574FB1"/>
    <w:rsid w:val="00575B55"/>
    <w:rsid w:val="00575C42"/>
    <w:rsid w:val="00575D9B"/>
    <w:rsid w:val="00575EB6"/>
    <w:rsid w:val="0057661B"/>
    <w:rsid w:val="0057691C"/>
    <w:rsid w:val="005769DB"/>
    <w:rsid w:val="00576A6A"/>
    <w:rsid w:val="005772F0"/>
    <w:rsid w:val="00577501"/>
    <w:rsid w:val="00577D0F"/>
    <w:rsid w:val="00577E5F"/>
    <w:rsid w:val="0058000E"/>
    <w:rsid w:val="005813EA"/>
    <w:rsid w:val="00581694"/>
    <w:rsid w:val="00581768"/>
    <w:rsid w:val="00581817"/>
    <w:rsid w:val="005819F8"/>
    <w:rsid w:val="00581FCD"/>
    <w:rsid w:val="005820E2"/>
    <w:rsid w:val="00582127"/>
    <w:rsid w:val="00582526"/>
    <w:rsid w:val="0058259C"/>
    <w:rsid w:val="00582FC7"/>
    <w:rsid w:val="00583F93"/>
    <w:rsid w:val="00584437"/>
    <w:rsid w:val="00584B61"/>
    <w:rsid w:val="00584E48"/>
    <w:rsid w:val="00584E52"/>
    <w:rsid w:val="005855BD"/>
    <w:rsid w:val="005856AC"/>
    <w:rsid w:val="00586140"/>
    <w:rsid w:val="00586272"/>
    <w:rsid w:val="0058640A"/>
    <w:rsid w:val="005867BE"/>
    <w:rsid w:val="00586E2A"/>
    <w:rsid w:val="005872E6"/>
    <w:rsid w:val="00587325"/>
    <w:rsid w:val="0058774B"/>
    <w:rsid w:val="005877F8"/>
    <w:rsid w:val="00587824"/>
    <w:rsid w:val="00587ECB"/>
    <w:rsid w:val="0059045E"/>
    <w:rsid w:val="00590B58"/>
    <w:rsid w:val="005916E4"/>
    <w:rsid w:val="00591C31"/>
    <w:rsid w:val="00591DB6"/>
    <w:rsid w:val="00591F92"/>
    <w:rsid w:val="005920B0"/>
    <w:rsid w:val="0059255F"/>
    <w:rsid w:val="0059274D"/>
    <w:rsid w:val="00592830"/>
    <w:rsid w:val="00592C94"/>
    <w:rsid w:val="00592DEF"/>
    <w:rsid w:val="00592ED9"/>
    <w:rsid w:val="005931CE"/>
    <w:rsid w:val="00593200"/>
    <w:rsid w:val="0059332B"/>
    <w:rsid w:val="00593E16"/>
    <w:rsid w:val="00594C9A"/>
    <w:rsid w:val="00594FBC"/>
    <w:rsid w:val="0059518C"/>
    <w:rsid w:val="00595C48"/>
    <w:rsid w:val="00595C76"/>
    <w:rsid w:val="00595FCB"/>
    <w:rsid w:val="00596414"/>
    <w:rsid w:val="005969E4"/>
    <w:rsid w:val="005969F7"/>
    <w:rsid w:val="0059717E"/>
    <w:rsid w:val="0059736A"/>
    <w:rsid w:val="00597450"/>
    <w:rsid w:val="00597AA3"/>
    <w:rsid w:val="00597B1A"/>
    <w:rsid w:val="005A00D8"/>
    <w:rsid w:val="005A0249"/>
    <w:rsid w:val="005A02D8"/>
    <w:rsid w:val="005A0BC4"/>
    <w:rsid w:val="005A109A"/>
    <w:rsid w:val="005A14A1"/>
    <w:rsid w:val="005A1787"/>
    <w:rsid w:val="005A1A0D"/>
    <w:rsid w:val="005A1CF7"/>
    <w:rsid w:val="005A274A"/>
    <w:rsid w:val="005A2F32"/>
    <w:rsid w:val="005A3491"/>
    <w:rsid w:val="005A37BD"/>
    <w:rsid w:val="005A3D7F"/>
    <w:rsid w:val="005A3E3B"/>
    <w:rsid w:val="005A47CC"/>
    <w:rsid w:val="005A49D4"/>
    <w:rsid w:val="005A4DFD"/>
    <w:rsid w:val="005A4F5A"/>
    <w:rsid w:val="005A5162"/>
    <w:rsid w:val="005A5507"/>
    <w:rsid w:val="005A56D9"/>
    <w:rsid w:val="005A5B27"/>
    <w:rsid w:val="005A5D05"/>
    <w:rsid w:val="005A629A"/>
    <w:rsid w:val="005A6602"/>
    <w:rsid w:val="005A68E6"/>
    <w:rsid w:val="005A7044"/>
    <w:rsid w:val="005A710D"/>
    <w:rsid w:val="005A7207"/>
    <w:rsid w:val="005A7486"/>
    <w:rsid w:val="005A798C"/>
    <w:rsid w:val="005B0277"/>
    <w:rsid w:val="005B114C"/>
    <w:rsid w:val="005B1B0B"/>
    <w:rsid w:val="005B1D9F"/>
    <w:rsid w:val="005B1F0F"/>
    <w:rsid w:val="005B2003"/>
    <w:rsid w:val="005B20E1"/>
    <w:rsid w:val="005B2384"/>
    <w:rsid w:val="005B2814"/>
    <w:rsid w:val="005B29B0"/>
    <w:rsid w:val="005B2DC7"/>
    <w:rsid w:val="005B2E18"/>
    <w:rsid w:val="005B2F4A"/>
    <w:rsid w:val="005B30EA"/>
    <w:rsid w:val="005B32E9"/>
    <w:rsid w:val="005B3911"/>
    <w:rsid w:val="005B3A4D"/>
    <w:rsid w:val="005B3B05"/>
    <w:rsid w:val="005B40F2"/>
    <w:rsid w:val="005B40F4"/>
    <w:rsid w:val="005B42B7"/>
    <w:rsid w:val="005B4498"/>
    <w:rsid w:val="005B454D"/>
    <w:rsid w:val="005B4768"/>
    <w:rsid w:val="005B4D1A"/>
    <w:rsid w:val="005B4F6D"/>
    <w:rsid w:val="005B4FAD"/>
    <w:rsid w:val="005B5C5C"/>
    <w:rsid w:val="005B5DAB"/>
    <w:rsid w:val="005B5F27"/>
    <w:rsid w:val="005B625B"/>
    <w:rsid w:val="005B64A9"/>
    <w:rsid w:val="005B65D6"/>
    <w:rsid w:val="005B69D1"/>
    <w:rsid w:val="005B6F11"/>
    <w:rsid w:val="005B71D1"/>
    <w:rsid w:val="005B74DA"/>
    <w:rsid w:val="005B78F8"/>
    <w:rsid w:val="005C020C"/>
    <w:rsid w:val="005C048F"/>
    <w:rsid w:val="005C0D06"/>
    <w:rsid w:val="005C1271"/>
    <w:rsid w:val="005C147C"/>
    <w:rsid w:val="005C1C27"/>
    <w:rsid w:val="005C1D3A"/>
    <w:rsid w:val="005C29EC"/>
    <w:rsid w:val="005C2D65"/>
    <w:rsid w:val="005C3185"/>
    <w:rsid w:val="005C31BF"/>
    <w:rsid w:val="005C32FC"/>
    <w:rsid w:val="005C353B"/>
    <w:rsid w:val="005C37BC"/>
    <w:rsid w:val="005C3945"/>
    <w:rsid w:val="005C39E6"/>
    <w:rsid w:val="005C3DF2"/>
    <w:rsid w:val="005C4E96"/>
    <w:rsid w:val="005C504B"/>
    <w:rsid w:val="005C5160"/>
    <w:rsid w:val="005C53CD"/>
    <w:rsid w:val="005C5552"/>
    <w:rsid w:val="005C5704"/>
    <w:rsid w:val="005C6871"/>
    <w:rsid w:val="005C70CF"/>
    <w:rsid w:val="005C7287"/>
    <w:rsid w:val="005C7497"/>
    <w:rsid w:val="005D0177"/>
    <w:rsid w:val="005D062D"/>
    <w:rsid w:val="005D0935"/>
    <w:rsid w:val="005D0D0C"/>
    <w:rsid w:val="005D0FAE"/>
    <w:rsid w:val="005D14CD"/>
    <w:rsid w:val="005D1B1D"/>
    <w:rsid w:val="005D223E"/>
    <w:rsid w:val="005D25B1"/>
    <w:rsid w:val="005D269D"/>
    <w:rsid w:val="005D2755"/>
    <w:rsid w:val="005D356E"/>
    <w:rsid w:val="005D3D66"/>
    <w:rsid w:val="005D42DB"/>
    <w:rsid w:val="005D4939"/>
    <w:rsid w:val="005D49D1"/>
    <w:rsid w:val="005D4CF1"/>
    <w:rsid w:val="005D4CFF"/>
    <w:rsid w:val="005D4FA9"/>
    <w:rsid w:val="005D4FAC"/>
    <w:rsid w:val="005D55F5"/>
    <w:rsid w:val="005D5A2C"/>
    <w:rsid w:val="005D6200"/>
    <w:rsid w:val="005D6425"/>
    <w:rsid w:val="005D64F6"/>
    <w:rsid w:val="005D6526"/>
    <w:rsid w:val="005D6A3E"/>
    <w:rsid w:val="005D71D2"/>
    <w:rsid w:val="005D768F"/>
    <w:rsid w:val="005D7720"/>
    <w:rsid w:val="005D7970"/>
    <w:rsid w:val="005E07E6"/>
    <w:rsid w:val="005E0A93"/>
    <w:rsid w:val="005E0C83"/>
    <w:rsid w:val="005E0EAC"/>
    <w:rsid w:val="005E108C"/>
    <w:rsid w:val="005E1D7F"/>
    <w:rsid w:val="005E2157"/>
    <w:rsid w:val="005E22B5"/>
    <w:rsid w:val="005E2544"/>
    <w:rsid w:val="005E2719"/>
    <w:rsid w:val="005E28E5"/>
    <w:rsid w:val="005E2A57"/>
    <w:rsid w:val="005E2E3A"/>
    <w:rsid w:val="005E2FF6"/>
    <w:rsid w:val="005E3306"/>
    <w:rsid w:val="005E3F32"/>
    <w:rsid w:val="005E40EB"/>
    <w:rsid w:val="005E4671"/>
    <w:rsid w:val="005E47E0"/>
    <w:rsid w:val="005E4D67"/>
    <w:rsid w:val="005E4DAC"/>
    <w:rsid w:val="005E51B2"/>
    <w:rsid w:val="005E5704"/>
    <w:rsid w:val="005E5F1C"/>
    <w:rsid w:val="005E60A5"/>
    <w:rsid w:val="005E6345"/>
    <w:rsid w:val="005E66CF"/>
    <w:rsid w:val="005E6A38"/>
    <w:rsid w:val="005E6A3F"/>
    <w:rsid w:val="005E7369"/>
    <w:rsid w:val="005E752E"/>
    <w:rsid w:val="005E7F30"/>
    <w:rsid w:val="005F054A"/>
    <w:rsid w:val="005F0CB7"/>
    <w:rsid w:val="005F14A5"/>
    <w:rsid w:val="005F188F"/>
    <w:rsid w:val="005F1BF4"/>
    <w:rsid w:val="005F1E6D"/>
    <w:rsid w:val="005F1F59"/>
    <w:rsid w:val="005F1FE0"/>
    <w:rsid w:val="005F23A6"/>
    <w:rsid w:val="005F2487"/>
    <w:rsid w:val="005F2F2C"/>
    <w:rsid w:val="005F30B0"/>
    <w:rsid w:val="005F32B7"/>
    <w:rsid w:val="005F3330"/>
    <w:rsid w:val="005F33B6"/>
    <w:rsid w:val="005F3699"/>
    <w:rsid w:val="005F36E8"/>
    <w:rsid w:val="005F38E6"/>
    <w:rsid w:val="005F3F2C"/>
    <w:rsid w:val="005F4147"/>
    <w:rsid w:val="005F48F0"/>
    <w:rsid w:val="005F4CE4"/>
    <w:rsid w:val="005F521F"/>
    <w:rsid w:val="005F5759"/>
    <w:rsid w:val="005F5892"/>
    <w:rsid w:val="005F5A40"/>
    <w:rsid w:val="005F5D06"/>
    <w:rsid w:val="005F5D92"/>
    <w:rsid w:val="005F5D9A"/>
    <w:rsid w:val="005F63B1"/>
    <w:rsid w:val="005F6AA6"/>
    <w:rsid w:val="005F6F92"/>
    <w:rsid w:val="005F7214"/>
    <w:rsid w:val="005F731F"/>
    <w:rsid w:val="005F732A"/>
    <w:rsid w:val="005F7411"/>
    <w:rsid w:val="005F75A7"/>
    <w:rsid w:val="0060061F"/>
    <w:rsid w:val="006006E9"/>
    <w:rsid w:val="00600A95"/>
    <w:rsid w:val="00600F86"/>
    <w:rsid w:val="0060162E"/>
    <w:rsid w:val="00601693"/>
    <w:rsid w:val="00601EB0"/>
    <w:rsid w:val="00601F32"/>
    <w:rsid w:val="006020F5"/>
    <w:rsid w:val="0060221C"/>
    <w:rsid w:val="0060280F"/>
    <w:rsid w:val="00602C39"/>
    <w:rsid w:val="00602C5B"/>
    <w:rsid w:val="00602D09"/>
    <w:rsid w:val="00602EFB"/>
    <w:rsid w:val="00603248"/>
    <w:rsid w:val="006033BB"/>
    <w:rsid w:val="0060349A"/>
    <w:rsid w:val="006037D7"/>
    <w:rsid w:val="00603C9C"/>
    <w:rsid w:val="00603DF5"/>
    <w:rsid w:val="00603EBA"/>
    <w:rsid w:val="006041C1"/>
    <w:rsid w:val="00604269"/>
    <w:rsid w:val="006046CF"/>
    <w:rsid w:val="006047C2"/>
    <w:rsid w:val="00604E3F"/>
    <w:rsid w:val="00605086"/>
    <w:rsid w:val="0060526A"/>
    <w:rsid w:val="00605809"/>
    <w:rsid w:val="00605A1F"/>
    <w:rsid w:val="00605A64"/>
    <w:rsid w:val="00605BAD"/>
    <w:rsid w:val="00605BF4"/>
    <w:rsid w:val="00605C60"/>
    <w:rsid w:val="00605DA4"/>
    <w:rsid w:val="00606185"/>
    <w:rsid w:val="00606376"/>
    <w:rsid w:val="006066BB"/>
    <w:rsid w:val="00606C7E"/>
    <w:rsid w:val="006071F7"/>
    <w:rsid w:val="00607540"/>
    <w:rsid w:val="00610021"/>
    <w:rsid w:val="00610047"/>
    <w:rsid w:val="00610983"/>
    <w:rsid w:val="00610A3A"/>
    <w:rsid w:val="00610CB0"/>
    <w:rsid w:val="0061107F"/>
    <w:rsid w:val="00611206"/>
    <w:rsid w:val="006113D1"/>
    <w:rsid w:val="00611848"/>
    <w:rsid w:val="00611AB0"/>
    <w:rsid w:val="00611C5D"/>
    <w:rsid w:val="00612798"/>
    <w:rsid w:val="00612F3A"/>
    <w:rsid w:val="00612FDE"/>
    <w:rsid w:val="006138FF"/>
    <w:rsid w:val="00613967"/>
    <w:rsid w:val="006139B9"/>
    <w:rsid w:val="006142F4"/>
    <w:rsid w:val="0061467F"/>
    <w:rsid w:val="00614B41"/>
    <w:rsid w:val="00614EEB"/>
    <w:rsid w:val="00614FCE"/>
    <w:rsid w:val="00615171"/>
    <w:rsid w:val="006156AA"/>
    <w:rsid w:val="006156EE"/>
    <w:rsid w:val="006157A7"/>
    <w:rsid w:val="00615849"/>
    <w:rsid w:val="00616332"/>
    <w:rsid w:val="00616F4E"/>
    <w:rsid w:val="00616FA1"/>
    <w:rsid w:val="00617554"/>
    <w:rsid w:val="006175BE"/>
    <w:rsid w:val="006176DC"/>
    <w:rsid w:val="006179E7"/>
    <w:rsid w:val="00617EFA"/>
    <w:rsid w:val="00620467"/>
    <w:rsid w:val="006204D5"/>
    <w:rsid w:val="006205D3"/>
    <w:rsid w:val="00620773"/>
    <w:rsid w:val="0062085F"/>
    <w:rsid w:val="00620E58"/>
    <w:rsid w:val="00620F2B"/>
    <w:rsid w:val="00620F50"/>
    <w:rsid w:val="00621511"/>
    <w:rsid w:val="006219FF"/>
    <w:rsid w:val="00621A43"/>
    <w:rsid w:val="00621B3D"/>
    <w:rsid w:val="00621F46"/>
    <w:rsid w:val="0062227F"/>
    <w:rsid w:val="006228D8"/>
    <w:rsid w:val="00622B31"/>
    <w:rsid w:val="0062305F"/>
    <w:rsid w:val="00623150"/>
    <w:rsid w:val="00623396"/>
    <w:rsid w:val="006239A4"/>
    <w:rsid w:val="00624153"/>
    <w:rsid w:val="00624310"/>
    <w:rsid w:val="00624696"/>
    <w:rsid w:val="00625202"/>
    <w:rsid w:val="00625359"/>
    <w:rsid w:val="00625426"/>
    <w:rsid w:val="0062559B"/>
    <w:rsid w:val="00625F09"/>
    <w:rsid w:val="00625F69"/>
    <w:rsid w:val="00626581"/>
    <w:rsid w:val="00626796"/>
    <w:rsid w:val="00626CEE"/>
    <w:rsid w:val="00626F6E"/>
    <w:rsid w:val="006274E1"/>
    <w:rsid w:val="00627D53"/>
    <w:rsid w:val="00630583"/>
    <w:rsid w:val="00630780"/>
    <w:rsid w:val="0063099E"/>
    <w:rsid w:val="00630E77"/>
    <w:rsid w:val="006315E6"/>
    <w:rsid w:val="00631CC7"/>
    <w:rsid w:val="00631E9F"/>
    <w:rsid w:val="00631F79"/>
    <w:rsid w:val="00631F95"/>
    <w:rsid w:val="00631FD0"/>
    <w:rsid w:val="00632CAB"/>
    <w:rsid w:val="00632D01"/>
    <w:rsid w:val="00633032"/>
    <w:rsid w:val="006330B2"/>
    <w:rsid w:val="00633963"/>
    <w:rsid w:val="00633AEC"/>
    <w:rsid w:val="00633CE2"/>
    <w:rsid w:val="00634375"/>
    <w:rsid w:val="00634524"/>
    <w:rsid w:val="00634888"/>
    <w:rsid w:val="006349E8"/>
    <w:rsid w:val="00634AD9"/>
    <w:rsid w:val="006350A6"/>
    <w:rsid w:val="0063513F"/>
    <w:rsid w:val="006354E2"/>
    <w:rsid w:val="00635977"/>
    <w:rsid w:val="00635AC8"/>
    <w:rsid w:val="00635C04"/>
    <w:rsid w:val="00635CB8"/>
    <w:rsid w:val="0063696D"/>
    <w:rsid w:val="00636F9C"/>
    <w:rsid w:val="006377EE"/>
    <w:rsid w:val="00637C3C"/>
    <w:rsid w:val="00640286"/>
    <w:rsid w:val="0064088D"/>
    <w:rsid w:val="00640915"/>
    <w:rsid w:val="00640BBB"/>
    <w:rsid w:val="00640C29"/>
    <w:rsid w:val="00641149"/>
    <w:rsid w:val="00642339"/>
    <w:rsid w:val="00642340"/>
    <w:rsid w:val="006423D6"/>
    <w:rsid w:val="00643187"/>
    <w:rsid w:val="00643295"/>
    <w:rsid w:val="006436DE"/>
    <w:rsid w:val="00643889"/>
    <w:rsid w:val="00643B19"/>
    <w:rsid w:val="00644132"/>
    <w:rsid w:val="00644FEC"/>
    <w:rsid w:val="006456CC"/>
    <w:rsid w:val="00645757"/>
    <w:rsid w:val="00645813"/>
    <w:rsid w:val="00646031"/>
    <w:rsid w:val="00646107"/>
    <w:rsid w:val="00646B31"/>
    <w:rsid w:val="00646B6D"/>
    <w:rsid w:val="0065005C"/>
    <w:rsid w:val="00650125"/>
    <w:rsid w:val="00650655"/>
    <w:rsid w:val="00650683"/>
    <w:rsid w:val="00650B06"/>
    <w:rsid w:val="006514DD"/>
    <w:rsid w:val="00651581"/>
    <w:rsid w:val="00651C9F"/>
    <w:rsid w:val="00652470"/>
    <w:rsid w:val="0065281A"/>
    <w:rsid w:val="0065285F"/>
    <w:rsid w:val="00652A94"/>
    <w:rsid w:val="00652E4A"/>
    <w:rsid w:val="006532AF"/>
    <w:rsid w:val="006535C4"/>
    <w:rsid w:val="0065362E"/>
    <w:rsid w:val="00653985"/>
    <w:rsid w:val="00653B35"/>
    <w:rsid w:val="00653D27"/>
    <w:rsid w:val="00653D73"/>
    <w:rsid w:val="00653D9C"/>
    <w:rsid w:val="00653EDB"/>
    <w:rsid w:val="0065404C"/>
    <w:rsid w:val="006548CD"/>
    <w:rsid w:val="00654ECD"/>
    <w:rsid w:val="0065508A"/>
    <w:rsid w:val="00655E09"/>
    <w:rsid w:val="006560BC"/>
    <w:rsid w:val="00656621"/>
    <w:rsid w:val="006566CE"/>
    <w:rsid w:val="00657138"/>
    <w:rsid w:val="006572A6"/>
    <w:rsid w:val="00657C12"/>
    <w:rsid w:val="00661384"/>
    <w:rsid w:val="0066140B"/>
    <w:rsid w:val="00661709"/>
    <w:rsid w:val="00662472"/>
    <w:rsid w:val="0066264D"/>
    <w:rsid w:val="006628E1"/>
    <w:rsid w:val="00663892"/>
    <w:rsid w:val="00663ACC"/>
    <w:rsid w:val="00663B1B"/>
    <w:rsid w:val="00663F2B"/>
    <w:rsid w:val="00664282"/>
    <w:rsid w:val="00664315"/>
    <w:rsid w:val="00664957"/>
    <w:rsid w:val="00664997"/>
    <w:rsid w:val="006649F2"/>
    <w:rsid w:val="00664ADE"/>
    <w:rsid w:val="00664F07"/>
    <w:rsid w:val="006652B9"/>
    <w:rsid w:val="0066551D"/>
    <w:rsid w:val="0066590C"/>
    <w:rsid w:val="006659D1"/>
    <w:rsid w:val="00665D48"/>
    <w:rsid w:val="00665D99"/>
    <w:rsid w:val="006662F1"/>
    <w:rsid w:val="006667A5"/>
    <w:rsid w:val="00666D3A"/>
    <w:rsid w:val="00667175"/>
    <w:rsid w:val="006676EE"/>
    <w:rsid w:val="00667AB9"/>
    <w:rsid w:val="0067076A"/>
    <w:rsid w:val="00670D7A"/>
    <w:rsid w:val="0067160E"/>
    <w:rsid w:val="006716BF"/>
    <w:rsid w:val="00671E19"/>
    <w:rsid w:val="0067262B"/>
    <w:rsid w:val="00672B5D"/>
    <w:rsid w:val="00673165"/>
    <w:rsid w:val="00673327"/>
    <w:rsid w:val="00673816"/>
    <w:rsid w:val="00673AD4"/>
    <w:rsid w:val="00673BAB"/>
    <w:rsid w:val="00673EF3"/>
    <w:rsid w:val="006740A4"/>
    <w:rsid w:val="00674FB5"/>
    <w:rsid w:val="00675167"/>
    <w:rsid w:val="00675A34"/>
    <w:rsid w:val="00675D07"/>
    <w:rsid w:val="00675D97"/>
    <w:rsid w:val="00675FAD"/>
    <w:rsid w:val="00676347"/>
    <w:rsid w:val="00676540"/>
    <w:rsid w:val="006767D1"/>
    <w:rsid w:val="006767FC"/>
    <w:rsid w:val="00677407"/>
    <w:rsid w:val="00677437"/>
    <w:rsid w:val="006775DC"/>
    <w:rsid w:val="006778F3"/>
    <w:rsid w:val="00677A0E"/>
    <w:rsid w:val="00677E81"/>
    <w:rsid w:val="00677F12"/>
    <w:rsid w:val="00680159"/>
    <w:rsid w:val="006804BA"/>
    <w:rsid w:val="006804D6"/>
    <w:rsid w:val="00680B87"/>
    <w:rsid w:val="0068147D"/>
    <w:rsid w:val="00681682"/>
    <w:rsid w:val="0068169B"/>
    <w:rsid w:val="006816DF"/>
    <w:rsid w:val="00681926"/>
    <w:rsid w:val="00682203"/>
    <w:rsid w:val="00682634"/>
    <w:rsid w:val="00682BE5"/>
    <w:rsid w:val="00682DC9"/>
    <w:rsid w:val="00683090"/>
    <w:rsid w:val="0068317A"/>
    <w:rsid w:val="0068335A"/>
    <w:rsid w:val="006833DF"/>
    <w:rsid w:val="006835F0"/>
    <w:rsid w:val="00683E5C"/>
    <w:rsid w:val="00684271"/>
    <w:rsid w:val="006845EC"/>
    <w:rsid w:val="00684993"/>
    <w:rsid w:val="00684D5F"/>
    <w:rsid w:val="006851E8"/>
    <w:rsid w:val="006856C2"/>
    <w:rsid w:val="00685D36"/>
    <w:rsid w:val="0068648E"/>
    <w:rsid w:val="00686697"/>
    <w:rsid w:val="00686B3A"/>
    <w:rsid w:val="00686F8E"/>
    <w:rsid w:val="00686FA7"/>
    <w:rsid w:val="006872C4"/>
    <w:rsid w:val="00687374"/>
    <w:rsid w:val="0068765B"/>
    <w:rsid w:val="00687882"/>
    <w:rsid w:val="00687969"/>
    <w:rsid w:val="00687C05"/>
    <w:rsid w:val="00687E99"/>
    <w:rsid w:val="0069022C"/>
    <w:rsid w:val="00690357"/>
    <w:rsid w:val="006906A7"/>
    <w:rsid w:val="00690782"/>
    <w:rsid w:val="006907D1"/>
    <w:rsid w:val="00690A6D"/>
    <w:rsid w:val="00691378"/>
    <w:rsid w:val="0069161E"/>
    <w:rsid w:val="00691958"/>
    <w:rsid w:val="006919A7"/>
    <w:rsid w:val="00691D64"/>
    <w:rsid w:val="00692201"/>
    <w:rsid w:val="006923DC"/>
    <w:rsid w:val="00692481"/>
    <w:rsid w:val="00692A63"/>
    <w:rsid w:val="00692D27"/>
    <w:rsid w:val="006931A4"/>
    <w:rsid w:val="00693335"/>
    <w:rsid w:val="00693575"/>
    <w:rsid w:val="00693849"/>
    <w:rsid w:val="00693A3F"/>
    <w:rsid w:val="00693AA2"/>
    <w:rsid w:val="00693C3E"/>
    <w:rsid w:val="00693CD2"/>
    <w:rsid w:val="00693DB3"/>
    <w:rsid w:val="00694013"/>
    <w:rsid w:val="00694095"/>
    <w:rsid w:val="00694223"/>
    <w:rsid w:val="00694469"/>
    <w:rsid w:val="006949CE"/>
    <w:rsid w:val="00694E78"/>
    <w:rsid w:val="0069513E"/>
    <w:rsid w:val="00695369"/>
    <w:rsid w:val="006954DC"/>
    <w:rsid w:val="006954DE"/>
    <w:rsid w:val="006957F2"/>
    <w:rsid w:val="006959DB"/>
    <w:rsid w:val="00695D7F"/>
    <w:rsid w:val="00696B6E"/>
    <w:rsid w:val="00696CAA"/>
    <w:rsid w:val="00696D27"/>
    <w:rsid w:val="00696FBE"/>
    <w:rsid w:val="006970DA"/>
    <w:rsid w:val="00697403"/>
    <w:rsid w:val="006977C4"/>
    <w:rsid w:val="00697F00"/>
    <w:rsid w:val="006A0285"/>
    <w:rsid w:val="006A0340"/>
    <w:rsid w:val="006A1054"/>
    <w:rsid w:val="006A19DA"/>
    <w:rsid w:val="006A1A82"/>
    <w:rsid w:val="006A22B1"/>
    <w:rsid w:val="006A29B6"/>
    <w:rsid w:val="006A2BD5"/>
    <w:rsid w:val="006A3260"/>
    <w:rsid w:val="006A3589"/>
    <w:rsid w:val="006A4167"/>
    <w:rsid w:val="006A4298"/>
    <w:rsid w:val="006A42D9"/>
    <w:rsid w:val="006A49BD"/>
    <w:rsid w:val="006A4EBB"/>
    <w:rsid w:val="006A5566"/>
    <w:rsid w:val="006A5616"/>
    <w:rsid w:val="006A5ED4"/>
    <w:rsid w:val="006A5FC3"/>
    <w:rsid w:val="006A6485"/>
    <w:rsid w:val="006A6F1C"/>
    <w:rsid w:val="006A6FB0"/>
    <w:rsid w:val="006A7159"/>
    <w:rsid w:val="006A761B"/>
    <w:rsid w:val="006A7A8E"/>
    <w:rsid w:val="006A7AF4"/>
    <w:rsid w:val="006A7B32"/>
    <w:rsid w:val="006B00A5"/>
    <w:rsid w:val="006B00F7"/>
    <w:rsid w:val="006B039E"/>
    <w:rsid w:val="006B03F2"/>
    <w:rsid w:val="006B042C"/>
    <w:rsid w:val="006B0703"/>
    <w:rsid w:val="006B0AAC"/>
    <w:rsid w:val="006B1018"/>
    <w:rsid w:val="006B112E"/>
    <w:rsid w:val="006B12D3"/>
    <w:rsid w:val="006B1673"/>
    <w:rsid w:val="006B1922"/>
    <w:rsid w:val="006B1A40"/>
    <w:rsid w:val="006B1AD4"/>
    <w:rsid w:val="006B1D5B"/>
    <w:rsid w:val="006B1ED7"/>
    <w:rsid w:val="006B20BA"/>
    <w:rsid w:val="006B2D12"/>
    <w:rsid w:val="006B2E06"/>
    <w:rsid w:val="006B3096"/>
    <w:rsid w:val="006B34C8"/>
    <w:rsid w:val="006B356A"/>
    <w:rsid w:val="006B3C4B"/>
    <w:rsid w:val="006B44E3"/>
    <w:rsid w:val="006B493A"/>
    <w:rsid w:val="006B5622"/>
    <w:rsid w:val="006B5A06"/>
    <w:rsid w:val="006B5C31"/>
    <w:rsid w:val="006B5C7F"/>
    <w:rsid w:val="006B61FD"/>
    <w:rsid w:val="006B6732"/>
    <w:rsid w:val="006B68C1"/>
    <w:rsid w:val="006B6999"/>
    <w:rsid w:val="006B69D5"/>
    <w:rsid w:val="006B7900"/>
    <w:rsid w:val="006B797E"/>
    <w:rsid w:val="006B7EEE"/>
    <w:rsid w:val="006C001C"/>
    <w:rsid w:val="006C0058"/>
    <w:rsid w:val="006C00AE"/>
    <w:rsid w:val="006C060B"/>
    <w:rsid w:val="006C11C7"/>
    <w:rsid w:val="006C1333"/>
    <w:rsid w:val="006C1555"/>
    <w:rsid w:val="006C19BC"/>
    <w:rsid w:val="006C1BC0"/>
    <w:rsid w:val="006C1D06"/>
    <w:rsid w:val="006C1EBF"/>
    <w:rsid w:val="006C1F2B"/>
    <w:rsid w:val="006C24BA"/>
    <w:rsid w:val="006C277F"/>
    <w:rsid w:val="006C2B1B"/>
    <w:rsid w:val="006C2D7D"/>
    <w:rsid w:val="006C3152"/>
    <w:rsid w:val="006C31DC"/>
    <w:rsid w:val="006C35CA"/>
    <w:rsid w:val="006C37BC"/>
    <w:rsid w:val="006C3D20"/>
    <w:rsid w:val="006C3D67"/>
    <w:rsid w:val="006C3FF3"/>
    <w:rsid w:val="006C4336"/>
    <w:rsid w:val="006C4D73"/>
    <w:rsid w:val="006C4E1D"/>
    <w:rsid w:val="006C548E"/>
    <w:rsid w:val="006C594B"/>
    <w:rsid w:val="006C60FB"/>
    <w:rsid w:val="006C6696"/>
    <w:rsid w:val="006C6F34"/>
    <w:rsid w:val="006C7291"/>
    <w:rsid w:val="006C7C95"/>
    <w:rsid w:val="006C7ED2"/>
    <w:rsid w:val="006D00BC"/>
    <w:rsid w:val="006D04A5"/>
    <w:rsid w:val="006D06DD"/>
    <w:rsid w:val="006D0B54"/>
    <w:rsid w:val="006D0CDE"/>
    <w:rsid w:val="006D0FAB"/>
    <w:rsid w:val="006D10FC"/>
    <w:rsid w:val="006D1D36"/>
    <w:rsid w:val="006D20CB"/>
    <w:rsid w:val="006D2174"/>
    <w:rsid w:val="006D2246"/>
    <w:rsid w:val="006D2784"/>
    <w:rsid w:val="006D27F9"/>
    <w:rsid w:val="006D34FE"/>
    <w:rsid w:val="006D3512"/>
    <w:rsid w:val="006D36C0"/>
    <w:rsid w:val="006D373A"/>
    <w:rsid w:val="006D3A6D"/>
    <w:rsid w:val="006D448B"/>
    <w:rsid w:val="006D4545"/>
    <w:rsid w:val="006D4597"/>
    <w:rsid w:val="006D4B83"/>
    <w:rsid w:val="006D4CA4"/>
    <w:rsid w:val="006D51DD"/>
    <w:rsid w:val="006D575C"/>
    <w:rsid w:val="006D5A94"/>
    <w:rsid w:val="006D5FE7"/>
    <w:rsid w:val="006D60EA"/>
    <w:rsid w:val="006D69E7"/>
    <w:rsid w:val="006D6DB7"/>
    <w:rsid w:val="006D6E12"/>
    <w:rsid w:val="006D6E34"/>
    <w:rsid w:val="006D6F4D"/>
    <w:rsid w:val="006D7030"/>
    <w:rsid w:val="006D78B1"/>
    <w:rsid w:val="006D7E40"/>
    <w:rsid w:val="006D7F35"/>
    <w:rsid w:val="006E01FA"/>
    <w:rsid w:val="006E0358"/>
    <w:rsid w:val="006E0ABB"/>
    <w:rsid w:val="006E0CCC"/>
    <w:rsid w:val="006E0FEF"/>
    <w:rsid w:val="006E1195"/>
    <w:rsid w:val="006E1282"/>
    <w:rsid w:val="006E12D4"/>
    <w:rsid w:val="006E1411"/>
    <w:rsid w:val="006E1C53"/>
    <w:rsid w:val="006E1DAF"/>
    <w:rsid w:val="006E1FD2"/>
    <w:rsid w:val="006E2061"/>
    <w:rsid w:val="006E28EA"/>
    <w:rsid w:val="006E2C35"/>
    <w:rsid w:val="006E30C3"/>
    <w:rsid w:val="006E3762"/>
    <w:rsid w:val="006E3820"/>
    <w:rsid w:val="006E4881"/>
    <w:rsid w:val="006E48DF"/>
    <w:rsid w:val="006E4EB7"/>
    <w:rsid w:val="006E52AE"/>
    <w:rsid w:val="006E542D"/>
    <w:rsid w:val="006E5895"/>
    <w:rsid w:val="006E5AF6"/>
    <w:rsid w:val="006E5E52"/>
    <w:rsid w:val="006E5E6B"/>
    <w:rsid w:val="006E63F9"/>
    <w:rsid w:val="006E68C2"/>
    <w:rsid w:val="006E69B3"/>
    <w:rsid w:val="006E6AB2"/>
    <w:rsid w:val="006E7145"/>
    <w:rsid w:val="006E7165"/>
    <w:rsid w:val="006E7544"/>
    <w:rsid w:val="006E7A2A"/>
    <w:rsid w:val="006E7A39"/>
    <w:rsid w:val="006E7A59"/>
    <w:rsid w:val="006F009B"/>
    <w:rsid w:val="006F0153"/>
    <w:rsid w:val="006F0611"/>
    <w:rsid w:val="006F0C91"/>
    <w:rsid w:val="006F0DE8"/>
    <w:rsid w:val="006F0E33"/>
    <w:rsid w:val="006F0F07"/>
    <w:rsid w:val="006F0F9A"/>
    <w:rsid w:val="006F16D6"/>
    <w:rsid w:val="006F209D"/>
    <w:rsid w:val="006F23C2"/>
    <w:rsid w:val="006F2C47"/>
    <w:rsid w:val="006F2CF1"/>
    <w:rsid w:val="006F31E8"/>
    <w:rsid w:val="006F35FB"/>
    <w:rsid w:val="006F4195"/>
    <w:rsid w:val="006F49B7"/>
    <w:rsid w:val="006F4A5C"/>
    <w:rsid w:val="006F4C7E"/>
    <w:rsid w:val="006F4F96"/>
    <w:rsid w:val="006F505F"/>
    <w:rsid w:val="006F5149"/>
    <w:rsid w:val="006F515B"/>
    <w:rsid w:val="006F61DB"/>
    <w:rsid w:val="006F65E1"/>
    <w:rsid w:val="006F680E"/>
    <w:rsid w:val="006F6925"/>
    <w:rsid w:val="006F7092"/>
    <w:rsid w:val="006F77C7"/>
    <w:rsid w:val="006F7BC7"/>
    <w:rsid w:val="006F7BD1"/>
    <w:rsid w:val="006F7C6A"/>
    <w:rsid w:val="006F7D81"/>
    <w:rsid w:val="006F7F27"/>
    <w:rsid w:val="007000B6"/>
    <w:rsid w:val="007004E3"/>
    <w:rsid w:val="00700914"/>
    <w:rsid w:val="00700A64"/>
    <w:rsid w:val="00700AEF"/>
    <w:rsid w:val="00700B90"/>
    <w:rsid w:val="00700FB0"/>
    <w:rsid w:val="0070173D"/>
    <w:rsid w:val="007018E5"/>
    <w:rsid w:val="00701DE6"/>
    <w:rsid w:val="00701EAB"/>
    <w:rsid w:val="0070222E"/>
    <w:rsid w:val="0070254C"/>
    <w:rsid w:val="0070280C"/>
    <w:rsid w:val="00702B66"/>
    <w:rsid w:val="00702BB2"/>
    <w:rsid w:val="0070311C"/>
    <w:rsid w:val="00703597"/>
    <w:rsid w:val="00703A09"/>
    <w:rsid w:val="00703BD5"/>
    <w:rsid w:val="00703C67"/>
    <w:rsid w:val="00703F40"/>
    <w:rsid w:val="00704791"/>
    <w:rsid w:val="00704D07"/>
    <w:rsid w:val="00704F4D"/>
    <w:rsid w:val="00704FFF"/>
    <w:rsid w:val="007054C1"/>
    <w:rsid w:val="007059EE"/>
    <w:rsid w:val="00705D4E"/>
    <w:rsid w:val="00705E76"/>
    <w:rsid w:val="0070665C"/>
    <w:rsid w:val="00706C0E"/>
    <w:rsid w:val="00706CDD"/>
    <w:rsid w:val="00706E22"/>
    <w:rsid w:val="00707259"/>
    <w:rsid w:val="0070731D"/>
    <w:rsid w:val="007073CF"/>
    <w:rsid w:val="007073D8"/>
    <w:rsid w:val="00707AA4"/>
    <w:rsid w:val="00710061"/>
    <w:rsid w:val="00710243"/>
    <w:rsid w:val="0071057E"/>
    <w:rsid w:val="00710DEF"/>
    <w:rsid w:val="00710FA6"/>
    <w:rsid w:val="00711120"/>
    <w:rsid w:val="007115BB"/>
    <w:rsid w:val="00712075"/>
    <w:rsid w:val="00712A65"/>
    <w:rsid w:val="00712C12"/>
    <w:rsid w:val="0071303B"/>
    <w:rsid w:val="007132D1"/>
    <w:rsid w:val="007133E2"/>
    <w:rsid w:val="0071344E"/>
    <w:rsid w:val="00713484"/>
    <w:rsid w:val="0071354E"/>
    <w:rsid w:val="0071376B"/>
    <w:rsid w:val="00713AF5"/>
    <w:rsid w:val="00713B47"/>
    <w:rsid w:val="00713B89"/>
    <w:rsid w:val="00713F2F"/>
    <w:rsid w:val="00714111"/>
    <w:rsid w:val="007141AD"/>
    <w:rsid w:val="00714F44"/>
    <w:rsid w:val="00715107"/>
    <w:rsid w:val="00716B38"/>
    <w:rsid w:val="00716C57"/>
    <w:rsid w:val="00716CCE"/>
    <w:rsid w:val="007171FF"/>
    <w:rsid w:val="00717527"/>
    <w:rsid w:val="0071753B"/>
    <w:rsid w:val="007175AE"/>
    <w:rsid w:val="007176F0"/>
    <w:rsid w:val="00717868"/>
    <w:rsid w:val="00721233"/>
    <w:rsid w:val="007218E8"/>
    <w:rsid w:val="00721A34"/>
    <w:rsid w:val="00721B64"/>
    <w:rsid w:val="00721D6D"/>
    <w:rsid w:val="007224A1"/>
    <w:rsid w:val="007225C8"/>
    <w:rsid w:val="0072269D"/>
    <w:rsid w:val="00722C66"/>
    <w:rsid w:val="00723366"/>
    <w:rsid w:val="0072341A"/>
    <w:rsid w:val="0072341F"/>
    <w:rsid w:val="0072389D"/>
    <w:rsid w:val="00723EE8"/>
    <w:rsid w:val="00723FE2"/>
    <w:rsid w:val="00724276"/>
    <w:rsid w:val="00724416"/>
    <w:rsid w:val="00724486"/>
    <w:rsid w:val="007247DA"/>
    <w:rsid w:val="00724930"/>
    <w:rsid w:val="007263E9"/>
    <w:rsid w:val="00726412"/>
    <w:rsid w:val="00726750"/>
    <w:rsid w:val="007270EF"/>
    <w:rsid w:val="0072752A"/>
    <w:rsid w:val="007275F9"/>
    <w:rsid w:val="00727F8F"/>
    <w:rsid w:val="00730385"/>
    <w:rsid w:val="007303F6"/>
    <w:rsid w:val="007308C8"/>
    <w:rsid w:val="007309F9"/>
    <w:rsid w:val="00731A01"/>
    <w:rsid w:val="00731FAD"/>
    <w:rsid w:val="00732171"/>
    <w:rsid w:val="007322AB"/>
    <w:rsid w:val="007325DF"/>
    <w:rsid w:val="007328CC"/>
    <w:rsid w:val="00732F1F"/>
    <w:rsid w:val="007331AF"/>
    <w:rsid w:val="007331E6"/>
    <w:rsid w:val="007334AC"/>
    <w:rsid w:val="00733986"/>
    <w:rsid w:val="00733D59"/>
    <w:rsid w:val="00734172"/>
    <w:rsid w:val="007342FF"/>
    <w:rsid w:val="00734D6B"/>
    <w:rsid w:val="007354EA"/>
    <w:rsid w:val="007355F0"/>
    <w:rsid w:val="007359E4"/>
    <w:rsid w:val="00735B74"/>
    <w:rsid w:val="00735E2B"/>
    <w:rsid w:val="00736860"/>
    <w:rsid w:val="00736B04"/>
    <w:rsid w:val="00737935"/>
    <w:rsid w:val="00737B33"/>
    <w:rsid w:val="00737B79"/>
    <w:rsid w:val="00737ED6"/>
    <w:rsid w:val="00740012"/>
    <w:rsid w:val="00740E72"/>
    <w:rsid w:val="00740EE0"/>
    <w:rsid w:val="007412DD"/>
    <w:rsid w:val="00741524"/>
    <w:rsid w:val="00741788"/>
    <w:rsid w:val="007417C8"/>
    <w:rsid w:val="00741D66"/>
    <w:rsid w:val="00741DB9"/>
    <w:rsid w:val="0074251D"/>
    <w:rsid w:val="0074326B"/>
    <w:rsid w:val="007438C0"/>
    <w:rsid w:val="00743D19"/>
    <w:rsid w:val="0074427A"/>
    <w:rsid w:val="00744F62"/>
    <w:rsid w:val="00745090"/>
    <w:rsid w:val="00745618"/>
    <w:rsid w:val="007458C0"/>
    <w:rsid w:val="0074591C"/>
    <w:rsid w:val="00745AA1"/>
    <w:rsid w:val="00745C31"/>
    <w:rsid w:val="00746504"/>
    <w:rsid w:val="007472D1"/>
    <w:rsid w:val="00747514"/>
    <w:rsid w:val="0074754B"/>
    <w:rsid w:val="00747613"/>
    <w:rsid w:val="00747684"/>
    <w:rsid w:val="00750079"/>
    <w:rsid w:val="00750C19"/>
    <w:rsid w:val="00750CDA"/>
    <w:rsid w:val="00750DDB"/>
    <w:rsid w:val="00750E7D"/>
    <w:rsid w:val="007512B9"/>
    <w:rsid w:val="00751506"/>
    <w:rsid w:val="007516C8"/>
    <w:rsid w:val="00751B15"/>
    <w:rsid w:val="00751C61"/>
    <w:rsid w:val="00751CC6"/>
    <w:rsid w:val="007526F6"/>
    <w:rsid w:val="00752769"/>
    <w:rsid w:val="00752FB6"/>
    <w:rsid w:val="00753253"/>
    <w:rsid w:val="0075362D"/>
    <w:rsid w:val="0075390E"/>
    <w:rsid w:val="0075401D"/>
    <w:rsid w:val="00754586"/>
    <w:rsid w:val="00754809"/>
    <w:rsid w:val="00754F73"/>
    <w:rsid w:val="00755587"/>
    <w:rsid w:val="00755690"/>
    <w:rsid w:val="00755A2C"/>
    <w:rsid w:val="00755D90"/>
    <w:rsid w:val="00755DC6"/>
    <w:rsid w:val="00757149"/>
    <w:rsid w:val="00757604"/>
    <w:rsid w:val="0075765E"/>
    <w:rsid w:val="0075793D"/>
    <w:rsid w:val="00757E6B"/>
    <w:rsid w:val="00757FF3"/>
    <w:rsid w:val="00760059"/>
    <w:rsid w:val="0076058C"/>
    <w:rsid w:val="00760663"/>
    <w:rsid w:val="007606A8"/>
    <w:rsid w:val="007606FE"/>
    <w:rsid w:val="00760A70"/>
    <w:rsid w:val="00760ADF"/>
    <w:rsid w:val="00760E75"/>
    <w:rsid w:val="00760F12"/>
    <w:rsid w:val="0076135A"/>
    <w:rsid w:val="007617B1"/>
    <w:rsid w:val="00761CD9"/>
    <w:rsid w:val="00761D32"/>
    <w:rsid w:val="00761E47"/>
    <w:rsid w:val="00762B09"/>
    <w:rsid w:val="00762BDE"/>
    <w:rsid w:val="00762D89"/>
    <w:rsid w:val="0076333B"/>
    <w:rsid w:val="00763CB0"/>
    <w:rsid w:val="007640D0"/>
    <w:rsid w:val="00764265"/>
    <w:rsid w:val="0076512F"/>
    <w:rsid w:val="0076527D"/>
    <w:rsid w:val="00765339"/>
    <w:rsid w:val="007655AB"/>
    <w:rsid w:val="007660F2"/>
    <w:rsid w:val="0076616D"/>
    <w:rsid w:val="007662FF"/>
    <w:rsid w:val="00766AFC"/>
    <w:rsid w:val="00766D35"/>
    <w:rsid w:val="00767403"/>
    <w:rsid w:val="00767B03"/>
    <w:rsid w:val="00767E51"/>
    <w:rsid w:val="0077009D"/>
    <w:rsid w:val="00770115"/>
    <w:rsid w:val="00770471"/>
    <w:rsid w:val="007713B5"/>
    <w:rsid w:val="00771D90"/>
    <w:rsid w:val="00771F0B"/>
    <w:rsid w:val="00772291"/>
    <w:rsid w:val="00772C10"/>
    <w:rsid w:val="007731B5"/>
    <w:rsid w:val="0077356B"/>
    <w:rsid w:val="0077367E"/>
    <w:rsid w:val="0077377D"/>
    <w:rsid w:val="0077393A"/>
    <w:rsid w:val="00774290"/>
    <w:rsid w:val="00774403"/>
    <w:rsid w:val="0077461D"/>
    <w:rsid w:val="00774E63"/>
    <w:rsid w:val="0077503A"/>
    <w:rsid w:val="00775187"/>
    <w:rsid w:val="00775233"/>
    <w:rsid w:val="00775531"/>
    <w:rsid w:val="00775921"/>
    <w:rsid w:val="0077651F"/>
    <w:rsid w:val="00776654"/>
    <w:rsid w:val="00776A75"/>
    <w:rsid w:val="00776E09"/>
    <w:rsid w:val="00777221"/>
    <w:rsid w:val="00777234"/>
    <w:rsid w:val="007779DF"/>
    <w:rsid w:val="00777CF5"/>
    <w:rsid w:val="00777F56"/>
    <w:rsid w:val="007801B9"/>
    <w:rsid w:val="0078060B"/>
    <w:rsid w:val="0078088C"/>
    <w:rsid w:val="00780977"/>
    <w:rsid w:val="00780ABF"/>
    <w:rsid w:val="00780CC6"/>
    <w:rsid w:val="00780E45"/>
    <w:rsid w:val="00781074"/>
    <w:rsid w:val="007811C2"/>
    <w:rsid w:val="0078146B"/>
    <w:rsid w:val="0078165A"/>
    <w:rsid w:val="0078178F"/>
    <w:rsid w:val="00781DCB"/>
    <w:rsid w:val="00781E9F"/>
    <w:rsid w:val="00782640"/>
    <w:rsid w:val="007829FE"/>
    <w:rsid w:val="00782A69"/>
    <w:rsid w:val="00782B0B"/>
    <w:rsid w:val="00782BCB"/>
    <w:rsid w:val="00783581"/>
    <w:rsid w:val="00783906"/>
    <w:rsid w:val="00783A7E"/>
    <w:rsid w:val="007849E6"/>
    <w:rsid w:val="00785215"/>
    <w:rsid w:val="00785C3A"/>
    <w:rsid w:val="00785C8E"/>
    <w:rsid w:val="0078687C"/>
    <w:rsid w:val="0078687D"/>
    <w:rsid w:val="00786C33"/>
    <w:rsid w:val="00786D0B"/>
    <w:rsid w:val="00787176"/>
    <w:rsid w:val="00787205"/>
    <w:rsid w:val="0078785A"/>
    <w:rsid w:val="0078791C"/>
    <w:rsid w:val="00787A22"/>
    <w:rsid w:val="00790517"/>
    <w:rsid w:val="00790998"/>
    <w:rsid w:val="00790B09"/>
    <w:rsid w:val="00790BAF"/>
    <w:rsid w:val="00790C83"/>
    <w:rsid w:val="00790EE7"/>
    <w:rsid w:val="00791271"/>
    <w:rsid w:val="0079171C"/>
    <w:rsid w:val="00791AEB"/>
    <w:rsid w:val="00791B83"/>
    <w:rsid w:val="00792265"/>
    <w:rsid w:val="007924DD"/>
    <w:rsid w:val="0079272A"/>
    <w:rsid w:val="00792D13"/>
    <w:rsid w:val="007932E4"/>
    <w:rsid w:val="00793532"/>
    <w:rsid w:val="0079382D"/>
    <w:rsid w:val="007939A3"/>
    <w:rsid w:val="00793BD7"/>
    <w:rsid w:val="00793C14"/>
    <w:rsid w:val="0079457E"/>
    <w:rsid w:val="00794DE2"/>
    <w:rsid w:val="00794ED7"/>
    <w:rsid w:val="00794EF0"/>
    <w:rsid w:val="007953E2"/>
    <w:rsid w:val="00795BD6"/>
    <w:rsid w:val="00795E1D"/>
    <w:rsid w:val="00795F8A"/>
    <w:rsid w:val="00796637"/>
    <w:rsid w:val="0079670F"/>
    <w:rsid w:val="00797560"/>
    <w:rsid w:val="00797AB1"/>
    <w:rsid w:val="00797C76"/>
    <w:rsid w:val="007A00A6"/>
    <w:rsid w:val="007A02D5"/>
    <w:rsid w:val="007A0913"/>
    <w:rsid w:val="007A0BF3"/>
    <w:rsid w:val="007A1432"/>
    <w:rsid w:val="007A1F38"/>
    <w:rsid w:val="007A22AE"/>
    <w:rsid w:val="007A2EBF"/>
    <w:rsid w:val="007A3687"/>
    <w:rsid w:val="007A3B6B"/>
    <w:rsid w:val="007A451C"/>
    <w:rsid w:val="007A5062"/>
    <w:rsid w:val="007A54FC"/>
    <w:rsid w:val="007A58A5"/>
    <w:rsid w:val="007A5972"/>
    <w:rsid w:val="007A62BF"/>
    <w:rsid w:val="007A6B55"/>
    <w:rsid w:val="007A6E5F"/>
    <w:rsid w:val="007A741B"/>
    <w:rsid w:val="007A78F8"/>
    <w:rsid w:val="007A7A04"/>
    <w:rsid w:val="007A7E35"/>
    <w:rsid w:val="007B04D2"/>
    <w:rsid w:val="007B1002"/>
    <w:rsid w:val="007B195F"/>
    <w:rsid w:val="007B1CCD"/>
    <w:rsid w:val="007B1FC0"/>
    <w:rsid w:val="007B20BA"/>
    <w:rsid w:val="007B219C"/>
    <w:rsid w:val="007B2281"/>
    <w:rsid w:val="007B25E7"/>
    <w:rsid w:val="007B26F4"/>
    <w:rsid w:val="007B285D"/>
    <w:rsid w:val="007B2FC0"/>
    <w:rsid w:val="007B3A2B"/>
    <w:rsid w:val="007B3BB5"/>
    <w:rsid w:val="007B44C3"/>
    <w:rsid w:val="007B4678"/>
    <w:rsid w:val="007B4CF7"/>
    <w:rsid w:val="007B4E35"/>
    <w:rsid w:val="007B4E7E"/>
    <w:rsid w:val="007B50A9"/>
    <w:rsid w:val="007B511A"/>
    <w:rsid w:val="007B573B"/>
    <w:rsid w:val="007B5866"/>
    <w:rsid w:val="007B5BE4"/>
    <w:rsid w:val="007B660E"/>
    <w:rsid w:val="007B67DE"/>
    <w:rsid w:val="007B6FC3"/>
    <w:rsid w:val="007B7223"/>
    <w:rsid w:val="007B74AF"/>
    <w:rsid w:val="007B74C5"/>
    <w:rsid w:val="007B753F"/>
    <w:rsid w:val="007B75BD"/>
    <w:rsid w:val="007B77ED"/>
    <w:rsid w:val="007B7B90"/>
    <w:rsid w:val="007B7C82"/>
    <w:rsid w:val="007C05FC"/>
    <w:rsid w:val="007C0953"/>
    <w:rsid w:val="007C0E14"/>
    <w:rsid w:val="007C1289"/>
    <w:rsid w:val="007C1318"/>
    <w:rsid w:val="007C1809"/>
    <w:rsid w:val="007C181C"/>
    <w:rsid w:val="007C1AB6"/>
    <w:rsid w:val="007C1B8E"/>
    <w:rsid w:val="007C1EE4"/>
    <w:rsid w:val="007C2120"/>
    <w:rsid w:val="007C2251"/>
    <w:rsid w:val="007C227E"/>
    <w:rsid w:val="007C25AE"/>
    <w:rsid w:val="007C2A3A"/>
    <w:rsid w:val="007C2FCE"/>
    <w:rsid w:val="007C3238"/>
    <w:rsid w:val="007C3370"/>
    <w:rsid w:val="007C351F"/>
    <w:rsid w:val="007C3BC6"/>
    <w:rsid w:val="007C4499"/>
    <w:rsid w:val="007C4908"/>
    <w:rsid w:val="007C4E29"/>
    <w:rsid w:val="007C510E"/>
    <w:rsid w:val="007C51BE"/>
    <w:rsid w:val="007C57A6"/>
    <w:rsid w:val="007C59B5"/>
    <w:rsid w:val="007C60D3"/>
    <w:rsid w:val="007C6545"/>
    <w:rsid w:val="007C6BC8"/>
    <w:rsid w:val="007C6E04"/>
    <w:rsid w:val="007C6E74"/>
    <w:rsid w:val="007C6FFC"/>
    <w:rsid w:val="007C716F"/>
    <w:rsid w:val="007C77A1"/>
    <w:rsid w:val="007C77D0"/>
    <w:rsid w:val="007C7DEE"/>
    <w:rsid w:val="007C7E03"/>
    <w:rsid w:val="007D0081"/>
    <w:rsid w:val="007D00C5"/>
    <w:rsid w:val="007D0180"/>
    <w:rsid w:val="007D0200"/>
    <w:rsid w:val="007D0432"/>
    <w:rsid w:val="007D04C1"/>
    <w:rsid w:val="007D08B8"/>
    <w:rsid w:val="007D0B9A"/>
    <w:rsid w:val="007D0EE1"/>
    <w:rsid w:val="007D1057"/>
    <w:rsid w:val="007D111E"/>
    <w:rsid w:val="007D1E67"/>
    <w:rsid w:val="007D1E78"/>
    <w:rsid w:val="007D2034"/>
    <w:rsid w:val="007D21E0"/>
    <w:rsid w:val="007D251E"/>
    <w:rsid w:val="007D2536"/>
    <w:rsid w:val="007D2927"/>
    <w:rsid w:val="007D29F2"/>
    <w:rsid w:val="007D3669"/>
    <w:rsid w:val="007D4045"/>
    <w:rsid w:val="007D41D3"/>
    <w:rsid w:val="007D490E"/>
    <w:rsid w:val="007D4B5F"/>
    <w:rsid w:val="007D4C8B"/>
    <w:rsid w:val="007D4D53"/>
    <w:rsid w:val="007D4EC4"/>
    <w:rsid w:val="007D5028"/>
    <w:rsid w:val="007D512A"/>
    <w:rsid w:val="007D51AA"/>
    <w:rsid w:val="007D5592"/>
    <w:rsid w:val="007D5B6F"/>
    <w:rsid w:val="007D5CF7"/>
    <w:rsid w:val="007D602C"/>
    <w:rsid w:val="007D6046"/>
    <w:rsid w:val="007D63C1"/>
    <w:rsid w:val="007D65FA"/>
    <w:rsid w:val="007D6E56"/>
    <w:rsid w:val="007D6E6F"/>
    <w:rsid w:val="007D6FAD"/>
    <w:rsid w:val="007D70A7"/>
    <w:rsid w:val="007D7469"/>
    <w:rsid w:val="007D7CDF"/>
    <w:rsid w:val="007E02FD"/>
    <w:rsid w:val="007E04F7"/>
    <w:rsid w:val="007E0508"/>
    <w:rsid w:val="007E074C"/>
    <w:rsid w:val="007E089A"/>
    <w:rsid w:val="007E0E27"/>
    <w:rsid w:val="007E111B"/>
    <w:rsid w:val="007E1221"/>
    <w:rsid w:val="007E14B4"/>
    <w:rsid w:val="007E1D3C"/>
    <w:rsid w:val="007E1D5F"/>
    <w:rsid w:val="007E1FC8"/>
    <w:rsid w:val="007E25F8"/>
    <w:rsid w:val="007E2A2E"/>
    <w:rsid w:val="007E2D41"/>
    <w:rsid w:val="007E2EEB"/>
    <w:rsid w:val="007E32EF"/>
    <w:rsid w:val="007E354E"/>
    <w:rsid w:val="007E370D"/>
    <w:rsid w:val="007E4270"/>
    <w:rsid w:val="007E45C1"/>
    <w:rsid w:val="007E47A6"/>
    <w:rsid w:val="007E4B34"/>
    <w:rsid w:val="007E4C4A"/>
    <w:rsid w:val="007E4CD2"/>
    <w:rsid w:val="007E4D88"/>
    <w:rsid w:val="007E5168"/>
    <w:rsid w:val="007E579F"/>
    <w:rsid w:val="007E5819"/>
    <w:rsid w:val="007E59B3"/>
    <w:rsid w:val="007E5DB5"/>
    <w:rsid w:val="007E6CB2"/>
    <w:rsid w:val="007E6F1A"/>
    <w:rsid w:val="007E7228"/>
    <w:rsid w:val="007E752C"/>
    <w:rsid w:val="007E78B2"/>
    <w:rsid w:val="007E7CAB"/>
    <w:rsid w:val="007F00A0"/>
    <w:rsid w:val="007F07A0"/>
    <w:rsid w:val="007F093C"/>
    <w:rsid w:val="007F09C3"/>
    <w:rsid w:val="007F0FB8"/>
    <w:rsid w:val="007F104B"/>
    <w:rsid w:val="007F104D"/>
    <w:rsid w:val="007F1901"/>
    <w:rsid w:val="007F1C1F"/>
    <w:rsid w:val="007F2058"/>
    <w:rsid w:val="007F2688"/>
    <w:rsid w:val="007F285F"/>
    <w:rsid w:val="007F28BB"/>
    <w:rsid w:val="007F2921"/>
    <w:rsid w:val="007F39A1"/>
    <w:rsid w:val="007F3A59"/>
    <w:rsid w:val="007F3B26"/>
    <w:rsid w:val="007F3BC9"/>
    <w:rsid w:val="007F3F1B"/>
    <w:rsid w:val="007F3F4C"/>
    <w:rsid w:val="007F408E"/>
    <w:rsid w:val="007F4A71"/>
    <w:rsid w:val="007F4AB3"/>
    <w:rsid w:val="007F4B41"/>
    <w:rsid w:val="007F50D5"/>
    <w:rsid w:val="007F5848"/>
    <w:rsid w:val="007F5B5E"/>
    <w:rsid w:val="007F5EB7"/>
    <w:rsid w:val="007F5EE4"/>
    <w:rsid w:val="007F6164"/>
    <w:rsid w:val="007F6D6E"/>
    <w:rsid w:val="007F6D84"/>
    <w:rsid w:val="007F6EA8"/>
    <w:rsid w:val="007F72AC"/>
    <w:rsid w:val="007F732C"/>
    <w:rsid w:val="007F7786"/>
    <w:rsid w:val="007F7A9E"/>
    <w:rsid w:val="00800742"/>
    <w:rsid w:val="00800841"/>
    <w:rsid w:val="0080094C"/>
    <w:rsid w:val="00800E10"/>
    <w:rsid w:val="00801A7D"/>
    <w:rsid w:val="00801D1D"/>
    <w:rsid w:val="00802763"/>
    <w:rsid w:val="00802942"/>
    <w:rsid w:val="00802B8E"/>
    <w:rsid w:val="00802E46"/>
    <w:rsid w:val="008034DE"/>
    <w:rsid w:val="008037E3"/>
    <w:rsid w:val="00803898"/>
    <w:rsid w:val="00803D70"/>
    <w:rsid w:val="00803E5A"/>
    <w:rsid w:val="00803F27"/>
    <w:rsid w:val="00804262"/>
    <w:rsid w:val="0080442D"/>
    <w:rsid w:val="0080462B"/>
    <w:rsid w:val="00804F82"/>
    <w:rsid w:val="0080529E"/>
    <w:rsid w:val="008053B7"/>
    <w:rsid w:val="008058C6"/>
    <w:rsid w:val="00805A8C"/>
    <w:rsid w:val="00805AE7"/>
    <w:rsid w:val="00805B0F"/>
    <w:rsid w:val="00806207"/>
    <w:rsid w:val="00806684"/>
    <w:rsid w:val="00806808"/>
    <w:rsid w:val="008068D0"/>
    <w:rsid w:val="00806DEC"/>
    <w:rsid w:val="00806ECC"/>
    <w:rsid w:val="0080782A"/>
    <w:rsid w:val="0081001C"/>
    <w:rsid w:val="008101F2"/>
    <w:rsid w:val="0081027C"/>
    <w:rsid w:val="0081069D"/>
    <w:rsid w:val="00810824"/>
    <w:rsid w:val="00810964"/>
    <w:rsid w:val="00810A58"/>
    <w:rsid w:val="00810A5A"/>
    <w:rsid w:val="00810DAA"/>
    <w:rsid w:val="00811092"/>
    <w:rsid w:val="008111B0"/>
    <w:rsid w:val="00811579"/>
    <w:rsid w:val="00811FA7"/>
    <w:rsid w:val="008128B7"/>
    <w:rsid w:val="00812D18"/>
    <w:rsid w:val="008133D6"/>
    <w:rsid w:val="008137FD"/>
    <w:rsid w:val="00813AA7"/>
    <w:rsid w:val="008146C3"/>
    <w:rsid w:val="00814C26"/>
    <w:rsid w:val="00814FFB"/>
    <w:rsid w:val="0081617D"/>
    <w:rsid w:val="00816CB1"/>
    <w:rsid w:val="00816D4B"/>
    <w:rsid w:val="00816F05"/>
    <w:rsid w:val="008171C4"/>
    <w:rsid w:val="008177E7"/>
    <w:rsid w:val="00817E9B"/>
    <w:rsid w:val="00817F7F"/>
    <w:rsid w:val="00820680"/>
    <w:rsid w:val="008208BA"/>
    <w:rsid w:val="00820976"/>
    <w:rsid w:val="00820A11"/>
    <w:rsid w:val="00820A12"/>
    <w:rsid w:val="00820FFC"/>
    <w:rsid w:val="008215B9"/>
    <w:rsid w:val="008225B8"/>
    <w:rsid w:val="00822D68"/>
    <w:rsid w:val="00822E00"/>
    <w:rsid w:val="008237F0"/>
    <w:rsid w:val="00823A0B"/>
    <w:rsid w:val="00823BF0"/>
    <w:rsid w:val="00823C48"/>
    <w:rsid w:val="00823E97"/>
    <w:rsid w:val="00824281"/>
    <w:rsid w:val="0082470F"/>
    <w:rsid w:val="00824C2B"/>
    <w:rsid w:val="00824DC8"/>
    <w:rsid w:val="0082502C"/>
    <w:rsid w:val="00825048"/>
    <w:rsid w:val="008255E9"/>
    <w:rsid w:val="0082565B"/>
    <w:rsid w:val="00825817"/>
    <w:rsid w:val="00825A10"/>
    <w:rsid w:val="00826142"/>
    <w:rsid w:val="00826478"/>
    <w:rsid w:val="0082679E"/>
    <w:rsid w:val="00826832"/>
    <w:rsid w:val="00826AF2"/>
    <w:rsid w:val="008277C3"/>
    <w:rsid w:val="00827A3F"/>
    <w:rsid w:val="00830253"/>
    <w:rsid w:val="008304D8"/>
    <w:rsid w:val="00830756"/>
    <w:rsid w:val="008308F6"/>
    <w:rsid w:val="0083107B"/>
    <w:rsid w:val="008310CD"/>
    <w:rsid w:val="0083120C"/>
    <w:rsid w:val="0083155B"/>
    <w:rsid w:val="0083186E"/>
    <w:rsid w:val="0083191D"/>
    <w:rsid w:val="00831B2E"/>
    <w:rsid w:val="00831B2F"/>
    <w:rsid w:val="00831B34"/>
    <w:rsid w:val="00831B71"/>
    <w:rsid w:val="00831B94"/>
    <w:rsid w:val="0083219B"/>
    <w:rsid w:val="0083258D"/>
    <w:rsid w:val="00832623"/>
    <w:rsid w:val="00832B8D"/>
    <w:rsid w:val="00832D64"/>
    <w:rsid w:val="00833113"/>
    <w:rsid w:val="008337B2"/>
    <w:rsid w:val="00833896"/>
    <w:rsid w:val="00833E0A"/>
    <w:rsid w:val="00833F09"/>
    <w:rsid w:val="0083446F"/>
    <w:rsid w:val="008347CA"/>
    <w:rsid w:val="00834D0F"/>
    <w:rsid w:val="00834D4A"/>
    <w:rsid w:val="008350A7"/>
    <w:rsid w:val="0083515D"/>
    <w:rsid w:val="0083545B"/>
    <w:rsid w:val="00835BA7"/>
    <w:rsid w:val="00835E19"/>
    <w:rsid w:val="0083601E"/>
    <w:rsid w:val="008364A2"/>
    <w:rsid w:val="008364F9"/>
    <w:rsid w:val="00836804"/>
    <w:rsid w:val="00836D25"/>
    <w:rsid w:val="00836DB4"/>
    <w:rsid w:val="0083714F"/>
    <w:rsid w:val="00837613"/>
    <w:rsid w:val="00837D57"/>
    <w:rsid w:val="00837E4F"/>
    <w:rsid w:val="00840295"/>
    <w:rsid w:val="008407AD"/>
    <w:rsid w:val="00840DF3"/>
    <w:rsid w:val="008418BC"/>
    <w:rsid w:val="00841921"/>
    <w:rsid w:val="00841B96"/>
    <w:rsid w:val="008422A8"/>
    <w:rsid w:val="00842325"/>
    <w:rsid w:val="008429AE"/>
    <w:rsid w:val="008429BE"/>
    <w:rsid w:val="00842CB3"/>
    <w:rsid w:val="00842FF6"/>
    <w:rsid w:val="008436C4"/>
    <w:rsid w:val="008442AA"/>
    <w:rsid w:val="00845997"/>
    <w:rsid w:val="00845E19"/>
    <w:rsid w:val="00846082"/>
    <w:rsid w:val="00846537"/>
    <w:rsid w:val="008465C3"/>
    <w:rsid w:val="008469AC"/>
    <w:rsid w:val="00846DC3"/>
    <w:rsid w:val="00846E73"/>
    <w:rsid w:val="00846EEE"/>
    <w:rsid w:val="00847347"/>
    <w:rsid w:val="00847586"/>
    <w:rsid w:val="0084762F"/>
    <w:rsid w:val="008479DD"/>
    <w:rsid w:val="00847D4E"/>
    <w:rsid w:val="00850699"/>
    <w:rsid w:val="00850728"/>
    <w:rsid w:val="00850DCE"/>
    <w:rsid w:val="00851004"/>
    <w:rsid w:val="0085201A"/>
    <w:rsid w:val="008521AE"/>
    <w:rsid w:val="00852260"/>
    <w:rsid w:val="0085248B"/>
    <w:rsid w:val="008529E5"/>
    <w:rsid w:val="00852B12"/>
    <w:rsid w:val="00852C4C"/>
    <w:rsid w:val="00853210"/>
    <w:rsid w:val="0085371D"/>
    <w:rsid w:val="00853B05"/>
    <w:rsid w:val="00854103"/>
    <w:rsid w:val="0085455D"/>
    <w:rsid w:val="00854A87"/>
    <w:rsid w:val="00854B8D"/>
    <w:rsid w:val="00854DB9"/>
    <w:rsid w:val="008551A5"/>
    <w:rsid w:val="008552C6"/>
    <w:rsid w:val="00855633"/>
    <w:rsid w:val="00855A7B"/>
    <w:rsid w:val="008565A3"/>
    <w:rsid w:val="00856DA3"/>
    <w:rsid w:val="00857039"/>
    <w:rsid w:val="00857139"/>
    <w:rsid w:val="008571B3"/>
    <w:rsid w:val="008573D0"/>
    <w:rsid w:val="008573E5"/>
    <w:rsid w:val="00857850"/>
    <w:rsid w:val="00857B02"/>
    <w:rsid w:val="00860A2B"/>
    <w:rsid w:val="00860AB5"/>
    <w:rsid w:val="00860C0E"/>
    <w:rsid w:val="00860CE4"/>
    <w:rsid w:val="00861145"/>
    <w:rsid w:val="00861515"/>
    <w:rsid w:val="00861B13"/>
    <w:rsid w:val="00861BDF"/>
    <w:rsid w:val="00861F1D"/>
    <w:rsid w:val="0086210E"/>
    <w:rsid w:val="0086285F"/>
    <w:rsid w:val="00862B93"/>
    <w:rsid w:val="00862D0F"/>
    <w:rsid w:val="00862D1B"/>
    <w:rsid w:val="00863040"/>
    <w:rsid w:val="00863127"/>
    <w:rsid w:val="00863553"/>
    <w:rsid w:val="00863761"/>
    <w:rsid w:val="008639FC"/>
    <w:rsid w:val="00863A97"/>
    <w:rsid w:val="0086442A"/>
    <w:rsid w:val="0086442E"/>
    <w:rsid w:val="00864B25"/>
    <w:rsid w:val="00864D0C"/>
    <w:rsid w:val="00864DB2"/>
    <w:rsid w:val="00865905"/>
    <w:rsid w:val="00865B78"/>
    <w:rsid w:val="00865C0E"/>
    <w:rsid w:val="00866483"/>
    <w:rsid w:val="008666FB"/>
    <w:rsid w:val="00866B8E"/>
    <w:rsid w:val="00866E99"/>
    <w:rsid w:val="00867777"/>
    <w:rsid w:val="00867A9B"/>
    <w:rsid w:val="00870411"/>
    <w:rsid w:val="0087042B"/>
    <w:rsid w:val="00870589"/>
    <w:rsid w:val="00870AD3"/>
    <w:rsid w:val="00871021"/>
    <w:rsid w:val="00871092"/>
    <w:rsid w:val="0087235C"/>
    <w:rsid w:val="00872720"/>
    <w:rsid w:val="0087276E"/>
    <w:rsid w:val="00872C5C"/>
    <w:rsid w:val="00873859"/>
    <w:rsid w:val="00874160"/>
    <w:rsid w:val="00874838"/>
    <w:rsid w:val="008749E2"/>
    <w:rsid w:val="00874F26"/>
    <w:rsid w:val="00875A87"/>
    <w:rsid w:val="008763BF"/>
    <w:rsid w:val="00876A2A"/>
    <w:rsid w:val="00876A3F"/>
    <w:rsid w:val="00876E2A"/>
    <w:rsid w:val="00877417"/>
    <w:rsid w:val="00877D0F"/>
    <w:rsid w:val="00877E22"/>
    <w:rsid w:val="00880922"/>
    <w:rsid w:val="00880CBD"/>
    <w:rsid w:val="008814C4"/>
    <w:rsid w:val="0088152A"/>
    <w:rsid w:val="00881D1E"/>
    <w:rsid w:val="00882095"/>
    <w:rsid w:val="008820F7"/>
    <w:rsid w:val="00882178"/>
    <w:rsid w:val="008821FF"/>
    <w:rsid w:val="00882467"/>
    <w:rsid w:val="00882659"/>
    <w:rsid w:val="00882869"/>
    <w:rsid w:val="00882A1B"/>
    <w:rsid w:val="00882B51"/>
    <w:rsid w:val="00882DB9"/>
    <w:rsid w:val="00882E23"/>
    <w:rsid w:val="008836B3"/>
    <w:rsid w:val="0088390B"/>
    <w:rsid w:val="00883AC4"/>
    <w:rsid w:val="00883E23"/>
    <w:rsid w:val="00884061"/>
    <w:rsid w:val="00885080"/>
    <w:rsid w:val="008851F7"/>
    <w:rsid w:val="008854D8"/>
    <w:rsid w:val="0088568F"/>
    <w:rsid w:val="00885713"/>
    <w:rsid w:val="008859E3"/>
    <w:rsid w:val="00885F7A"/>
    <w:rsid w:val="00886358"/>
    <w:rsid w:val="00886427"/>
    <w:rsid w:val="008864B6"/>
    <w:rsid w:val="0088657D"/>
    <w:rsid w:val="008871E9"/>
    <w:rsid w:val="00887291"/>
    <w:rsid w:val="008902DA"/>
    <w:rsid w:val="0089083A"/>
    <w:rsid w:val="00890DB0"/>
    <w:rsid w:val="008916B5"/>
    <w:rsid w:val="00892002"/>
    <w:rsid w:val="0089284C"/>
    <w:rsid w:val="00892865"/>
    <w:rsid w:val="008928D0"/>
    <w:rsid w:val="00892F66"/>
    <w:rsid w:val="00893254"/>
    <w:rsid w:val="00893411"/>
    <w:rsid w:val="008934E0"/>
    <w:rsid w:val="00893A1B"/>
    <w:rsid w:val="00893D9E"/>
    <w:rsid w:val="00894249"/>
    <w:rsid w:val="008944E0"/>
    <w:rsid w:val="00894584"/>
    <w:rsid w:val="0089524A"/>
    <w:rsid w:val="00895334"/>
    <w:rsid w:val="00895A45"/>
    <w:rsid w:val="008960AE"/>
    <w:rsid w:val="00896116"/>
    <w:rsid w:val="00896680"/>
    <w:rsid w:val="00896C6F"/>
    <w:rsid w:val="00896E09"/>
    <w:rsid w:val="008975AE"/>
    <w:rsid w:val="008975FE"/>
    <w:rsid w:val="008978FB"/>
    <w:rsid w:val="00897BFF"/>
    <w:rsid w:val="00897EAA"/>
    <w:rsid w:val="00897FC3"/>
    <w:rsid w:val="008A002F"/>
    <w:rsid w:val="008A0060"/>
    <w:rsid w:val="008A0439"/>
    <w:rsid w:val="008A0CA4"/>
    <w:rsid w:val="008A12BC"/>
    <w:rsid w:val="008A17DA"/>
    <w:rsid w:val="008A18AD"/>
    <w:rsid w:val="008A19FC"/>
    <w:rsid w:val="008A22C6"/>
    <w:rsid w:val="008A22EA"/>
    <w:rsid w:val="008A2558"/>
    <w:rsid w:val="008A2655"/>
    <w:rsid w:val="008A2C29"/>
    <w:rsid w:val="008A2E2A"/>
    <w:rsid w:val="008A36CC"/>
    <w:rsid w:val="008A3706"/>
    <w:rsid w:val="008A3708"/>
    <w:rsid w:val="008A3B2E"/>
    <w:rsid w:val="008A3E8D"/>
    <w:rsid w:val="008A424F"/>
    <w:rsid w:val="008A48B1"/>
    <w:rsid w:val="008A493D"/>
    <w:rsid w:val="008A4996"/>
    <w:rsid w:val="008A4D62"/>
    <w:rsid w:val="008A520D"/>
    <w:rsid w:val="008A5353"/>
    <w:rsid w:val="008A5389"/>
    <w:rsid w:val="008A5A10"/>
    <w:rsid w:val="008A5A4D"/>
    <w:rsid w:val="008A6289"/>
    <w:rsid w:val="008A63B8"/>
    <w:rsid w:val="008A651A"/>
    <w:rsid w:val="008A6801"/>
    <w:rsid w:val="008A6A51"/>
    <w:rsid w:val="008A73F7"/>
    <w:rsid w:val="008A7566"/>
    <w:rsid w:val="008A7C23"/>
    <w:rsid w:val="008B02D7"/>
    <w:rsid w:val="008B035F"/>
    <w:rsid w:val="008B0404"/>
    <w:rsid w:val="008B0A00"/>
    <w:rsid w:val="008B0B40"/>
    <w:rsid w:val="008B108D"/>
    <w:rsid w:val="008B1295"/>
    <w:rsid w:val="008B12F6"/>
    <w:rsid w:val="008B1371"/>
    <w:rsid w:val="008B15BA"/>
    <w:rsid w:val="008B1955"/>
    <w:rsid w:val="008B1F81"/>
    <w:rsid w:val="008B20B8"/>
    <w:rsid w:val="008B2473"/>
    <w:rsid w:val="008B24B7"/>
    <w:rsid w:val="008B2C92"/>
    <w:rsid w:val="008B2D36"/>
    <w:rsid w:val="008B303B"/>
    <w:rsid w:val="008B3C58"/>
    <w:rsid w:val="008B3EC1"/>
    <w:rsid w:val="008B3EEF"/>
    <w:rsid w:val="008B47B3"/>
    <w:rsid w:val="008B4806"/>
    <w:rsid w:val="008B49E2"/>
    <w:rsid w:val="008B4FB5"/>
    <w:rsid w:val="008B518E"/>
    <w:rsid w:val="008B533E"/>
    <w:rsid w:val="008B5393"/>
    <w:rsid w:val="008B56C8"/>
    <w:rsid w:val="008B5D46"/>
    <w:rsid w:val="008B5D60"/>
    <w:rsid w:val="008B5EA3"/>
    <w:rsid w:val="008B60C4"/>
    <w:rsid w:val="008B6349"/>
    <w:rsid w:val="008B643A"/>
    <w:rsid w:val="008B6A81"/>
    <w:rsid w:val="008B6E7D"/>
    <w:rsid w:val="008B7475"/>
    <w:rsid w:val="008B7939"/>
    <w:rsid w:val="008B7B5E"/>
    <w:rsid w:val="008B7C51"/>
    <w:rsid w:val="008B7E4E"/>
    <w:rsid w:val="008B7EC1"/>
    <w:rsid w:val="008C02C7"/>
    <w:rsid w:val="008C0966"/>
    <w:rsid w:val="008C1218"/>
    <w:rsid w:val="008C17D9"/>
    <w:rsid w:val="008C1E6E"/>
    <w:rsid w:val="008C1E83"/>
    <w:rsid w:val="008C2287"/>
    <w:rsid w:val="008C2427"/>
    <w:rsid w:val="008C256F"/>
    <w:rsid w:val="008C276C"/>
    <w:rsid w:val="008C2C2C"/>
    <w:rsid w:val="008C3367"/>
    <w:rsid w:val="008C35A0"/>
    <w:rsid w:val="008C36F9"/>
    <w:rsid w:val="008C3D66"/>
    <w:rsid w:val="008C40F1"/>
    <w:rsid w:val="008C4205"/>
    <w:rsid w:val="008C4A59"/>
    <w:rsid w:val="008C4FDA"/>
    <w:rsid w:val="008C5A6E"/>
    <w:rsid w:val="008C5AE2"/>
    <w:rsid w:val="008C5AE6"/>
    <w:rsid w:val="008C5BD7"/>
    <w:rsid w:val="008C5BED"/>
    <w:rsid w:val="008C657E"/>
    <w:rsid w:val="008C673A"/>
    <w:rsid w:val="008C6974"/>
    <w:rsid w:val="008C70AA"/>
    <w:rsid w:val="008C7CC8"/>
    <w:rsid w:val="008C7E83"/>
    <w:rsid w:val="008D034A"/>
    <w:rsid w:val="008D0950"/>
    <w:rsid w:val="008D0A80"/>
    <w:rsid w:val="008D0C61"/>
    <w:rsid w:val="008D0FFB"/>
    <w:rsid w:val="008D120C"/>
    <w:rsid w:val="008D155B"/>
    <w:rsid w:val="008D168F"/>
    <w:rsid w:val="008D1ACD"/>
    <w:rsid w:val="008D1C21"/>
    <w:rsid w:val="008D1D22"/>
    <w:rsid w:val="008D1D3C"/>
    <w:rsid w:val="008D1F4A"/>
    <w:rsid w:val="008D2296"/>
    <w:rsid w:val="008D2A7F"/>
    <w:rsid w:val="008D2C40"/>
    <w:rsid w:val="008D2C7C"/>
    <w:rsid w:val="008D2EC6"/>
    <w:rsid w:val="008D30F0"/>
    <w:rsid w:val="008D3376"/>
    <w:rsid w:val="008D3457"/>
    <w:rsid w:val="008D36DC"/>
    <w:rsid w:val="008D38EB"/>
    <w:rsid w:val="008D3B6B"/>
    <w:rsid w:val="008D4051"/>
    <w:rsid w:val="008D46BB"/>
    <w:rsid w:val="008D49C4"/>
    <w:rsid w:val="008D577D"/>
    <w:rsid w:val="008D5781"/>
    <w:rsid w:val="008D593D"/>
    <w:rsid w:val="008D5CB4"/>
    <w:rsid w:val="008D5F15"/>
    <w:rsid w:val="008D63D2"/>
    <w:rsid w:val="008D6627"/>
    <w:rsid w:val="008D662F"/>
    <w:rsid w:val="008D6907"/>
    <w:rsid w:val="008D6DDD"/>
    <w:rsid w:val="008D7108"/>
    <w:rsid w:val="008D7584"/>
    <w:rsid w:val="008D75D8"/>
    <w:rsid w:val="008D7775"/>
    <w:rsid w:val="008D78E6"/>
    <w:rsid w:val="008D7CC3"/>
    <w:rsid w:val="008E013E"/>
    <w:rsid w:val="008E07F8"/>
    <w:rsid w:val="008E0BE9"/>
    <w:rsid w:val="008E104D"/>
    <w:rsid w:val="008E1379"/>
    <w:rsid w:val="008E1527"/>
    <w:rsid w:val="008E1E79"/>
    <w:rsid w:val="008E210C"/>
    <w:rsid w:val="008E2634"/>
    <w:rsid w:val="008E2A26"/>
    <w:rsid w:val="008E30CF"/>
    <w:rsid w:val="008E30E0"/>
    <w:rsid w:val="008E3D6B"/>
    <w:rsid w:val="008E3F94"/>
    <w:rsid w:val="008E43DF"/>
    <w:rsid w:val="008E44AE"/>
    <w:rsid w:val="008E4860"/>
    <w:rsid w:val="008E4890"/>
    <w:rsid w:val="008E4A5E"/>
    <w:rsid w:val="008E4B96"/>
    <w:rsid w:val="008E5483"/>
    <w:rsid w:val="008E5565"/>
    <w:rsid w:val="008E5CCD"/>
    <w:rsid w:val="008E6113"/>
    <w:rsid w:val="008E6783"/>
    <w:rsid w:val="008E6845"/>
    <w:rsid w:val="008E6EE6"/>
    <w:rsid w:val="008E72BB"/>
    <w:rsid w:val="008E74DF"/>
    <w:rsid w:val="008E7B40"/>
    <w:rsid w:val="008E7B99"/>
    <w:rsid w:val="008E7C23"/>
    <w:rsid w:val="008E7E69"/>
    <w:rsid w:val="008E7EF6"/>
    <w:rsid w:val="008F02C6"/>
    <w:rsid w:val="008F067D"/>
    <w:rsid w:val="008F092D"/>
    <w:rsid w:val="008F09F1"/>
    <w:rsid w:val="008F0FE5"/>
    <w:rsid w:val="008F107A"/>
    <w:rsid w:val="008F1181"/>
    <w:rsid w:val="008F1915"/>
    <w:rsid w:val="008F1957"/>
    <w:rsid w:val="008F1B66"/>
    <w:rsid w:val="008F328D"/>
    <w:rsid w:val="008F37AE"/>
    <w:rsid w:val="008F37CC"/>
    <w:rsid w:val="008F3BAB"/>
    <w:rsid w:val="008F42D3"/>
    <w:rsid w:val="008F451D"/>
    <w:rsid w:val="008F4A67"/>
    <w:rsid w:val="008F4AE2"/>
    <w:rsid w:val="008F4CA5"/>
    <w:rsid w:val="008F5133"/>
    <w:rsid w:val="008F5322"/>
    <w:rsid w:val="008F5332"/>
    <w:rsid w:val="008F5CA0"/>
    <w:rsid w:val="008F6135"/>
    <w:rsid w:val="008F6144"/>
    <w:rsid w:val="008F63DA"/>
    <w:rsid w:val="008F7474"/>
    <w:rsid w:val="008F753F"/>
    <w:rsid w:val="008F75AC"/>
    <w:rsid w:val="008F79D5"/>
    <w:rsid w:val="008F7B7C"/>
    <w:rsid w:val="008F7CF4"/>
    <w:rsid w:val="009000B7"/>
    <w:rsid w:val="0090019A"/>
    <w:rsid w:val="00900518"/>
    <w:rsid w:val="00900692"/>
    <w:rsid w:val="00900D07"/>
    <w:rsid w:val="00900D41"/>
    <w:rsid w:val="00901019"/>
    <w:rsid w:val="00901043"/>
    <w:rsid w:val="009010BC"/>
    <w:rsid w:val="009011B7"/>
    <w:rsid w:val="00901287"/>
    <w:rsid w:val="009015DF"/>
    <w:rsid w:val="00901F3C"/>
    <w:rsid w:val="00901F40"/>
    <w:rsid w:val="0090211C"/>
    <w:rsid w:val="009021E7"/>
    <w:rsid w:val="009022A8"/>
    <w:rsid w:val="00902381"/>
    <w:rsid w:val="00902D2A"/>
    <w:rsid w:val="00902D56"/>
    <w:rsid w:val="00902F75"/>
    <w:rsid w:val="00902FCE"/>
    <w:rsid w:val="00903189"/>
    <w:rsid w:val="009034B2"/>
    <w:rsid w:val="00903574"/>
    <w:rsid w:val="00903B28"/>
    <w:rsid w:val="00904C64"/>
    <w:rsid w:val="009056C6"/>
    <w:rsid w:val="00906639"/>
    <w:rsid w:val="00906D0C"/>
    <w:rsid w:val="00906D50"/>
    <w:rsid w:val="00907070"/>
    <w:rsid w:val="00907333"/>
    <w:rsid w:val="00907B71"/>
    <w:rsid w:val="00907B7F"/>
    <w:rsid w:val="00907CF6"/>
    <w:rsid w:val="00907DAE"/>
    <w:rsid w:val="00910247"/>
    <w:rsid w:val="00910B76"/>
    <w:rsid w:val="00910FF6"/>
    <w:rsid w:val="00911146"/>
    <w:rsid w:val="00911164"/>
    <w:rsid w:val="00911E21"/>
    <w:rsid w:val="00911EF6"/>
    <w:rsid w:val="00911F6A"/>
    <w:rsid w:val="0091237E"/>
    <w:rsid w:val="00912526"/>
    <w:rsid w:val="00912F6C"/>
    <w:rsid w:val="00913238"/>
    <w:rsid w:val="00913948"/>
    <w:rsid w:val="00913AB0"/>
    <w:rsid w:val="00913EA7"/>
    <w:rsid w:val="0091446E"/>
    <w:rsid w:val="009153C2"/>
    <w:rsid w:val="0091548B"/>
    <w:rsid w:val="00915A25"/>
    <w:rsid w:val="00916404"/>
    <w:rsid w:val="009168E1"/>
    <w:rsid w:val="00916A0F"/>
    <w:rsid w:val="00916B3A"/>
    <w:rsid w:val="00916DCB"/>
    <w:rsid w:val="0091756B"/>
    <w:rsid w:val="00917B05"/>
    <w:rsid w:val="00917D40"/>
    <w:rsid w:val="0092069B"/>
    <w:rsid w:val="00920911"/>
    <w:rsid w:val="00920B1B"/>
    <w:rsid w:val="00920FFF"/>
    <w:rsid w:val="009210F4"/>
    <w:rsid w:val="009211D3"/>
    <w:rsid w:val="0092139C"/>
    <w:rsid w:val="009216E0"/>
    <w:rsid w:val="00921C44"/>
    <w:rsid w:val="00921D25"/>
    <w:rsid w:val="00921DD0"/>
    <w:rsid w:val="0092291E"/>
    <w:rsid w:val="00922DBD"/>
    <w:rsid w:val="00923175"/>
    <w:rsid w:val="009231F7"/>
    <w:rsid w:val="009232AB"/>
    <w:rsid w:val="0092377D"/>
    <w:rsid w:val="00923782"/>
    <w:rsid w:val="009238B0"/>
    <w:rsid w:val="00923BCC"/>
    <w:rsid w:val="00923BF5"/>
    <w:rsid w:val="00923E46"/>
    <w:rsid w:val="009249D9"/>
    <w:rsid w:val="00925358"/>
    <w:rsid w:val="009254A3"/>
    <w:rsid w:val="009258FA"/>
    <w:rsid w:val="00925A07"/>
    <w:rsid w:val="00925A4B"/>
    <w:rsid w:val="00926021"/>
    <w:rsid w:val="009267C8"/>
    <w:rsid w:val="00926C4E"/>
    <w:rsid w:val="00926C6D"/>
    <w:rsid w:val="0092708D"/>
    <w:rsid w:val="0092745F"/>
    <w:rsid w:val="00927AE3"/>
    <w:rsid w:val="00927B99"/>
    <w:rsid w:val="009301BA"/>
    <w:rsid w:val="009306EC"/>
    <w:rsid w:val="00930741"/>
    <w:rsid w:val="00930811"/>
    <w:rsid w:val="0093081F"/>
    <w:rsid w:val="009314A1"/>
    <w:rsid w:val="009315C4"/>
    <w:rsid w:val="00931959"/>
    <w:rsid w:val="00931984"/>
    <w:rsid w:val="009319A7"/>
    <w:rsid w:val="009321C3"/>
    <w:rsid w:val="009327AD"/>
    <w:rsid w:val="0093285C"/>
    <w:rsid w:val="0093387A"/>
    <w:rsid w:val="00933AD7"/>
    <w:rsid w:val="00933D59"/>
    <w:rsid w:val="00933DFF"/>
    <w:rsid w:val="0093430D"/>
    <w:rsid w:val="00934758"/>
    <w:rsid w:val="009351C5"/>
    <w:rsid w:val="009356F9"/>
    <w:rsid w:val="00935AAE"/>
    <w:rsid w:val="00935B31"/>
    <w:rsid w:val="00935C40"/>
    <w:rsid w:val="00936243"/>
    <w:rsid w:val="00936323"/>
    <w:rsid w:val="00936986"/>
    <w:rsid w:val="00936BAD"/>
    <w:rsid w:val="00937429"/>
    <w:rsid w:val="00940235"/>
    <w:rsid w:val="009403D4"/>
    <w:rsid w:val="00940B9E"/>
    <w:rsid w:val="00940C03"/>
    <w:rsid w:val="00940D7C"/>
    <w:rsid w:val="00941649"/>
    <w:rsid w:val="00941F41"/>
    <w:rsid w:val="0094216B"/>
    <w:rsid w:val="009427AD"/>
    <w:rsid w:val="00942AC6"/>
    <w:rsid w:val="00942BC9"/>
    <w:rsid w:val="00942EFA"/>
    <w:rsid w:val="00943387"/>
    <w:rsid w:val="00943528"/>
    <w:rsid w:val="009436F8"/>
    <w:rsid w:val="009438E2"/>
    <w:rsid w:val="00943D8F"/>
    <w:rsid w:val="00943FA6"/>
    <w:rsid w:val="009441E3"/>
    <w:rsid w:val="00944492"/>
    <w:rsid w:val="00944568"/>
    <w:rsid w:val="0094474C"/>
    <w:rsid w:val="009449F2"/>
    <w:rsid w:val="00945A29"/>
    <w:rsid w:val="00945E50"/>
    <w:rsid w:val="009467FE"/>
    <w:rsid w:val="00946879"/>
    <w:rsid w:val="00946E3C"/>
    <w:rsid w:val="009473D9"/>
    <w:rsid w:val="009474D0"/>
    <w:rsid w:val="00947623"/>
    <w:rsid w:val="009479E7"/>
    <w:rsid w:val="00947D4B"/>
    <w:rsid w:val="00950107"/>
    <w:rsid w:val="00950246"/>
    <w:rsid w:val="009505B6"/>
    <w:rsid w:val="00950931"/>
    <w:rsid w:val="00950DD3"/>
    <w:rsid w:val="009511BF"/>
    <w:rsid w:val="0095125D"/>
    <w:rsid w:val="00951C78"/>
    <w:rsid w:val="009521E7"/>
    <w:rsid w:val="009528E9"/>
    <w:rsid w:val="00953147"/>
    <w:rsid w:val="0095318E"/>
    <w:rsid w:val="009538A0"/>
    <w:rsid w:val="00953ABB"/>
    <w:rsid w:val="00953F0B"/>
    <w:rsid w:val="0095404C"/>
    <w:rsid w:val="009540FF"/>
    <w:rsid w:val="009542D2"/>
    <w:rsid w:val="00954C65"/>
    <w:rsid w:val="00955257"/>
    <w:rsid w:val="00955624"/>
    <w:rsid w:val="009557D6"/>
    <w:rsid w:val="00955A44"/>
    <w:rsid w:val="00955E32"/>
    <w:rsid w:val="00956E22"/>
    <w:rsid w:val="00957282"/>
    <w:rsid w:val="00957804"/>
    <w:rsid w:val="009578D9"/>
    <w:rsid w:val="00957FB0"/>
    <w:rsid w:val="009608AA"/>
    <w:rsid w:val="009611DB"/>
    <w:rsid w:val="00961306"/>
    <w:rsid w:val="00961A5D"/>
    <w:rsid w:val="0096204E"/>
    <w:rsid w:val="00962272"/>
    <w:rsid w:val="009623A8"/>
    <w:rsid w:val="009624DB"/>
    <w:rsid w:val="009629AE"/>
    <w:rsid w:val="00962D40"/>
    <w:rsid w:val="00962E3E"/>
    <w:rsid w:val="00962EB8"/>
    <w:rsid w:val="009630D0"/>
    <w:rsid w:val="00963638"/>
    <w:rsid w:val="00963BE3"/>
    <w:rsid w:val="00963BE9"/>
    <w:rsid w:val="00963D17"/>
    <w:rsid w:val="00963D8A"/>
    <w:rsid w:val="009648AE"/>
    <w:rsid w:val="00964E01"/>
    <w:rsid w:val="00965130"/>
    <w:rsid w:val="00965177"/>
    <w:rsid w:val="00965478"/>
    <w:rsid w:val="00965815"/>
    <w:rsid w:val="009658DF"/>
    <w:rsid w:val="00965E94"/>
    <w:rsid w:val="00965FEB"/>
    <w:rsid w:val="00966351"/>
    <w:rsid w:val="0096696C"/>
    <w:rsid w:val="00966B26"/>
    <w:rsid w:val="00966C89"/>
    <w:rsid w:val="00967069"/>
    <w:rsid w:val="0096714C"/>
    <w:rsid w:val="00967319"/>
    <w:rsid w:val="0096739A"/>
    <w:rsid w:val="0096752C"/>
    <w:rsid w:val="009675C8"/>
    <w:rsid w:val="009675EB"/>
    <w:rsid w:val="009675EF"/>
    <w:rsid w:val="00967F74"/>
    <w:rsid w:val="0097024D"/>
    <w:rsid w:val="0097067C"/>
    <w:rsid w:val="009709E7"/>
    <w:rsid w:val="00970BED"/>
    <w:rsid w:val="00970C50"/>
    <w:rsid w:val="00971113"/>
    <w:rsid w:val="0097125B"/>
    <w:rsid w:val="009714FA"/>
    <w:rsid w:val="009719F3"/>
    <w:rsid w:val="00972448"/>
    <w:rsid w:val="00972499"/>
    <w:rsid w:val="0097289E"/>
    <w:rsid w:val="009728FB"/>
    <w:rsid w:val="00972E57"/>
    <w:rsid w:val="00972EC4"/>
    <w:rsid w:val="00973A5A"/>
    <w:rsid w:val="009745A7"/>
    <w:rsid w:val="00974832"/>
    <w:rsid w:val="00974A00"/>
    <w:rsid w:val="0097528A"/>
    <w:rsid w:val="00975469"/>
    <w:rsid w:val="00975A21"/>
    <w:rsid w:val="00975BCF"/>
    <w:rsid w:val="00975C93"/>
    <w:rsid w:val="00976177"/>
    <w:rsid w:val="009763D5"/>
    <w:rsid w:val="009765A0"/>
    <w:rsid w:val="00976D9C"/>
    <w:rsid w:val="00976F7F"/>
    <w:rsid w:val="00977163"/>
    <w:rsid w:val="0097726C"/>
    <w:rsid w:val="00977497"/>
    <w:rsid w:val="00977BDE"/>
    <w:rsid w:val="009802D2"/>
    <w:rsid w:val="0098032B"/>
    <w:rsid w:val="00980340"/>
    <w:rsid w:val="00980A22"/>
    <w:rsid w:val="00980F9F"/>
    <w:rsid w:val="0098112F"/>
    <w:rsid w:val="009811AA"/>
    <w:rsid w:val="00981315"/>
    <w:rsid w:val="009813AC"/>
    <w:rsid w:val="0098152A"/>
    <w:rsid w:val="00981589"/>
    <w:rsid w:val="00981615"/>
    <w:rsid w:val="00981851"/>
    <w:rsid w:val="00981C92"/>
    <w:rsid w:val="00981C9F"/>
    <w:rsid w:val="00981CBA"/>
    <w:rsid w:val="00981D84"/>
    <w:rsid w:val="00981D8C"/>
    <w:rsid w:val="009825E1"/>
    <w:rsid w:val="00982602"/>
    <w:rsid w:val="0098292F"/>
    <w:rsid w:val="0098294D"/>
    <w:rsid w:val="00982B8D"/>
    <w:rsid w:val="00983F10"/>
    <w:rsid w:val="00984960"/>
    <w:rsid w:val="00984AF8"/>
    <w:rsid w:val="00984B10"/>
    <w:rsid w:val="00984D1E"/>
    <w:rsid w:val="00984ED1"/>
    <w:rsid w:val="00984EF4"/>
    <w:rsid w:val="009853C0"/>
    <w:rsid w:val="00985716"/>
    <w:rsid w:val="00986471"/>
    <w:rsid w:val="0098652D"/>
    <w:rsid w:val="0098666B"/>
    <w:rsid w:val="00986F12"/>
    <w:rsid w:val="0098763F"/>
    <w:rsid w:val="009876C6"/>
    <w:rsid w:val="00987B57"/>
    <w:rsid w:val="00987E81"/>
    <w:rsid w:val="00987EBA"/>
    <w:rsid w:val="009901F8"/>
    <w:rsid w:val="009901FF"/>
    <w:rsid w:val="009906A0"/>
    <w:rsid w:val="00990A62"/>
    <w:rsid w:val="00990AFF"/>
    <w:rsid w:val="00990F50"/>
    <w:rsid w:val="0099105D"/>
    <w:rsid w:val="00991585"/>
    <w:rsid w:val="00991686"/>
    <w:rsid w:val="00991CB9"/>
    <w:rsid w:val="009921CA"/>
    <w:rsid w:val="00992338"/>
    <w:rsid w:val="00992399"/>
    <w:rsid w:val="00992572"/>
    <w:rsid w:val="00992A2E"/>
    <w:rsid w:val="00992BA9"/>
    <w:rsid w:val="00992BBC"/>
    <w:rsid w:val="00992C07"/>
    <w:rsid w:val="0099325B"/>
    <w:rsid w:val="00993830"/>
    <w:rsid w:val="00993FE4"/>
    <w:rsid w:val="009946EA"/>
    <w:rsid w:val="00994AA8"/>
    <w:rsid w:val="00994D7D"/>
    <w:rsid w:val="00994E6A"/>
    <w:rsid w:val="009953B8"/>
    <w:rsid w:val="00995732"/>
    <w:rsid w:val="00995914"/>
    <w:rsid w:val="00995FA7"/>
    <w:rsid w:val="0099662B"/>
    <w:rsid w:val="009967B0"/>
    <w:rsid w:val="00996A8D"/>
    <w:rsid w:val="00996C00"/>
    <w:rsid w:val="00997002"/>
    <w:rsid w:val="0099742D"/>
    <w:rsid w:val="00997759"/>
    <w:rsid w:val="00997AFF"/>
    <w:rsid w:val="009A0336"/>
    <w:rsid w:val="009A0915"/>
    <w:rsid w:val="009A0C52"/>
    <w:rsid w:val="009A1330"/>
    <w:rsid w:val="009A1394"/>
    <w:rsid w:val="009A15C9"/>
    <w:rsid w:val="009A1DDB"/>
    <w:rsid w:val="009A1DE6"/>
    <w:rsid w:val="009A1E99"/>
    <w:rsid w:val="009A2042"/>
    <w:rsid w:val="009A2123"/>
    <w:rsid w:val="009A2D2E"/>
    <w:rsid w:val="009A2E46"/>
    <w:rsid w:val="009A3056"/>
    <w:rsid w:val="009A379A"/>
    <w:rsid w:val="009A3BEB"/>
    <w:rsid w:val="009A3E4F"/>
    <w:rsid w:val="009A4093"/>
    <w:rsid w:val="009A4170"/>
    <w:rsid w:val="009A4496"/>
    <w:rsid w:val="009A48C9"/>
    <w:rsid w:val="009A4CDB"/>
    <w:rsid w:val="009A4F50"/>
    <w:rsid w:val="009A50AD"/>
    <w:rsid w:val="009A50AE"/>
    <w:rsid w:val="009A6DFB"/>
    <w:rsid w:val="009A7354"/>
    <w:rsid w:val="009A7A56"/>
    <w:rsid w:val="009A7A6F"/>
    <w:rsid w:val="009B053B"/>
    <w:rsid w:val="009B0CB1"/>
    <w:rsid w:val="009B0FF8"/>
    <w:rsid w:val="009B11B7"/>
    <w:rsid w:val="009B11F2"/>
    <w:rsid w:val="009B17E7"/>
    <w:rsid w:val="009B1F01"/>
    <w:rsid w:val="009B1F09"/>
    <w:rsid w:val="009B2024"/>
    <w:rsid w:val="009B2564"/>
    <w:rsid w:val="009B25C2"/>
    <w:rsid w:val="009B2FD4"/>
    <w:rsid w:val="009B304B"/>
    <w:rsid w:val="009B3AB2"/>
    <w:rsid w:val="009B3ACB"/>
    <w:rsid w:val="009B3C20"/>
    <w:rsid w:val="009B48ED"/>
    <w:rsid w:val="009B4DBB"/>
    <w:rsid w:val="009B4FF4"/>
    <w:rsid w:val="009B53C7"/>
    <w:rsid w:val="009B55EF"/>
    <w:rsid w:val="009B5E74"/>
    <w:rsid w:val="009B622D"/>
    <w:rsid w:val="009B657C"/>
    <w:rsid w:val="009B68FF"/>
    <w:rsid w:val="009B6995"/>
    <w:rsid w:val="009B6BD4"/>
    <w:rsid w:val="009B6E9C"/>
    <w:rsid w:val="009B6EFA"/>
    <w:rsid w:val="009B74F0"/>
    <w:rsid w:val="009B7636"/>
    <w:rsid w:val="009C014F"/>
    <w:rsid w:val="009C016B"/>
    <w:rsid w:val="009C01A9"/>
    <w:rsid w:val="009C047F"/>
    <w:rsid w:val="009C05ED"/>
    <w:rsid w:val="009C06D8"/>
    <w:rsid w:val="009C06EB"/>
    <w:rsid w:val="009C09A3"/>
    <w:rsid w:val="009C1022"/>
    <w:rsid w:val="009C158E"/>
    <w:rsid w:val="009C168B"/>
    <w:rsid w:val="009C1A53"/>
    <w:rsid w:val="009C1FA4"/>
    <w:rsid w:val="009C2417"/>
    <w:rsid w:val="009C2E37"/>
    <w:rsid w:val="009C3924"/>
    <w:rsid w:val="009C4094"/>
    <w:rsid w:val="009C42CD"/>
    <w:rsid w:val="009C4301"/>
    <w:rsid w:val="009C44F9"/>
    <w:rsid w:val="009C4506"/>
    <w:rsid w:val="009C49D7"/>
    <w:rsid w:val="009C4CA1"/>
    <w:rsid w:val="009C4DB8"/>
    <w:rsid w:val="009C4F4F"/>
    <w:rsid w:val="009C501A"/>
    <w:rsid w:val="009C59BB"/>
    <w:rsid w:val="009C62CE"/>
    <w:rsid w:val="009C6DAA"/>
    <w:rsid w:val="009C703B"/>
    <w:rsid w:val="009C71AE"/>
    <w:rsid w:val="009C738E"/>
    <w:rsid w:val="009C79E4"/>
    <w:rsid w:val="009C7FEB"/>
    <w:rsid w:val="009D044F"/>
    <w:rsid w:val="009D05A6"/>
    <w:rsid w:val="009D12DF"/>
    <w:rsid w:val="009D17BB"/>
    <w:rsid w:val="009D2C14"/>
    <w:rsid w:val="009D2C8C"/>
    <w:rsid w:val="009D2C96"/>
    <w:rsid w:val="009D2D1A"/>
    <w:rsid w:val="009D2E0D"/>
    <w:rsid w:val="009D3053"/>
    <w:rsid w:val="009D321D"/>
    <w:rsid w:val="009D417D"/>
    <w:rsid w:val="009D4223"/>
    <w:rsid w:val="009D4AA8"/>
    <w:rsid w:val="009D4AB2"/>
    <w:rsid w:val="009D4E7F"/>
    <w:rsid w:val="009D51F3"/>
    <w:rsid w:val="009D5539"/>
    <w:rsid w:val="009D586A"/>
    <w:rsid w:val="009D5D15"/>
    <w:rsid w:val="009D5DF9"/>
    <w:rsid w:val="009D5F9B"/>
    <w:rsid w:val="009D61A5"/>
    <w:rsid w:val="009D622D"/>
    <w:rsid w:val="009D652B"/>
    <w:rsid w:val="009D6877"/>
    <w:rsid w:val="009D6D8D"/>
    <w:rsid w:val="009D6E4E"/>
    <w:rsid w:val="009D7127"/>
    <w:rsid w:val="009E01B6"/>
    <w:rsid w:val="009E058C"/>
    <w:rsid w:val="009E0882"/>
    <w:rsid w:val="009E0DF2"/>
    <w:rsid w:val="009E10C2"/>
    <w:rsid w:val="009E24BA"/>
    <w:rsid w:val="009E275B"/>
    <w:rsid w:val="009E28F5"/>
    <w:rsid w:val="009E2C04"/>
    <w:rsid w:val="009E2DCC"/>
    <w:rsid w:val="009E305B"/>
    <w:rsid w:val="009E30D6"/>
    <w:rsid w:val="009E330D"/>
    <w:rsid w:val="009E3356"/>
    <w:rsid w:val="009E3444"/>
    <w:rsid w:val="009E351D"/>
    <w:rsid w:val="009E3AAE"/>
    <w:rsid w:val="009E3AF8"/>
    <w:rsid w:val="009E469F"/>
    <w:rsid w:val="009E47AB"/>
    <w:rsid w:val="009E487A"/>
    <w:rsid w:val="009E4CB1"/>
    <w:rsid w:val="009E4D64"/>
    <w:rsid w:val="009E4ECE"/>
    <w:rsid w:val="009E5950"/>
    <w:rsid w:val="009E59DF"/>
    <w:rsid w:val="009E5B63"/>
    <w:rsid w:val="009E5C21"/>
    <w:rsid w:val="009E5D92"/>
    <w:rsid w:val="009E5E17"/>
    <w:rsid w:val="009E5F8B"/>
    <w:rsid w:val="009E60EF"/>
    <w:rsid w:val="009E6708"/>
    <w:rsid w:val="009E6BCF"/>
    <w:rsid w:val="009E6C7E"/>
    <w:rsid w:val="009E721F"/>
    <w:rsid w:val="009E782E"/>
    <w:rsid w:val="009E78AC"/>
    <w:rsid w:val="009E7A12"/>
    <w:rsid w:val="009E7A2A"/>
    <w:rsid w:val="009E7DCF"/>
    <w:rsid w:val="009F042C"/>
    <w:rsid w:val="009F08C4"/>
    <w:rsid w:val="009F0CBA"/>
    <w:rsid w:val="009F0F7D"/>
    <w:rsid w:val="009F115F"/>
    <w:rsid w:val="009F121E"/>
    <w:rsid w:val="009F163D"/>
    <w:rsid w:val="009F1714"/>
    <w:rsid w:val="009F1817"/>
    <w:rsid w:val="009F19BE"/>
    <w:rsid w:val="009F1B92"/>
    <w:rsid w:val="009F1C6F"/>
    <w:rsid w:val="009F1D4D"/>
    <w:rsid w:val="009F1F58"/>
    <w:rsid w:val="009F2189"/>
    <w:rsid w:val="009F21C9"/>
    <w:rsid w:val="009F23DC"/>
    <w:rsid w:val="009F2D63"/>
    <w:rsid w:val="009F2F06"/>
    <w:rsid w:val="009F341C"/>
    <w:rsid w:val="009F3777"/>
    <w:rsid w:val="009F3AA4"/>
    <w:rsid w:val="009F3CF3"/>
    <w:rsid w:val="009F3CF6"/>
    <w:rsid w:val="009F3EF7"/>
    <w:rsid w:val="009F4974"/>
    <w:rsid w:val="009F4BA7"/>
    <w:rsid w:val="009F4CD8"/>
    <w:rsid w:val="009F4F0B"/>
    <w:rsid w:val="009F5113"/>
    <w:rsid w:val="009F52B7"/>
    <w:rsid w:val="009F52F8"/>
    <w:rsid w:val="009F5C40"/>
    <w:rsid w:val="009F5E24"/>
    <w:rsid w:val="009F5E5A"/>
    <w:rsid w:val="009F6237"/>
    <w:rsid w:val="009F64A1"/>
    <w:rsid w:val="009F656F"/>
    <w:rsid w:val="009F660F"/>
    <w:rsid w:val="009F68F1"/>
    <w:rsid w:val="009F6970"/>
    <w:rsid w:val="009F7239"/>
    <w:rsid w:val="009F7342"/>
    <w:rsid w:val="009F7835"/>
    <w:rsid w:val="009F7D8D"/>
    <w:rsid w:val="00A0014A"/>
    <w:rsid w:val="00A0014B"/>
    <w:rsid w:val="00A003F4"/>
    <w:rsid w:val="00A00790"/>
    <w:rsid w:val="00A007AD"/>
    <w:rsid w:val="00A00955"/>
    <w:rsid w:val="00A00BCA"/>
    <w:rsid w:val="00A00D20"/>
    <w:rsid w:val="00A010E7"/>
    <w:rsid w:val="00A01722"/>
    <w:rsid w:val="00A0183C"/>
    <w:rsid w:val="00A01B73"/>
    <w:rsid w:val="00A0227F"/>
    <w:rsid w:val="00A025E7"/>
    <w:rsid w:val="00A026D3"/>
    <w:rsid w:val="00A02B32"/>
    <w:rsid w:val="00A02E73"/>
    <w:rsid w:val="00A030A6"/>
    <w:rsid w:val="00A0326D"/>
    <w:rsid w:val="00A03531"/>
    <w:rsid w:val="00A0387E"/>
    <w:rsid w:val="00A0393E"/>
    <w:rsid w:val="00A03A13"/>
    <w:rsid w:val="00A0416A"/>
    <w:rsid w:val="00A041E6"/>
    <w:rsid w:val="00A0468C"/>
    <w:rsid w:val="00A048DF"/>
    <w:rsid w:val="00A049F1"/>
    <w:rsid w:val="00A04A2A"/>
    <w:rsid w:val="00A04D8E"/>
    <w:rsid w:val="00A0560C"/>
    <w:rsid w:val="00A05F90"/>
    <w:rsid w:val="00A061DB"/>
    <w:rsid w:val="00A0626D"/>
    <w:rsid w:val="00A064B3"/>
    <w:rsid w:val="00A065CE"/>
    <w:rsid w:val="00A0660D"/>
    <w:rsid w:val="00A067A2"/>
    <w:rsid w:val="00A0690D"/>
    <w:rsid w:val="00A06BDB"/>
    <w:rsid w:val="00A06C2F"/>
    <w:rsid w:val="00A06E5F"/>
    <w:rsid w:val="00A06FFF"/>
    <w:rsid w:val="00A07BE7"/>
    <w:rsid w:val="00A10115"/>
    <w:rsid w:val="00A10624"/>
    <w:rsid w:val="00A10746"/>
    <w:rsid w:val="00A107CF"/>
    <w:rsid w:val="00A10EE2"/>
    <w:rsid w:val="00A111C3"/>
    <w:rsid w:val="00A11CEE"/>
    <w:rsid w:val="00A11E16"/>
    <w:rsid w:val="00A12983"/>
    <w:rsid w:val="00A129CF"/>
    <w:rsid w:val="00A12A6D"/>
    <w:rsid w:val="00A13285"/>
    <w:rsid w:val="00A13C38"/>
    <w:rsid w:val="00A13D8E"/>
    <w:rsid w:val="00A13E37"/>
    <w:rsid w:val="00A14652"/>
    <w:rsid w:val="00A14716"/>
    <w:rsid w:val="00A14739"/>
    <w:rsid w:val="00A1483D"/>
    <w:rsid w:val="00A14B68"/>
    <w:rsid w:val="00A14D4D"/>
    <w:rsid w:val="00A15B5C"/>
    <w:rsid w:val="00A15ECF"/>
    <w:rsid w:val="00A16060"/>
    <w:rsid w:val="00A1613F"/>
    <w:rsid w:val="00A16989"/>
    <w:rsid w:val="00A16C9A"/>
    <w:rsid w:val="00A17091"/>
    <w:rsid w:val="00A17538"/>
    <w:rsid w:val="00A17BE2"/>
    <w:rsid w:val="00A17EFB"/>
    <w:rsid w:val="00A201D9"/>
    <w:rsid w:val="00A205E8"/>
    <w:rsid w:val="00A20A91"/>
    <w:rsid w:val="00A20FF8"/>
    <w:rsid w:val="00A21152"/>
    <w:rsid w:val="00A2173E"/>
    <w:rsid w:val="00A21BCE"/>
    <w:rsid w:val="00A21E41"/>
    <w:rsid w:val="00A227BA"/>
    <w:rsid w:val="00A2289D"/>
    <w:rsid w:val="00A22C2D"/>
    <w:rsid w:val="00A22D01"/>
    <w:rsid w:val="00A233A6"/>
    <w:rsid w:val="00A23B1F"/>
    <w:rsid w:val="00A23B4B"/>
    <w:rsid w:val="00A24137"/>
    <w:rsid w:val="00A24270"/>
    <w:rsid w:val="00A242B3"/>
    <w:rsid w:val="00A24774"/>
    <w:rsid w:val="00A2490D"/>
    <w:rsid w:val="00A24B67"/>
    <w:rsid w:val="00A24CC0"/>
    <w:rsid w:val="00A2508A"/>
    <w:rsid w:val="00A255C5"/>
    <w:rsid w:val="00A25861"/>
    <w:rsid w:val="00A25C00"/>
    <w:rsid w:val="00A2673D"/>
    <w:rsid w:val="00A26BA3"/>
    <w:rsid w:val="00A26BAC"/>
    <w:rsid w:val="00A27041"/>
    <w:rsid w:val="00A272EB"/>
    <w:rsid w:val="00A275B9"/>
    <w:rsid w:val="00A279DE"/>
    <w:rsid w:val="00A27AC7"/>
    <w:rsid w:val="00A27B2A"/>
    <w:rsid w:val="00A27B4A"/>
    <w:rsid w:val="00A27BFE"/>
    <w:rsid w:val="00A27E5E"/>
    <w:rsid w:val="00A306DB"/>
    <w:rsid w:val="00A319B6"/>
    <w:rsid w:val="00A31FF9"/>
    <w:rsid w:val="00A3206F"/>
    <w:rsid w:val="00A3237C"/>
    <w:rsid w:val="00A3243C"/>
    <w:rsid w:val="00A326E9"/>
    <w:rsid w:val="00A32A14"/>
    <w:rsid w:val="00A32D78"/>
    <w:rsid w:val="00A330E6"/>
    <w:rsid w:val="00A331C2"/>
    <w:rsid w:val="00A3387C"/>
    <w:rsid w:val="00A33F7F"/>
    <w:rsid w:val="00A34056"/>
    <w:rsid w:val="00A345F8"/>
    <w:rsid w:val="00A347A7"/>
    <w:rsid w:val="00A353BC"/>
    <w:rsid w:val="00A3574E"/>
    <w:rsid w:val="00A35A40"/>
    <w:rsid w:val="00A35CAD"/>
    <w:rsid w:val="00A35DB4"/>
    <w:rsid w:val="00A366F1"/>
    <w:rsid w:val="00A36846"/>
    <w:rsid w:val="00A370C8"/>
    <w:rsid w:val="00A37752"/>
    <w:rsid w:val="00A378E0"/>
    <w:rsid w:val="00A37A3D"/>
    <w:rsid w:val="00A37B4A"/>
    <w:rsid w:val="00A37F93"/>
    <w:rsid w:val="00A40174"/>
    <w:rsid w:val="00A40492"/>
    <w:rsid w:val="00A40909"/>
    <w:rsid w:val="00A40916"/>
    <w:rsid w:val="00A40C00"/>
    <w:rsid w:val="00A41C1B"/>
    <w:rsid w:val="00A41D39"/>
    <w:rsid w:val="00A41EC0"/>
    <w:rsid w:val="00A4200D"/>
    <w:rsid w:val="00A425F1"/>
    <w:rsid w:val="00A429C1"/>
    <w:rsid w:val="00A42E1D"/>
    <w:rsid w:val="00A432A4"/>
    <w:rsid w:val="00A435CE"/>
    <w:rsid w:val="00A43AE9"/>
    <w:rsid w:val="00A440E1"/>
    <w:rsid w:val="00A441EC"/>
    <w:rsid w:val="00A442D5"/>
    <w:rsid w:val="00A44696"/>
    <w:rsid w:val="00A447CC"/>
    <w:rsid w:val="00A451CA"/>
    <w:rsid w:val="00A45647"/>
    <w:rsid w:val="00A45BBC"/>
    <w:rsid w:val="00A45E01"/>
    <w:rsid w:val="00A46580"/>
    <w:rsid w:val="00A4685F"/>
    <w:rsid w:val="00A47144"/>
    <w:rsid w:val="00A47371"/>
    <w:rsid w:val="00A4745C"/>
    <w:rsid w:val="00A478E0"/>
    <w:rsid w:val="00A500CE"/>
    <w:rsid w:val="00A50324"/>
    <w:rsid w:val="00A50780"/>
    <w:rsid w:val="00A50873"/>
    <w:rsid w:val="00A50EF0"/>
    <w:rsid w:val="00A510B9"/>
    <w:rsid w:val="00A510CB"/>
    <w:rsid w:val="00A51169"/>
    <w:rsid w:val="00A5155F"/>
    <w:rsid w:val="00A515FC"/>
    <w:rsid w:val="00A5170D"/>
    <w:rsid w:val="00A51863"/>
    <w:rsid w:val="00A51B41"/>
    <w:rsid w:val="00A51BD2"/>
    <w:rsid w:val="00A523B5"/>
    <w:rsid w:val="00A5241B"/>
    <w:rsid w:val="00A527A1"/>
    <w:rsid w:val="00A527BC"/>
    <w:rsid w:val="00A532EE"/>
    <w:rsid w:val="00A53444"/>
    <w:rsid w:val="00A53E1D"/>
    <w:rsid w:val="00A54828"/>
    <w:rsid w:val="00A54837"/>
    <w:rsid w:val="00A54EC5"/>
    <w:rsid w:val="00A55321"/>
    <w:rsid w:val="00A5579A"/>
    <w:rsid w:val="00A559B7"/>
    <w:rsid w:val="00A56046"/>
    <w:rsid w:val="00A5621D"/>
    <w:rsid w:val="00A5622A"/>
    <w:rsid w:val="00A5656F"/>
    <w:rsid w:val="00A56945"/>
    <w:rsid w:val="00A56F01"/>
    <w:rsid w:val="00A56FB6"/>
    <w:rsid w:val="00A57B5E"/>
    <w:rsid w:val="00A57E0B"/>
    <w:rsid w:val="00A57F26"/>
    <w:rsid w:val="00A601B6"/>
    <w:rsid w:val="00A605DE"/>
    <w:rsid w:val="00A60C71"/>
    <w:rsid w:val="00A6124A"/>
    <w:rsid w:val="00A616E1"/>
    <w:rsid w:val="00A61B64"/>
    <w:rsid w:val="00A61C9F"/>
    <w:rsid w:val="00A61DAD"/>
    <w:rsid w:val="00A61F4A"/>
    <w:rsid w:val="00A620C0"/>
    <w:rsid w:val="00A622FD"/>
    <w:rsid w:val="00A6234F"/>
    <w:rsid w:val="00A623C8"/>
    <w:rsid w:val="00A62647"/>
    <w:rsid w:val="00A629B0"/>
    <w:rsid w:val="00A62A5D"/>
    <w:rsid w:val="00A62D50"/>
    <w:rsid w:val="00A62F3E"/>
    <w:rsid w:val="00A6330C"/>
    <w:rsid w:val="00A63CC9"/>
    <w:rsid w:val="00A64096"/>
    <w:rsid w:val="00A64273"/>
    <w:rsid w:val="00A642E4"/>
    <w:rsid w:val="00A642E9"/>
    <w:rsid w:val="00A64627"/>
    <w:rsid w:val="00A6480D"/>
    <w:rsid w:val="00A650BF"/>
    <w:rsid w:val="00A65346"/>
    <w:rsid w:val="00A657E0"/>
    <w:rsid w:val="00A65C79"/>
    <w:rsid w:val="00A65E49"/>
    <w:rsid w:val="00A6602E"/>
    <w:rsid w:val="00A66570"/>
    <w:rsid w:val="00A66714"/>
    <w:rsid w:val="00A66869"/>
    <w:rsid w:val="00A66997"/>
    <w:rsid w:val="00A66E25"/>
    <w:rsid w:val="00A70030"/>
    <w:rsid w:val="00A7006A"/>
    <w:rsid w:val="00A70561"/>
    <w:rsid w:val="00A70BCF"/>
    <w:rsid w:val="00A710B5"/>
    <w:rsid w:val="00A719B5"/>
    <w:rsid w:val="00A71D86"/>
    <w:rsid w:val="00A72A64"/>
    <w:rsid w:val="00A73313"/>
    <w:rsid w:val="00A73684"/>
    <w:rsid w:val="00A736A3"/>
    <w:rsid w:val="00A7377F"/>
    <w:rsid w:val="00A738B5"/>
    <w:rsid w:val="00A738BA"/>
    <w:rsid w:val="00A73976"/>
    <w:rsid w:val="00A73977"/>
    <w:rsid w:val="00A73DB1"/>
    <w:rsid w:val="00A7496A"/>
    <w:rsid w:val="00A75125"/>
    <w:rsid w:val="00A754F8"/>
    <w:rsid w:val="00A7590C"/>
    <w:rsid w:val="00A759A1"/>
    <w:rsid w:val="00A759D5"/>
    <w:rsid w:val="00A7605B"/>
    <w:rsid w:val="00A76094"/>
    <w:rsid w:val="00A764A9"/>
    <w:rsid w:val="00A76758"/>
    <w:rsid w:val="00A7689E"/>
    <w:rsid w:val="00A769CE"/>
    <w:rsid w:val="00A76AB1"/>
    <w:rsid w:val="00A76CCE"/>
    <w:rsid w:val="00A76D80"/>
    <w:rsid w:val="00A7726E"/>
    <w:rsid w:val="00A77311"/>
    <w:rsid w:val="00A77494"/>
    <w:rsid w:val="00A774C9"/>
    <w:rsid w:val="00A776E5"/>
    <w:rsid w:val="00A77B91"/>
    <w:rsid w:val="00A77CF9"/>
    <w:rsid w:val="00A80109"/>
    <w:rsid w:val="00A803DC"/>
    <w:rsid w:val="00A806A6"/>
    <w:rsid w:val="00A80C56"/>
    <w:rsid w:val="00A80C83"/>
    <w:rsid w:val="00A81163"/>
    <w:rsid w:val="00A81562"/>
    <w:rsid w:val="00A81B8F"/>
    <w:rsid w:val="00A81CC7"/>
    <w:rsid w:val="00A81EE3"/>
    <w:rsid w:val="00A820A8"/>
    <w:rsid w:val="00A82769"/>
    <w:rsid w:val="00A830AD"/>
    <w:rsid w:val="00A8313B"/>
    <w:rsid w:val="00A8330F"/>
    <w:rsid w:val="00A83CF2"/>
    <w:rsid w:val="00A8460E"/>
    <w:rsid w:val="00A84818"/>
    <w:rsid w:val="00A84A2B"/>
    <w:rsid w:val="00A84C0B"/>
    <w:rsid w:val="00A84D6F"/>
    <w:rsid w:val="00A84F0B"/>
    <w:rsid w:val="00A84FC3"/>
    <w:rsid w:val="00A8518D"/>
    <w:rsid w:val="00A85425"/>
    <w:rsid w:val="00A8554C"/>
    <w:rsid w:val="00A8558C"/>
    <w:rsid w:val="00A85DAD"/>
    <w:rsid w:val="00A860CD"/>
    <w:rsid w:val="00A867BB"/>
    <w:rsid w:val="00A8682E"/>
    <w:rsid w:val="00A86AF9"/>
    <w:rsid w:val="00A86B30"/>
    <w:rsid w:val="00A86BC0"/>
    <w:rsid w:val="00A86C15"/>
    <w:rsid w:val="00A86FE5"/>
    <w:rsid w:val="00A875C4"/>
    <w:rsid w:val="00A877A1"/>
    <w:rsid w:val="00A87942"/>
    <w:rsid w:val="00A879B2"/>
    <w:rsid w:val="00A87F77"/>
    <w:rsid w:val="00A87F8D"/>
    <w:rsid w:val="00A90036"/>
    <w:rsid w:val="00A90306"/>
    <w:rsid w:val="00A906B9"/>
    <w:rsid w:val="00A9102A"/>
    <w:rsid w:val="00A9184B"/>
    <w:rsid w:val="00A91ABF"/>
    <w:rsid w:val="00A92641"/>
    <w:rsid w:val="00A92892"/>
    <w:rsid w:val="00A928D5"/>
    <w:rsid w:val="00A93257"/>
    <w:rsid w:val="00A9390E"/>
    <w:rsid w:val="00A945D2"/>
    <w:rsid w:val="00A94C15"/>
    <w:rsid w:val="00A94DEF"/>
    <w:rsid w:val="00A9517D"/>
    <w:rsid w:val="00A95239"/>
    <w:rsid w:val="00A9538B"/>
    <w:rsid w:val="00A9545F"/>
    <w:rsid w:val="00A95B08"/>
    <w:rsid w:val="00A96170"/>
    <w:rsid w:val="00A9638C"/>
    <w:rsid w:val="00A96422"/>
    <w:rsid w:val="00A964BB"/>
    <w:rsid w:val="00A96563"/>
    <w:rsid w:val="00A96D89"/>
    <w:rsid w:val="00A9723E"/>
    <w:rsid w:val="00A97843"/>
    <w:rsid w:val="00A97ADD"/>
    <w:rsid w:val="00A97AF0"/>
    <w:rsid w:val="00AA01AD"/>
    <w:rsid w:val="00AA02FA"/>
    <w:rsid w:val="00AA0638"/>
    <w:rsid w:val="00AA071C"/>
    <w:rsid w:val="00AA0B99"/>
    <w:rsid w:val="00AA0DCF"/>
    <w:rsid w:val="00AA11E9"/>
    <w:rsid w:val="00AA14AE"/>
    <w:rsid w:val="00AA1A33"/>
    <w:rsid w:val="00AA1B1F"/>
    <w:rsid w:val="00AA1D24"/>
    <w:rsid w:val="00AA1E49"/>
    <w:rsid w:val="00AA269C"/>
    <w:rsid w:val="00AA2E39"/>
    <w:rsid w:val="00AA4823"/>
    <w:rsid w:val="00AA5506"/>
    <w:rsid w:val="00AA5591"/>
    <w:rsid w:val="00AA5988"/>
    <w:rsid w:val="00AA64E3"/>
    <w:rsid w:val="00AA6832"/>
    <w:rsid w:val="00AA6A2E"/>
    <w:rsid w:val="00AA6F86"/>
    <w:rsid w:val="00AA702F"/>
    <w:rsid w:val="00AA7206"/>
    <w:rsid w:val="00AA7484"/>
    <w:rsid w:val="00AA77A8"/>
    <w:rsid w:val="00AA7BD7"/>
    <w:rsid w:val="00AA7EA5"/>
    <w:rsid w:val="00AA7F6A"/>
    <w:rsid w:val="00AA7F9F"/>
    <w:rsid w:val="00AB0404"/>
    <w:rsid w:val="00AB0504"/>
    <w:rsid w:val="00AB0549"/>
    <w:rsid w:val="00AB126B"/>
    <w:rsid w:val="00AB12C0"/>
    <w:rsid w:val="00AB158E"/>
    <w:rsid w:val="00AB181E"/>
    <w:rsid w:val="00AB18BF"/>
    <w:rsid w:val="00AB1A89"/>
    <w:rsid w:val="00AB1AA1"/>
    <w:rsid w:val="00AB1DBB"/>
    <w:rsid w:val="00AB1E71"/>
    <w:rsid w:val="00AB212C"/>
    <w:rsid w:val="00AB217A"/>
    <w:rsid w:val="00AB2562"/>
    <w:rsid w:val="00AB2631"/>
    <w:rsid w:val="00AB2671"/>
    <w:rsid w:val="00AB27A9"/>
    <w:rsid w:val="00AB2831"/>
    <w:rsid w:val="00AB2B56"/>
    <w:rsid w:val="00AB34AC"/>
    <w:rsid w:val="00AB36D2"/>
    <w:rsid w:val="00AB388E"/>
    <w:rsid w:val="00AB3A62"/>
    <w:rsid w:val="00AB4568"/>
    <w:rsid w:val="00AB46DB"/>
    <w:rsid w:val="00AB473E"/>
    <w:rsid w:val="00AB4CF0"/>
    <w:rsid w:val="00AB50D8"/>
    <w:rsid w:val="00AB512F"/>
    <w:rsid w:val="00AB5376"/>
    <w:rsid w:val="00AB56B5"/>
    <w:rsid w:val="00AB58CC"/>
    <w:rsid w:val="00AB60E9"/>
    <w:rsid w:val="00AB6549"/>
    <w:rsid w:val="00AB68D1"/>
    <w:rsid w:val="00AB68E7"/>
    <w:rsid w:val="00AB6936"/>
    <w:rsid w:val="00AB6BDB"/>
    <w:rsid w:val="00AB6C09"/>
    <w:rsid w:val="00AB6E1B"/>
    <w:rsid w:val="00AB7139"/>
    <w:rsid w:val="00AB778C"/>
    <w:rsid w:val="00AC0183"/>
    <w:rsid w:val="00AC04AE"/>
    <w:rsid w:val="00AC05D3"/>
    <w:rsid w:val="00AC0714"/>
    <w:rsid w:val="00AC0C8E"/>
    <w:rsid w:val="00AC0C9D"/>
    <w:rsid w:val="00AC1146"/>
    <w:rsid w:val="00AC11DF"/>
    <w:rsid w:val="00AC1955"/>
    <w:rsid w:val="00AC1AE5"/>
    <w:rsid w:val="00AC1D30"/>
    <w:rsid w:val="00AC1F86"/>
    <w:rsid w:val="00AC23AC"/>
    <w:rsid w:val="00AC25C5"/>
    <w:rsid w:val="00AC2982"/>
    <w:rsid w:val="00AC2A38"/>
    <w:rsid w:val="00AC3A7C"/>
    <w:rsid w:val="00AC3A90"/>
    <w:rsid w:val="00AC3EAD"/>
    <w:rsid w:val="00AC4393"/>
    <w:rsid w:val="00AC4420"/>
    <w:rsid w:val="00AC4776"/>
    <w:rsid w:val="00AC4A89"/>
    <w:rsid w:val="00AC4BDB"/>
    <w:rsid w:val="00AC5709"/>
    <w:rsid w:val="00AC5741"/>
    <w:rsid w:val="00AC586E"/>
    <w:rsid w:val="00AC5B3E"/>
    <w:rsid w:val="00AC60D3"/>
    <w:rsid w:val="00AC6140"/>
    <w:rsid w:val="00AC68F5"/>
    <w:rsid w:val="00AC6961"/>
    <w:rsid w:val="00AC7401"/>
    <w:rsid w:val="00AC7594"/>
    <w:rsid w:val="00AC77C4"/>
    <w:rsid w:val="00AC7C3E"/>
    <w:rsid w:val="00AD0267"/>
    <w:rsid w:val="00AD0761"/>
    <w:rsid w:val="00AD0E62"/>
    <w:rsid w:val="00AD0F2C"/>
    <w:rsid w:val="00AD1249"/>
    <w:rsid w:val="00AD1889"/>
    <w:rsid w:val="00AD1BB1"/>
    <w:rsid w:val="00AD1C23"/>
    <w:rsid w:val="00AD1E03"/>
    <w:rsid w:val="00AD2249"/>
    <w:rsid w:val="00AD299E"/>
    <w:rsid w:val="00AD29B8"/>
    <w:rsid w:val="00AD2C18"/>
    <w:rsid w:val="00AD2C87"/>
    <w:rsid w:val="00AD322C"/>
    <w:rsid w:val="00AD33B2"/>
    <w:rsid w:val="00AD3456"/>
    <w:rsid w:val="00AD394C"/>
    <w:rsid w:val="00AD3FD9"/>
    <w:rsid w:val="00AD46C5"/>
    <w:rsid w:val="00AD46F4"/>
    <w:rsid w:val="00AD4B5D"/>
    <w:rsid w:val="00AD4BCA"/>
    <w:rsid w:val="00AD55C8"/>
    <w:rsid w:val="00AD56AE"/>
    <w:rsid w:val="00AD5A4F"/>
    <w:rsid w:val="00AD5AF2"/>
    <w:rsid w:val="00AD5F93"/>
    <w:rsid w:val="00AD6380"/>
    <w:rsid w:val="00AD6AED"/>
    <w:rsid w:val="00AD6C00"/>
    <w:rsid w:val="00AD6E11"/>
    <w:rsid w:val="00AD72C4"/>
    <w:rsid w:val="00AD7B5C"/>
    <w:rsid w:val="00AD7C35"/>
    <w:rsid w:val="00AE0368"/>
    <w:rsid w:val="00AE093C"/>
    <w:rsid w:val="00AE0A72"/>
    <w:rsid w:val="00AE1014"/>
    <w:rsid w:val="00AE1039"/>
    <w:rsid w:val="00AE12B3"/>
    <w:rsid w:val="00AE1D48"/>
    <w:rsid w:val="00AE23C9"/>
    <w:rsid w:val="00AE23F0"/>
    <w:rsid w:val="00AE29AE"/>
    <w:rsid w:val="00AE2DA0"/>
    <w:rsid w:val="00AE3BE2"/>
    <w:rsid w:val="00AE3CCF"/>
    <w:rsid w:val="00AE3CE9"/>
    <w:rsid w:val="00AE3D61"/>
    <w:rsid w:val="00AE3E1B"/>
    <w:rsid w:val="00AE40D6"/>
    <w:rsid w:val="00AE418C"/>
    <w:rsid w:val="00AE4207"/>
    <w:rsid w:val="00AE49C9"/>
    <w:rsid w:val="00AE49FD"/>
    <w:rsid w:val="00AE4E1F"/>
    <w:rsid w:val="00AE5004"/>
    <w:rsid w:val="00AE50B2"/>
    <w:rsid w:val="00AE55CE"/>
    <w:rsid w:val="00AE56D5"/>
    <w:rsid w:val="00AE5FD7"/>
    <w:rsid w:val="00AE64DA"/>
    <w:rsid w:val="00AE656A"/>
    <w:rsid w:val="00AE67CD"/>
    <w:rsid w:val="00AE68F8"/>
    <w:rsid w:val="00AE6EF2"/>
    <w:rsid w:val="00AE7348"/>
    <w:rsid w:val="00AE751F"/>
    <w:rsid w:val="00AE7683"/>
    <w:rsid w:val="00AE7BCB"/>
    <w:rsid w:val="00AF0191"/>
    <w:rsid w:val="00AF03D5"/>
    <w:rsid w:val="00AF05F4"/>
    <w:rsid w:val="00AF0CFB"/>
    <w:rsid w:val="00AF0DE2"/>
    <w:rsid w:val="00AF1714"/>
    <w:rsid w:val="00AF18D4"/>
    <w:rsid w:val="00AF1B23"/>
    <w:rsid w:val="00AF274B"/>
    <w:rsid w:val="00AF2A27"/>
    <w:rsid w:val="00AF31AF"/>
    <w:rsid w:val="00AF3577"/>
    <w:rsid w:val="00AF3BD5"/>
    <w:rsid w:val="00AF3EF6"/>
    <w:rsid w:val="00AF4206"/>
    <w:rsid w:val="00AF435D"/>
    <w:rsid w:val="00AF4912"/>
    <w:rsid w:val="00AF4AD4"/>
    <w:rsid w:val="00AF52F5"/>
    <w:rsid w:val="00AF53F3"/>
    <w:rsid w:val="00AF56AC"/>
    <w:rsid w:val="00AF579E"/>
    <w:rsid w:val="00AF5815"/>
    <w:rsid w:val="00AF6590"/>
    <w:rsid w:val="00AF6689"/>
    <w:rsid w:val="00AF6E64"/>
    <w:rsid w:val="00AF7065"/>
    <w:rsid w:val="00B000EB"/>
    <w:rsid w:val="00B004DC"/>
    <w:rsid w:val="00B00A67"/>
    <w:rsid w:val="00B00BEB"/>
    <w:rsid w:val="00B00F31"/>
    <w:rsid w:val="00B010A1"/>
    <w:rsid w:val="00B01701"/>
    <w:rsid w:val="00B0177C"/>
    <w:rsid w:val="00B01B1C"/>
    <w:rsid w:val="00B01BFF"/>
    <w:rsid w:val="00B02A15"/>
    <w:rsid w:val="00B02B57"/>
    <w:rsid w:val="00B02C0D"/>
    <w:rsid w:val="00B03558"/>
    <w:rsid w:val="00B03CB7"/>
    <w:rsid w:val="00B03DE2"/>
    <w:rsid w:val="00B03F40"/>
    <w:rsid w:val="00B0429E"/>
    <w:rsid w:val="00B045DD"/>
    <w:rsid w:val="00B04AFC"/>
    <w:rsid w:val="00B04C06"/>
    <w:rsid w:val="00B057AD"/>
    <w:rsid w:val="00B05927"/>
    <w:rsid w:val="00B05F7D"/>
    <w:rsid w:val="00B05FBC"/>
    <w:rsid w:val="00B0692D"/>
    <w:rsid w:val="00B06BD8"/>
    <w:rsid w:val="00B06C03"/>
    <w:rsid w:val="00B06CC2"/>
    <w:rsid w:val="00B06E27"/>
    <w:rsid w:val="00B07109"/>
    <w:rsid w:val="00B07647"/>
    <w:rsid w:val="00B07740"/>
    <w:rsid w:val="00B077C6"/>
    <w:rsid w:val="00B07943"/>
    <w:rsid w:val="00B07A92"/>
    <w:rsid w:val="00B10E87"/>
    <w:rsid w:val="00B1111E"/>
    <w:rsid w:val="00B11349"/>
    <w:rsid w:val="00B11490"/>
    <w:rsid w:val="00B119BB"/>
    <w:rsid w:val="00B11B7B"/>
    <w:rsid w:val="00B11C11"/>
    <w:rsid w:val="00B12158"/>
    <w:rsid w:val="00B12239"/>
    <w:rsid w:val="00B1280B"/>
    <w:rsid w:val="00B12C40"/>
    <w:rsid w:val="00B12DA0"/>
    <w:rsid w:val="00B12EE8"/>
    <w:rsid w:val="00B12FA2"/>
    <w:rsid w:val="00B130C9"/>
    <w:rsid w:val="00B134F4"/>
    <w:rsid w:val="00B13625"/>
    <w:rsid w:val="00B13CCB"/>
    <w:rsid w:val="00B13FA0"/>
    <w:rsid w:val="00B14116"/>
    <w:rsid w:val="00B14275"/>
    <w:rsid w:val="00B14306"/>
    <w:rsid w:val="00B147D7"/>
    <w:rsid w:val="00B14C8C"/>
    <w:rsid w:val="00B14CDD"/>
    <w:rsid w:val="00B14E6A"/>
    <w:rsid w:val="00B15491"/>
    <w:rsid w:val="00B15A9E"/>
    <w:rsid w:val="00B15C5B"/>
    <w:rsid w:val="00B15E23"/>
    <w:rsid w:val="00B15F22"/>
    <w:rsid w:val="00B1631D"/>
    <w:rsid w:val="00B163AD"/>
    <w:rsid w:val="00B1673B"/>
    <w:rsid w:val="00B1673C"/>
    <w:rsid w:val="00B17655"/>
    <w:rsid w:val="00B177EA"/>
    <w:rsid w:val="00B17AD1"/>
    <w:rsid w:val="00B17C5D"/>
    <w:rsid w:val="00B2029B"/>
    <w:rsid w:val="00B20973"/>
    <w:rsid w:val="00B20A0C"/>
    <w:rsid w:val="00B20C32"/>
    <w:rsid w:val="00B2187B"/>
    <w:rsid w:val="00B22240"/>
    <w:rsid w:val="00B22464"/>
    <w:rsid w:val="00B22793"/>
    <w:rsid w:val="00B22965"/>
    <w:rsid w:val="00B22FA5"/>
    <w:rsid w:val="00B23535"/>
    <w:rsid w:val="00B23BBE"/>
    <w:rsid w:val="00B241F4"/>
    <w:rsid w:val="00B244C7"/>
    <w:rsid w:val="00B244E1"/>
    <w:rsid w:val="00B24510"/>
    <w:rsid w:val="00B249FA"/>
    <w:rsid w:val="00B24A32"/>
    <w:rsid w:val="00B24AC7"/>
    <w:rsid w:val="00B24B82"/>
    <w:rsid w:val="00B24BAF"/>
    <w:rsid w:val="00B24C97"/>
    <w:rsid w:val="00B24FA6"/>
    <w:rsid w:val="00B251DE"/>
    <w:rsid w:val="00B2520D"/>
    <w:rsid w:val="00B252F6"/>
    <w:rsid w:val="00B25377"/>
    <w:rsid w:val="00B255C4"/>
    <w:rsid w:val="00B2572A"/>
    <w:rsid w:val="00B262B8"/>
    <w:rsid w:val="00B26413"/>
    <w:rsid w:val="00B26909"/>
    <w:rsid w:val="00B26B7C"/>
    <w:rsid w:val="00B27907"/>
    <w:rsid w:val="00B27B50"/>
    <w:rsid w:val="00B302A3"/>
    <w:rsid w:val="00B30852"/>
    <w:rsid w:val="00B30F77"/>
    <w:rsid w:val="00B31116"/>
    <w:rsid w:val="00B31174"/>
    <w:rsid w:val="00B31426"/>
    <w:rsid w:val="00B314DF"/>
    <w:rsid w:val="00B314F1"/>
    <w:rsid w:val="00B3162B"/>
    <w:rsid w:val="00B3197B"/>
    <w:rsid w:val="00B32233"/>
    <w:rsid w:val="00B3254D"/>
    <w:rsid w:val="00B32E1D"/>
    <w:rsid w:val="00B32F9A"/>
    <w:rsid w:val="00B330CA"/>
    <w:rsid w:val="00B333BA"/>
    <w:rsid w:val="00B33568"/>
    <w:rsid w:val="00B34A58"/>
    <w:rsid w:val="00B34BB7"/>
    <w:rsid w:val="00B34CBD"/>
    <w:rsid w:val="00B35435"/>
    <w:rsid w:val="00B35462"/>
    <w:rsid w:val="00B35733"/>
    <w:rsid w:val="00B357F8"/>
    <w:rsid w:val="00B35A3B"/>
    <w:rsid w:val="00B35DC6"/>
    <w:rsid w:val="00B36405"/>
    <w:rsid w:val="00B36801"/>
    <w:rsid w:val="00B3704B"/>
    <w:rsid w:val="00B37BD5"/>
    <w:rsid w:val="00B37D50"/>
    <w:rsid w:val="00B37EAC"/>
    <w:rsid w:val="00B406CD"/>
    <w:rsid w:val="00B408D1"/>
    <w:rsid w:val="00B408EC"/>
    <w:rsid w:val="00B40E5B"/>
    <w:rsid w:val="00B41429"/>
    <w:rsid w:val="00B4151F"/>
    <w:rsid w:val="00B41AF2"/>
    <w:rsid w:val="00B41F23"/>
    <w:rsid w:val="00B426C5"/>
    <w:rsid w:val="00B42A94"/>
    <w:rsid w:val="00B42EE0"/>
    <w:rsid w:val="00B43051"/>
    <w:rsid w:val="00B43153"/>
    <w:rsid w:val="00B43743"/>
    <w:rsid w:val="00B437F5"/>
    <w:rsid w:val="00B43F23"/>
    <w:rsid w:val="00B4417D"/>
    <w:rsid w:val="00B44615"/>
    <w:rsid w:val="00B44774"/>
    <w:rsid w:val="00B453D6"/>
    <w:rsid w:val="00B4556F"/>
    <w:rsid w:val="00B455D1"/>
    <w:rsid w:val="00B45EF0"/>
    <w:rsid w:val="00B46107"/>
    <w:rsid w:val="00B46A6B"/>
    <w:rsid w:val="00B46F87"/>
    <w:rsid w:val="00B47B50"/>
    <w:rsid w:val="00B47E39"/>
    <w:rsid w:val="00B504CB"/>
    <w:rsid w:val="00B50639"/>
    <w:rsid w:val="00B50D76"/>
    <w:rsid w:val="00B5188E"/>
    <w:rsid w:val="00B51D2C"/>
    <w:rsid w:val="00B52189"/>
    <w:rsid w:val="00B52C5B"/>
    <w:rsid w:val="00B52ED5"/>
    <w:rsid w:val="00B53109"/>
    <w:rsid w:val="00B53621"/>
    <w:rsid w:val="00B5371E"/>
    <w:rsid w:val="00B539BD"/>
    <w:rsid w:val="00B53E56"/>
    <w:rsid w:val="00B5400C"/>
    <w:rsid w:val="00B54101"/>
    <w:rsid w:val="00B54F37"/>
    <w:rsid w:val="00B55106"/>
    <w:rsid w:val="00B55277"/>
    <w:rsid w:val="00B5527C"/>
    <w:rsid w:val="00B557FF"/>
    <w:rsid w:val="00B56076"/>
    <w:rsid w:val="00B56096"/>
    <w:rsid w:val="00B56805"/>
    <w:rsid w:val="00B56BA4"/>
    <w:rsid w:val="00B56ECF"/>
    <w:rsid w:val="00B572C9"/>
    <w:rsid w:val="00B57335"/>
    <w:rsid w:val="00B57388"/>
    <w:rsid w:val="00B5763D"/>
    <w:rsid w:val="00B57CF8"/>
    <w:rsid w:val="00B57F82"/>
    <w:rsid w:val="00B60110"/>
    <w:rsid w:val="00B6015F"/>
    <w:rsid w:val="00B60279"/>
    <w:rsid w:val="00B60EB3"/>
    <w:rsid w:val="00B60F98"/>
    <w:rsid w:val="00B6109E"/>
    <w:rsid w:val="00B61538"/>
    <w:rsid w:val="00B6155E"/>
    <w:rsid w:val="00B61D50"/>
    <w:rsid w:val="00B61E5C"/>
    <w:rsid w:val="00B62025"/>
    <w:rsid w:val="00B62108"/>
    <w:rsid w:val="00B632A0"/>
    <w:rsid w:val="00B6345B"/>
    <w:rsid w:val="00B6379C"/>
    <w:rsid w:val="00B639F2"/>
    <w:rsid w:val="00B644F2"/>
    <w:rsid w:val="00B64AF4"/>
    <w:rsid w:val="00B6504C"/>
    <w:rsid w:val="00B655DF"/>
    <w:rsid w:val="00B6573E"/>
    <w:rsid w:val="00B659C2"/>
    <w:rsid w:val="00B65C64"/>
    <w:rsid w:val="00B662BF"/>
    <w:rsid w:val="00B666CE"/>
    <w:rsid w:val="00B66738"/>
    <w:rsid w:val="00B668B5"/>
    <w:rsid w:val="00B66B91"/>
    <w:rsid w:val="00B66E14"/>
    <w:rsid w:val="00B66ED6"/>
    <w:rsid w:val="00B6701F"/>
    <w:rsid w:val="00B67025"/>
    <w:rsid w:val="00B6739A"/>
    <w:rsid w:val="00B674F9"/>
    <w:rsid w:val="00B67B54"/>
    <w:rsid w:val="00B67BCF"/>
    <w:rsid w:val="00B705DC"/>
    <w:rsid w:val="00B708BD"/>
    <w:rsid w:val="00B70EBC"/>
    <w:rsid w:val="00B71147"/>
    <w:rsid w:val="00B7129C"/>
    <w:rsid w:val="00B71411"/>
    <w:rsid w:val="00B717EC"/>
    <w:rsid w:val="00B7188C"/>
    <w:rsid w:val="00B71A7B"/>
    <w:rsid w:val="00B71F6A"/>
    <w:rsid w:val="00B725C7"/>
    <w:rsid w:val="00B7284D"/>
    <w:rsid w:val="00B72C1B"/>
    <w:rsid w:val="00B72F31"/>
    <w:rsid w:val="00B7338F"/>
    <w:rsid w:val="00B737BE"/>
    <w:rsid w:val="00B74430"/>
    <w:rsid w:val="00B746E2"/>
    <w:rsid w:val="00B749C8"/>
    <w:rsid w:val="00B74C65"/>
    <w:rsid w:val="00B74EBA"/>
    <w:rsid w:val="00B75030"/>
    <w:rsid w:val="00B7559A"/>
    <w:rsid w:val="00B755A1"/>
    <w:rsid w:val="00B75D8C"/>
    <w:rsid w:val="00B75FD0"/>
    <w:rsid w:val="00B76399"/>
    <w:rsid w:val="00B76572"/>
    <w:rsid w:val="00B7672D"/>
    <w:rsid w:val="00B76AAB"/>
    <w:rsid w:val="00B7740A"/>
    <w:rsid w:val="00B77753"/>
    <w:rsid w:val="00B779EC"/>
    <w:rsid w:val="00B77DAD"/>
    <w:rsid w:val="00B77E3A"/>
    <w:rsid w:val="00B804FD"/>
    <w:rsid w:val="00B808DC"/>
    <w:rsid w:val="00B80B20"/>
    <w:rsid w:val="00B814EF"/>
    <w:rsid w:val="00B81675"/>
    <w:rsid w:val="00B81708"/>
    <w:rsid w:val="00B81D11"/>
    <w:rsid w:val="00B81D2D"/>
    <w:rsid w:val="00B82046"/>
    <w:rsid w:val="00B8212C"/>
    <w:rsid w:val="00B82160"/>
    <w:rsid w:val="00B82918"/>
    <w:rsid w:val="00B829DB"/>
    <w:rsid w:val="00B82A06"/>
    <w:rsid w:val="00B82C69"/>
    <w:rsid w:val="00B82DC7"/>
    <w:rsid w:val="00B82E08"/>
    <w:rsid w:val="00B83315"/>
    <w:rsid w:val="00B83569"/>
    <w:rsid w:val="00B839CC"/>
    <w:rsid w:val="00B83F69"/>
    <w:rsid w:val="00B8426A"/>
    <w:rsid w:val="00B8438F"/>
    <w:rsid w:val="00B84811"/>
    <w:rsid w:val="00B848E5"/>
    <w:rsid w:val="00B84946"/>
    <w:rsid w:val="00B84DDB"/>
    <w:rsid w:val="00B84EF3"/>
    <w:rsid w:val="00B85331"/>
    <w:rsid w:val="00B85BB9"/>
    <w:rsid w:val="00B860C7"/>
    <w:rsid w:val="00B8667A"/>
    <w:rsid w:val="00B868C4"/>
    <w:rsid w:val="00B86B63"/>
    <w:rsid w:val="00B86FAE"/>
    <w:rsid w:val="00B87134"/>
    <w:rsid w:val="00B8789D"/>
    <w:rsid w:val="00B879FB"/>
    <w:rsid w:val="00B87B47"/>
    <w:rsid w:val="00B9067C"/>
    <w:rsid w:val="00B90701"/>
    <w:rsid w:val="00B9083A"/>
    <w:rsid w:val="00B90B92"/>
    <w:rsid w:val="00B90DE6"/>
    <w:rsid w:val="00B914B3"/>
    <w:rsid w:val="00B91D7E"/>
    <w:rsid w:val="00B91E24"/>
    <w:rsid w:val="00B92126"/>
    <w:rsid w:val="00B92911"/>
    <w:rsid w:val="00B92983"/>
    <w:rsid w:val="00B9305C"/>
    <w:rsid w:val="00B93450"/>
    <w:rsid w:val="00B935F5"/>
    <w:rsid w:val="00B93A3E"/>
    <w:rsid w:val="00B93B15"/>
    <w:rsid w:val="00B93BB0"/>
    <w:rsid w:val="00B93C60"/>
    <w:rsid w:val="00B93D23"/>
    <w:rsid w:val="00B93DE6"/>
    <w:rsid w:val="00B9427F"/>
    <w:rsid w:val="00B94965"/>
    <w:rsid w:val="00B94EF7"/>
    <w:rsid w:val="00B95893"/>
    <w:rsid w:val="00B95ABB"/>
    <w:rsid w:val="00B95B03"/>
    <w:rsid w:val="00B95BC5"/>
    <w:rsid w:val="00B95F8E"/>
    <w:rsid w:val="00B9670A"/>
    <w:rsid w:val="00B96CF7"/>
    <w:rsid w:val="00B96D96"/>
    <w:rsid w:val="00B96E44"/>
    <w:rsid w:val="00B96EC9"/>
    <w:rsid w:val="00B970D5"/>
    <w:rsid w:val="00B97195"/>
    <w:rsid w:val="00B976CA"/>
    <w:rsid w:val="00B97F4D"/>
    <w:rsid w:val="00BA044D"/>
    <w:rsid w:val="00BA067B"/>
    <w:rsid w:val="00BA0938"/>
    <w:rsid w:val="00BA17ED"/>
    <w:rsid w:val="00BA18D2"/>
    <w:rsid w:val="00BA1DD1"/>
    <w:rsid w:val="00BA1EF5"/>
    <w:rsid w:val="00BA1F3C"/>
    <w:rsid w:val="00BA2298"/>
    <w:rsid w:val="00BA238F"/>
    <w:rsid w:val="00BA26B7"/>
    <w:rsid w:val="00BA276E"/>
    <w:rsid w:val="00BA30AD"/>
    <w:rsid w:val="00BA3573"/>
    <w:rsid w:val="00BA3A5F"/>
    <w:rsid w:val="00BA3DE0"/>
    <w:rsid w:val="00BA4444"/>
    <w:rsid w:val="00BA45EE"/>
    <w:rsid w:val="00BA4759"/>
    <w:rsid w:val="00BA47C6"/>
    <w:rsid w:val="00BA4ABC"/>
    <w:rsid w:val="00BA5063"/>
    <w:rsid w:val="00BA5440"/>
    <w:rsid w:val="00BA5822"/>
    <w:rsid w:val="00BA587B"/>
    <w:rsid w:val="00BA5BC3"/>
    <w:rsid w:val="00BA5F91"/>
    <w:rsid w:val="00BA6182"/>
    <w:rsid w:val="00BA69A2"/>
    <w:rsid w:val="00BA6AD4"/>
    <w:rsid w:val="00BA6AF6"/>
    <w:rsid w:val="00BA6F50"/>
    <w:rsid w:val="00BA7353"/>
    <w:rsid w:val="00BA7698"/>
    <w:rsid w:val="00BA7846"/>
    <w:rsid w:val="00BA7BD4"/>
    <w:rsid w:val="00BA7F7F"/>
    <w:rsid w:val="00BB0B48"/>
    <w:rsid w:val="00BB0DCC"/>
    <w:rsid w:val="00BB13E5"/>
    <w:rsid w:val="00BB1548"/>
    <w:rsid w:val="00BB181E"/>
    <w:rsid w:val="00BB2440"/>
    <w:rsid w:val="00BB244A"/>
    <w:rsid w:val="00BB281B"/>
    <w:rsid w:val="00BB2AD6"/>
    <w:rsid w:val="00BB2DFE"/>
    <w:rsid w:val="00BB31D6"/>
    <w:rsid w:val="00BB36DE"/>
    <w:rsid w:val="00BB38AB"/>
    <w:rsid w:val="00BB38BF"/>
    <w:rsid w:val="00BB3A78"/>
    <w:rsid w:val="00BB3AE9"/>
    <w:rsid w:val="00BB3BBD"/>
    <w:rsid w:val="00BB3D1E"/>
    <w:rsid w:val="00BB3D46"/>
    <w:rsid w:val="00BB432F"/>
    <w:rsid w:val="00BB447C"/>
    <w:rsid w:val="00BB4B65"/>
    <w:rsid w:val="00BB5285"/>
    <w:rsid w:val="00BB52C4"/>
    <w:rsid w:val="00BB5AA3"/>
    <w:rsid w:val="00BB5B78"/>
    <w:rsid w:val="00BB5E1D"/>
    <w:rsid w:val="00BB5EB9"/>
    <w:rsid w:val="00BB63AA"/>
    <w:rsid w:val="00BB6DC2"/>
    <w:rsid w:val="00BB70CF"/>
    <w:rsid w:val="00BB7607"/>
    <w:rsid w:val="00BB7833"/>
    <w:rsid w:val="00BB7902"/>
    <w:rsid w:val="00BB7DF1"/>
    <w:rsid w:val="00BB7F64"/>
    <w:rsid w:val="00BC0142"/>
    <w:rsid w:val="00BC0616"/>
    <w:rsid w:val="00BC080E"/>
    <w:rsid w:val="00BC0EED"/>
    <w:rsid w:val="00BC1815"/>
    <w:rsid w:val="00BC1A10"/>
    <w:rsid w:val="00BC1CEC"/>
    <w:rsid w:val="00BC1D35"/>
    <w:rsid w:val="00BC2257"/>
    <w:rsid w:val="00BC25DD"/>
    <w:rsid w:val="00BC2617"/>
    <w:rsid w:val="00BC2A6E"/>
    <w:rsid w:val="00BC34C9"/>
    <w:rsid w:val="00BC3B46"/>
    <w:rsid w:val="00BC3CFC"/>
    <w:rsid w:val="00BC3D0E"/>
    <w:rsid w:val="00BC4247"/>
    <w:rsid w:val="00BC4275"/>
    <w:rsid w:val="00BC43CB"/>
    <w:rsid w:val="00BC4906"/>
    <w:rsid w:val="00BC4A81"/>
    <w:rsid w:val="00BC4ACE"/>
    <w:rsid w:val="00BC522D"/>
    <w:rsid w:val="00BC570B"/>
    <w:rsid w:val="00BC5942"/>
    <w:rsid w:val="00BC5D0D"/>
    <w:rsid w:val="00BC5E49"/>
    <w:rsid w:val="00BC608F"/>
    <w:rsid w:val="00BC61AA"/>
    <w:rsid w:val="00BC6D1B"/>
    <w:rsid w:val="00BC7157"/>
    <w:rsid w:val="00BC7255"/>
    <w:rsid w:val="00BC73AA"/>
    <w:rsid w:val="00BC7D81"/>
    <w:rsid w:val="00BC7F03"/>
    <w:rsid w:val="00BD0180"/>
    <w:rsid w:val="00BD025E"/>
    <w:rsid w:val="00BD026D"/>
    <w:rsid w:val="00BD05A2"/>
    <w:rsid w:val="00BD0D55"/>
    <w:rsid w:val="00BD0E1D"/>
    <w:rsid w:val="00BD0F11"/>
    <w:rsid w:val="00BD139F"/>
    <w:rsid w:val="00BD1C4C"/>
    <w:rsid w:val="00BD1C80"/>
    <w:rsid w:val="00BD2A74"/>
    <w:rsid w:val="00BD2A8A"/>
    <w:rsid w:val="00BD2BC3"/>
    <w:rsid w:val="00BD2C03"/>
    <w:rsid w:val="00BD3142"/>
    <w:rsid w:val="00BD34D9"/>
    <w:rsid w:val="00BD3CE0"/>
    <w:rsid w:val="00BD3DE5"/>
    <w:rsid w:val="00BD47DF"/>
    <w:rsid w:val="00BD54B8"/>
    <w:rsid w:val="00BD5574"/>
    <w:rsid w:val="00BD5B3F"/>
    <w:rsid w:val="00BD5FFF"/>
    <w:rsid w:val="00BD6115"/>
    <w:rsid w:val="00BD6311"/>
    <w:rsid w:val="00BD63BB"/>
    <w:rsid w:val="00BD643B"/>
    <w:rsid w:val="00BD6843"/>
    <w:rsid w:val="00BD7232"/>
    <w:rsid w:val="00BD7289"/>
    <w:rsid w:val="00BD73C2"/>
    <w:rsid w:val="00BD75DE"/>
    <w:rsid w:val="00BD7614"/>
    <w:rsid w:val="00BD7A9D"/>
    <w:rsid w:val="00BD7D53"/>
    <w:rsid w:val="00BD7F3A"/>
    <w:rsid w:val="00BE065E"/>
    <w:rsid w:val="00BE0730"/>
    <w:rsid w:val="00BE0B1B"/>
    <w:rsid w:val="00BE0DE7"/>
    <w:rsid w:val="00BE0EAA"/>
    <w:rsid w:val="00BE13E2"/>
    <w:rsid w:val="00BE14B1"/>
    <w:rsid w:val="00BE1CC7"/>
    <w:rsid w:val="00BE1DF5"/>
    <w:rsid w:val="00BE1F22"/>
    <w:rsid w:val="00BE1FF2"/>
    <w:rsid w:val="00BE2255"/>
    <w:rsid w:val="00BE22EB"/>
    <w:rsid w:val="00BE245B"/>
    <w:rsid w:val="00BE2B76"/>
    <w:rsid w:val="00BE3153"/>
    <w:rsid w:val="00BE3572"/>
    <w:rsid w:val="00BE3798"/>
    <w:rsid w:val="00BE397E"/>
    <w:rsid w:val="00BE39EA"/>
    <w:rsid w:val="00BE3DD4"/>
    <w:rsid w:val="00BE4392"/>
    <w:rsid w:val="00BE489D"/>
    <w:rsid w:val="00BE4A2D"/>
    <w:rsid w:val="00BE4AAB"/>
    <w:rsid w:val="00BE4B7E"/>
    <w:rsid w:val="00BE4BC7"/>
    <w:rsid w:val="00BE4C0E"/>
    <w:rsid w:val="00BE5078"/>
    <w:rsid w:val="00BE511F"/>
    <w:rsid w:val="00BE5437"/>
    <w:rsid w:val="00BE563B"/>
    <w:rsid w:val="00BE5D35"/>
    <w:rsid w:val="00BE5EE0"/>
    <w:rsid w:val="00BE6310"/>
    <w:rsid w:val="00BE6328"/>
    <w:rsid w:val="00BE66C6"/>
    <w:rsid w:val="00BE68F4"/>
    <w:rsid w:val="00BE6CC9"/>
    <w:rsid w:val="00BE7079"/>
    <w:rsid w:val="00BE7376"/>
    <w:rsid w:val="00BE7578"/>
    <w:rsid w:val="00BE7625"/>
    <w:rsid w:val="00BE7CE4"/>
    <w:rsid w:val="00BE7D48"/>
    <w:rsid w:val="00BE7DF5"/>
    <w:rsid w:val="00BE7F33"/>
    <w:rsid w:val="00BF0067"/>
    <w:rsid w:val="00BF0096"/>
    <w:rsid w:val="00BF0ACA"/>
    <w:rsid w:val="00BF0D02"/>
    <w:rsid w:val="00BF0FC2"/>
    <w:rsid w:val="00BF107C"/>
    <w:rsid w:val="00BF1392"/>
    <w:rsid w:val="00BF17D1"/>
    <w:rsid w:val="00BF18A0"/>
    <w:rsid w:val="00BF2221"/>
    <w:rsid w:val="00BF22BB"/>
    <w:rsid w:val="00BF3706"/>
    <w:rsid w:val="00BF3974"/>
    <w:rsid w:val="00BF475B"/>
    <w:rsid w:val="00BF5885"/>
    <w:rsid w:val="00BF6272"/>
    <w:rsid w:val="00BF66CB"/>
    <w:rsid w:val="00BF7601"/>
    <w:rsid w:val="00BF777E"/>
    <w:rsid w:val="00BF7845"/>
    <w:rsid w:val="00BF7848"/>
    <w:rsid w:val="00BF7D49"/>
    <w:rsid w:val="00BF7F41"/>
    <w:rsid w:val="00C00784"/>
    <w:rsid w:val="00C008FF"/>
    <w:rsid w:val="00C00A62"/>
    <w:rsid w:val="00C00C2A"/>
    <w:rsid w:val="00C00D43"/>
    <w:rsid w:val="00C017D1"/>
    <w:rsid w:val="00C0184A"/>
    <w:rsid w:val="00C0185B"/>
    <w:rsid w:val="00C01951"/>
    <w:rsid w:val="00C01B56"/>
    <w:rsid w:val="00C02044"/>
    <w:rsid w:val="00C02074"/>
    <w:rsid w:val="00C02D95"/>
    <w:rsid w:val="00C02DF1"/>
    <w:rsid w:val="00C04963"/>
    <w:rsid w:val="00C04CE7"/>
    <w:rsid w:val="00C052B5"/>
    <w:rsid w:val="00C0544C"/>
    <w:rsid w:val="00C0547A"/>
    <w:rsid w:val="00C05E80"/>
    <w:rsid w:val="00C062D8"/>
    <w:rsid w:val="00C0650E"/>
    <w:rsid w:val="00C067D7"/>
    <w:rsid w:val="00C06DE4"/>
    <w:rsid w:val="00C07026"/>
    <w:rsid w:val="00C077CE"/>
    <w:rsid w:val="00C07B59"/>
    <w:rsid w:val="00C101BF"/>
    <w:rsid w:val="00C108CD"/>
    <w:rsid w:val="00C1099E"/>
    <w:rsid w:val="00C10A07"/>
    <w:rsid w:val="00C10B69"/>
    <w:rsid w:val="00C10C4E"/>
    <w:rsid w:val="00C10DA5"/>
    <w:rsid w:val="00C1100D"/>
    <w:rsid w:val="00C113E8"/>
    <w:rsid w:val="00C1199A"/>
    <w:rsid w:val="00C11ABE"/>
    <w:rsid w:val="00C11BF7"/>
    <w:rsid w:val="00C11FD7"/>
    <w:rsid w:val="00C120E8"/>
    <w:rsid w:val="00C1238F"/>
    <w:rsid w:val="00C123D7"/>
    <w:rsid w:val="00C12686"/>
    <w:rsid w:val="00C12B21"/>
    <w:rsid w:val="00C12F63"/>
    <w:rsid w:val="00C12FE6"/>
    <w:rsid w:val="00C1326F"/>
    <w:rsid w:val="00C1329B"/>
    <w:rsid w:val="00C13778"/>
    <w:rsid w:val="00C138DC"/>
    <w:rsid w:val="00C13B83"/>
    <w:rsid w:val="00C1438C"/>
    <w:rsid w:val="00C14ADF"/>
    <w:rsid w:val="00C14C59"/>
    <w:rsid w:val="00C14C5E"/>
    <w:rsid w:val="00C14E3D"/>
    <w:rsid w:val="00C14F6F"/>
    <w:rsid w:val="00C15E74"/>
    <w:rsid w:val="00C160A8"/>
    <w:rsid w:val="00C164E1"/>
    <w:rsid w:val="00C17AAB"/>
    <w:rsid w:val="00C17DD2"/>
    <w:rsid w:val="00C17EDD"/>
    <w:rsid w:val="00C2044D"/>
    <w:rsid w:val="00C2089C"/>
    <w:rsid w:val="00C209A3"/>
    <w:rsid w:val="00C20B83"/>
    <w:rsid w:val="00C211BE"/>
    <w:rsid w:val="00C218B4"/>
    <w:rsid w:val="00C21A58"/>
    <w:rsid w:val="00C21FD7"/>
    <w:rsid w:val="00C222B7"/>
    <w:rsid w:val="00C2258C"/>
    <w:rsid w:val="00C227E8"/>
    <w:rsid w:val="00C228A6"/>
    <w:rsid w:val="00C22EA9"/>
    <w:rsid w:val="00C22FA3"/>
    <w:rsid w:val="00C231F6"/>
    <w:rsid w:val="00C233E7"/>
    <w:rsid w:val="00C234A8"/>
    <w:rsid w:val="00C23737"/>
    <w:rsid w:val="00C23935"/>
    <w:rsid w:val="00C23965"/>
    <w:rsid w:val="00C23D81"/>
    <w:rsid w:val="00C23E00"/>
    <w:rsid w:val="00C23E14"/>
    <w:rsid w:val="00C23FBE"/>
    <w:rsid w:val="00C24824"/>
    <w:rsid w:val="00C249DE"/>
    <w:rsid w:val="00C24AD7"/>
    <w:rsid w:val="00C24DFD"/>
    <w:rsid w:val="00C24F71"/>
    <w:rsid w:val="00C25238"/>
    <w:rsid w:val="00C256A0"/>
    <w:rsid w:val="00C2614F"/>
    <w:rsid w:val="00C261D6"/>
    <w:rsid w:val="00C26653"/>
    <w:rsid w:val="00C2695E"/>
    <w:rsid w:val="00C2698D"/>
    <w:rsid w:val="00C26C0D"/>
    <w:rsid w:val="00C27014"/>
    <w:rsid w:val="00C27333"/>
    <w:rsid w:val="00C27942"/>
    <w:rsid w:val="00C27D62"/>
    <w:rsid w:val="00C27DE1"/>
    <w:rsid w:val="00C27E7E"/>
    <w:rsid w:val="00C27F4F"/>
    <w:rsid w:val="00C30822"/>
    <w:rsid w:val="00C317D0"/>
    <w:rsid w:val="00C31C43"/>
    <w:rsid w:val="00C32248"/>
    <w:rsid w:val="00C323D2"/>
    <w:rsid w:val="00C324A6"/>
    <w:rsid w:val="00C327B1"/>
    <w:rsid w:val="00C32ACB"/>
    <w:rsid w:val="00C32F73"/>
    <w:rsid w:val="00C331EE"/>
    <w:rsid w:val="00C33DD8"/>
    <w:rsid w:val="00C33F25"/>
    <w:rsid w:val="00C34095"/>
    <w:rsid w:val="00C347D0"/>
    <w:rsid w:val="00C349FE"/>
    <w:rsid w:val="00C34F58"/>
    <w:rsid w:val="00C34FE2"/>
    <w:rsid w:val="00C3516C"/>
    <w:rsid w:val="00C353BB"/>
    <w:rsid w:val="00C353F7"/>
    <w:rsid w:val="00C354CE"/>
    <w:rsid w:val="00C35BBE"/>
    <w:rsid w:val="00C35DAB"/>
    <w:rsid w:val="00C35E21"/>
    <w:rsid w:val="00C37194"/>
    <w:rsid w:val="00C37268"/>
    <w:rsid w:val="00C37B45"/>
    <w:rsid w:val="00C40263"/>
    <w:rsid w:val="00C41377"/>
    <w:rsid w:val="00C42200"/>
    <w:rsid w:val="00C4260F"/>
    <w:rsid w:val="00C42A20"/>
    <w:rsid w:val="00C43998"/>
    <w:rsid w:val="00C43ED1"/>
    <w:rsid w:val="00C4434D"/>
    <w:rsid w:val="00C450B9"/>
    <w:rsid w:val="00C45122"/>
    <w:rsid w:val="00C45198"/>
    <w:rsid w:val="00C451D8"/>
    <w:rsid w:val="00C45A50"/>
    <w:rsid w:val="00C45F7F"/>
    <w:rsid w:val="00C4601E"/>
    <w:rsid w:val="00C4639A"/>
    <w:rsid w:val="00C46456"/>
    <w:rsid w:val="00C465B1"/>
    <w:rsid w:val="00C465BA"/>
    <w:rsid w:val="00C46B92"/>
    <w:rsid w:val="00C46D80"/>
    <w:rsid w:val="00C47BD5"/>
    <w:rsid w:val="00C47D67"/>
    <w:rsid w:val="00C47EF8"/>
    <w:rsid w:val="00C500C8"/>
    <w:rsid w:val="00C50554"/>
    <w:rsid w:val="00C50853"/>
    <w:rsid w:val="00C50B4B"/>
    <w:rsid w:val="00C50DA6"/>
    <w:rsid w:val="00C50F7C"/>
    <w:rsid w:val="00C51572"/>
    <w:rsid w:val="00C515C0"/>
    <w:rsid w:val="00C51EC1"/>
    <w:rsid w:val="00C521F5"/>
    <w:rsid w:val="00C5235A"/>
    <w:rsid w:val="00C52518"/>
    <w:rsid w:val="00C527AE"/>
    <w:rsid w:val="00C52A73"/>
    <w:rsid w:val="00C5318B"/>
    <w:rsid w:val="00C53530"/>
    <w:rsid w:val="00C535C1"/>
    <w:rsid w:val="00C539FE"/>
    <w:rsid w:val="00C53C2D"/>
    <w:rsid w:val="00C53E05"/>
    <w:rsid w:val="00C542A6"/>
    <w:rsid w:val="00C544B3"/>
    <w:rsid w:val="00C547B2"/>
    <w:rsid w:val="00C5496E"/>
    <w:rsid w:val="00C54AF8"/>
    <w:rsid w:val="00C54B9D"/>
    <w:rsid w:val="00C5509D"/>
    <w:rsid w:val="00C55191"/>
    <w:rsid w:val="00C55448"/>
    <w:rsid w:val="00C5551A"/>
    <w:rsid w:val="00C558C1"/>
    <w:rsid w:val="00C5599F"/>
    <w:rsid w:val="00C55F14"/>
    <w:rsid w:val="00C55F42"/>
    <w:rsid w:val="00C55F80"/>
    <w:rsid w:val="00C5618B"/>
    <w:rsid w:val="00C56228"/>
    <w:rsid w:val="00C562A2"/>
    <w:rsid w:val="00C56407"/>
    <w:rsid w:val="00C56AB7"/>
    <w:rsid w:val="00C5791B"/>
    <w:rsid w:val="00C57934"/>
    <w:rsid w:val="00C5798C"/>
    <w:rsid w:val="00C57E68"/>
    <w:rsid w:val="00C60132"/>
    <w:rsid w:val="00C606A2"/>
    <w:rsid w:val="00C612FC"/>
    <w:rsid w:val="00C614B6"/>
    <w:rsid w:val="00C61AB9"/>
    <w:rsid w:val="00C61F98"/>
    <w:rsid w:val="00C62054"/>
    <w:rsid w:val="00C625F5"/>
    <w:rsid w:val="00C62631"/>
    <w:rsid w:val="00C628B6"/>
    <w:rsid w:val="00C62A0D"/>
    <w:rsid w:val="00C62CA0"/>
    <w:rsid w:val="00C635B1"/>
    <w:rsid w:val="00C639D0"/>
    <w:rsid w:val="00C63C71"/>
    <w:rsid w:val="00C64447"/>
    <w:rsid w:val="00C64804"/>
    <w:rsid w:val="00C64BD4"/>
    <w:rsid w:val="00C64F47"/>
    <w:rsid w:val="00C65F7F"/>
    <w:rsid w:val="00C66146"/>
    <w:rsid w:val="00C66BEE"/>
    <w:rsid w:val="00C66D42"/>
    <w:rsid w:val="00C66FBB"/>
    <w:rsid w:val="00C6700C"/>
    <w:rsid w:val="00C670FC"/>
    <w:rsid w:val="00C673D1"/>
    <w:rsid w:val="00C675ED"/>
    <w:rsid w:val="00C67750"/>
    <w:rsid w:val="00C6795B"/>
    <w:rsid w:val="00C67EA3"/>
    <w:rsid w:val="00C67FAF"/>
    <w:rsid w:val="00C70163"/>
    <w:rsid w:val="00C70B23"/>
    <w:rsid w:val="00C7102C"/>
    <w:rsid w:val="00C7131F"/>
    <w:rsid w:val="00C71915"/>
    <w:rsid w:val="00C71AE3"/>
    <w:rsid w:val="00C71DF5"/>
    <w:rsid w:val="00C72192"/>
    <w:rsid w:val="00C72489"/>
    <w:rsid w:val="00C72832"/>
    <w:rsid w:val="00C72B5B"/>
    <w:rsid w:val="00C73114"/>
    <w:rsid w:val="00C731CD"/>
    <w:rsid w:val="00C7348E"/>
    <w:rsid w:val="00C73C00"/>
    <w:rsid w:val="00C73C2F"/>
    <w:rsid w:val="00C73F3B"/>
    <w:rsid w:val="00C73F4E"/>
    <w:rsid w:val="00C73F7B"/>
    <w:rsid w:val="00C7406A"/>
    <w:rsid w:val="00C74B4F"/>
    <w:rsid w:val="00C7558E"/>
    <w:rsid w:val="00C75E05"/>
    <w:rsid w:val="00C75F25"/>
    <w:rsid w:val="00C760F8"/>
    <w:rsid w:val="00C76126"/>
    <w:rsid w:val="00C7642D"/>
    <w:rsid w:val="00C764DA"/>
    <w:rsid w:val="00C7675D"/>
    <w:rsid w:val="00C7691C"/>
    <w:rsid w:val="00C76B08"/>
    <w:rsid w:val="00C77028"/>
    <w:rsid w:val="00C771FC"/>
    <w:rsid w:val="00C77931"/>
    <w:rsid w:val="00C779D5"/>
    <w:rsid w:val="00C77D12"/>
    <w:rsid w:val="00C801F8"/>
    <w:rsid w:val="00C80474"/>
    <w:rsid w:val="00C804E8"/>
    <w:rsid w:val="00C80693"/>
    <w:rsid w:val="00C8076E"/>
    <w:rsid w:val="00C80FBA"/>
    <w:rsid w:val="00C81037"/>
    <w:rsid w:val="00C814D0"/>
    <w:rsid w:val="00C816F5"/>
    <w:rsid w:val="00C8175A"/>
    <w:rsid w:val="00C81B22"/>
    <w:rsid w:val="00C81C7F"/>
    <w:rsid w:val="00C8218F"/>
    <w:rsid w:val="00C824E9"/>
    <w:rsid w:val="00C82AD6"/>
    <w:rsid w:val="00C82B70"/>
    <w:rsid w:val="00C83810"/>
    <w:rsid w:val="00C8454C"/>
    <w:rsid w:val="00C84C5A"/>
    <w:rsid w:val="00C85182"/>
    <w:rsid w:val="00C853AF"/>
    <w:rsid w:val="00C85AB3"/>
    <w:rsid w:val="00C85ECC"/>
    <w:rsid w:val="00C85F0A"/>
    <w:rsid w:val="00C86041"/>
    <w:rsid w:val="00C8629C"/>
    <w:rsid w:val="00C86536"/>
    <w:rsid w:val="00C867C1"/>
    <w:rsid w:val="00C86922"/>
    <w:rsid w:val="00C86AF6"/>
    <w:rsid w:val="00C86BF5"/>
    <w:rsid w:val="00C86EDD"/>
    <w:rsid w:val="00C87126"/>
    <w:rsid w:val="00C87459"/>
    <w:rsid w:val="00C87701"/>
    <w:rsid w:val="00C87925"/>
    <w:rsid w:val="00C879CB"/>
    <w:rsid w:val="00C87DAB"/>
    <w:rsid w:val="00C90507"/>
    <w:rsid w:val="00C91351"/>
    <w:rsid w:val="00C913C9"/>
    <w:rsid w:val="00C91D1D"/>
    <w:rsid w:val="00C91DF8"/>
    <w:rsid w:val="00C91E1A"/>
    <w:rsid w:val="00C92973"/>
    <w:rsid w:val="00C92A1B"/>
    <w:rsid w:val="00C92D04"/>
    <w:rsid w:val="00C93000"/>
    <w:rsid w:val="00C93091"/>
    <w:rsid w:val="00C93252"/>
    <w:rsid w:val="00C938CA"/>
    <w:rsid w:val="00C93A24"/>
    <w:rsid w:val="00C93AF3"/>
    <w:rsid w:val="00C9422F"/>
    <w:rsid w:val="00C945E1"/>
    <w:rsid w:val="00C952AD"/>
    <w:rsid w:val="00C95367"/>
    <w:rsid w:val="00C958CC"/>
    <w:rsid w:val="00C95A61"/>
    <w:rsid w:val="00C95AB7"/>
    <w:rsid w:val="00C95B57"/>
    <w:rsid w:val="00C95D51"/>
    <w:rsid w:val="00C96020"/>
    <w:rsid w:val="00C971DD"/>
    <w:rsid w:val="00C97888"/>
    <w:rsid w:val="00C97915"/>
    <w:rsid w:val="00C97AA7"/>
    <w:rsid w:val="00C97B3C"/>
    <w:rsid w:val="00C97CA3"/>
    <w:rsid w:val="00C97E8A"/>
    <w:rsid w:val="00CA0B0A"/>
    <w:rsid w:val="00CA0E13"/>
    <w:rsid w:val="00CA1094"/>
    <w:rsid w:val="00CA1560"/>
    <w:rsid w:val="00CA1AD7"/>
    <w:rsid w:val="00CA1C20"/>
    <w:rsid w:val="00CA1E6E"/>
    <w:rsid w:val="00CA26D3"/>
    <w:rsid w:val="00CA2790"/>
    <w:rsid w:val="00CA2851"/>
    <w:rsid w:val="00CA37D5"/>
    <w:rsid w:val="00CA3BBA"/>
    <w:rsid w:val="00CA3DC3"/>
    <w:rsid w:val="00CA42A1"/>
    <w:rsid w:val="00CA4533"/>
    <w:rsid w:val="00CA4B0B"/>
    <w:rsid w:val="00CA4C33"/>
    <w:rsid w:val="00CA4E23"/>
    <w:rsid w:val="00CA4ECE"/>
    <w:rsid w:val="00CA4F5E"/>
    <w:rsid w:val="00CA4FD6"/>
    <w:rsid w:val="00CA5674"/>
    <w:rsid w:val="00CA58EF"/>
    <w:rsid w:val="00CA5E1F"/>
    <w:rsid w:val="00CA5E23"/>
    <w:rsid w:val="00CA60C9"/>
    <w:rsid w:val="00CA6AA8"/>
    <w:rsid w:val="00CA6BFD"/>
    <w:rsid w:val="00CA72CE"/>
    <w:rsid w:val="00CA782D"/>
    <w:rsid w:val="00CA7AC8"/>
    <w:rsid w:val="00CB0645"/>
    <w:rsid w:val="00CB12BA"/>
    <w:rsid w:val="00CB13AC"/>
    <w:rsid w:val="00CB1673"/>
    <w:rsid w:val="00CB1DE0"/>
    <w:rsid w:val="00CB22E3"/>
    <w:rsid w:val="00CB2870"/>
    <w:rsid w:val="00CB2BB5"/>
    <w:rsid w:val="00CB3465"/>
    <w:rsid w:val="00CB3958"/>
    <w:rsid w:val="00CB3CCE"/>
    <w:rsid w:val="00CB3D7A"/>
    <w:rsid w:val="00CB415B"/>
    <w:rsid w:val="00CB473A"/>
    <w:rsid w:val="00CB48D7"/>
    <w:rsid w:val="00CB495C"/>
    <w:rsid w:val="00CB4EAB"/>
    <w:rsid w:val="00CB4EDC"/>
    <w:rsid w:val="00CB50F8"/>
    <w:rsid w:val="00CB51DD"/>
    <w:rsid w:val="00CB5C62"/>
    <w:rsid w:val="00CB661C"/>
    <w:rsid w:val="00CB6E2A"/>
    <w:rsid w:val="00CB70D1"/>
    <w:rsid w:val="00CB73D4"/>
    <w:rsid w:val="00CB73F2"/>
    <w:rsid w:val="00CB7885"/>
    <w:rsid w:val="00CB7B48"/>
    <w:rsid w:val="00CB7C73"/>
    <w:rsid w:val="00CB7EB8"/>
    <w:rsid w:val="00CC0188"/>
    <w:rsid w:val="00CC027B"/>
    <w:rsid w:val="00CC10C4"/>
    <w:rsid w:val="00CC11BC"/>
    <w:rsid w:val="00CC121F"/>
    <w:rsid w:val="00CC1B01"/>
    <w:rsid w:val="00CC1CBA"/>
    <w:rsid w:val="00CC1EC8"/>
    <w:rsid w:val="00CC23F1"/>
    <w:rsid w:val="00CC265E"/>
    <w:rsid w:val="00CC2BAE"/>
    <w:rsid w:val="00CC35A8"/>
    <w:rsid w:val="00CC361F"/>
    <w:rsid w:val="00CC379F"/>
    <w:rsid w:val="00CC3D40"/>
    <w:rsid w:val="00CC43F5"/>
    <w:rsid w:val="00CC4852"/>
    <w:rsid w:val="00CC4906"/>
    <w:rsid w:val="00CC490C"/>
    <w:rsid w:val="00CC520C"/>
    <w:rsid w:val="00CC5F0C"/>
    <w:rsid w:val="00CC5F7B"/>
    <w:rsid w:val="00CC5F9C"/>
    <w:rsid w:val="00CC63BE"/>
    <w:rsid w:val="00CC6647"/>
    <w:rsid w:val="00CC6782"/>
    <w:rsid w:val="00CC67D0"/>
    <w:rsid w:val="00CC6872"/>
    <w:rsid w:val="00CC6B08"/>
    <w:rsid w:val="00CC6DEC"/>
    <w:rsid w:val="00CC728B"/>
    <w:rsid w:val="00CC78AF"/>
    <w:rsid w:val="00CC7EE5"/>
    <w:rsid w:val="00CD03DF"/>
    <w:rsid w:val="00CD06FD"/>
    <w:rsid w:val="00CD090E"/>
    <w:rsid w:val="00CD0B94"/>
    <w:rsid w:val="00CD0D7B"/>
    <w:rsid w:val="00CD0E7B"/>
    <w:rsid w:val="00CD14C7"/>
    <w:rsid w:val="00CD1562"/>
    <w:rsid w:val="00CD20DF"/>
    <w:rsid w:val="00CD22B3"/>
    <w:rsid w:val="00CD25BF"/>
    <w:rsid w:val="00CD2CA4"/>
    <w:rsid w:val="00CD2CFD"/>
    <w:rsid w:val="00CD2F0F"/>
    <w:rsid w:val="00CD377D"/>
    <w:rsid w:val="00CD3850"/>
    <w:rsid w:val="00CD3A84"/>
    <w:rsid w:val="00CD3B6B"/>
    <w:rsid w:val="00CD436C"/>
    <w:rsid w:val="00CD4AF4"/>
    <w:rsid w:val="00CD524A"/>
    <w:rsid w:val="00CD537C"/>
    <w:rsid w:val="00CD56FA"/>
    <w:rsid w:val="00CD5A94"/>
    <w:rsid w:val="00CD5C23"/>
    <w:rsid w:val="00CD5F59"/>
    <w:rsid w:val="00CD6284"/>
    <w:rsid w:val="00CD63B3"/>
    <w:rsid w:val="00CD71AD"/>
    <w:rsid w:val="00CD767E"/>
    <w:rsid w:val="00CD79FE"/>
    <w:rsid w:val="00CD7A58"/>
    <w:rsid w:val="00CD7DCC"/>
    <w:rsid w:val="00CE0023"/>
    <w:rsid w:val="00CE0789"/>
    <w:rsid w:val="00CE0A0C"/>
    <w:rsid w:val="00CE0B63"/>
    <w:rsid w:val="00CE0DE7"/>
    <w:rsid w:val="00CE0E64"/>
    <w:rsid w:val="00CE0E69"/>
    <w:rsid w:val="00CE0F23"/>
    <w:rsid w:val="00CE174F"/>
    <w:rsid w:val="00CE1E37"/>
    <w:rsid w:val="00CE2670"/>
    <w:rsid w:val="00CE2AF7"/>
    <w:rsid w:val="00CE2F30"/>
    <w:rsid w:val="00CE3365"/>
    <w:rsid w:val="00CE380F"/>
    <w:rsid w:val="00CE3BFF"/>
    <w:rsid w:val="00CE3CF0"/>
    <w:rsid w:val="00CE3D6F"/>
    <w:rsid w:val="00CE4DE4"/>
    <w:rsid w:val="00CE4E90"/>
    <w:rsid w:val="00CE4F12"/>
    <w:rsid w:val="00CE4FB3"/>
    <w:rsid w:val="00CE51B3"/>
    <w:rsid w:val="00CE5260"/>
    <w:rsid w:val="00CE545A"/>
    <w:rsid w:val="00CE54C1"/>
    <w:rsid w:val="00CE557C"/>
    <w:rsid w:val="00CE5D20"/>
    <w:rsid w:val="00CE5D87"/>
    <w:rsid w:val="00CE60D5"/>
    <w:rsid w:val="00CE65DE"/>
    <w:rsid w:val="00CE65FF"/>
    <w:rsid w:val="00CE79BA"/>
    <w:rsid w:val="00CE79DE"/>
    <w:rsid w:val="00CF0239"/>
    <w:rsid w:val="00CF0353"/>
    <w:rsid w:val="00CF0614"/>
    <w:rsid w:val="00CF0A2D"/>
    <w:rsid w:val="00CF0AA8"/>
    <w:rsid w:val="00CF0EB5"/>
    <w:rsid w:val="00CF18D6"/>
    <w:rsid w:val="00CF1BF8"/>
    <w:rsid w:val="00CF2326"/>
    <w:rsid w:val="00CF252C"/>
    <w:rsid w:val="00CF2995"/>
    <w:rsid w:val="00CF2B58"/>
    <w:rsid w:val="00CF2DEC"/>
    <w:rsid w:val="00CF3D64"/>
    <w:rsid w:val="00CF3FE8"/>
    <w:rsid w:val="00CF412C"/>
    <w:rsid w:val="00CF42E7"/>
    <w:rsid w:val="00CF4B99"/>
    <w:rsid w:val="00CF4D8A"/>
    <w:rsid w:val="00CF5033"/>
    <w:rsid w:val="00CF52BF"/>
    <w:rsid w:val="00CF539A"/>
    <w:rsid w:val="00CF53CB"/>
    <w:rsid w:val="00CF59C9"/>
    <w:rsid w:val="00CF5B05"/>
    <w:rsid w:val="00CF5B1A"/>
    <w:rsid w:val="00CF5D23"/>
    <w:rsid w:val="00CF6159"/>
    <w:rsid w:val="00CF7150"/>
    <w:rsid w:val="00CF716C"/>
    <w:rsid w:val="00CF71FB"/>
    <w:rsid w:val="00CF72C0"/>
    <w:rsid w:val="00CF7433"/>
    <w:rsid w:val="00CF7700"/>
    <w:rsid w:val="00CF7DBD"/>
    <w:rsid w:val="00D001D4"/>
    <w:rsid w:val="00D001FC"/>
    <w:rsid w:val="00D002CF"/>
    <w:rsid w:val="00D0094B"/>
    <w:rsid w:val="00D00B50"/>
    <w:rsid w:val="00D00BC3"/>
    <w:rsid w:val="00D00F38"/>
    <w:rsid w:val="00D01474"/>
    <w:rsid w:val="00D01500"/>
    <w:rsid w:val="00D01996"/>
    <w:rsid w:val="00D020E8"/>
    <w:rsid w:val="00D0221F"/>
    <w:rsid w:val="00D02447"/>
    <w:rsid w:val="00D026B2"/>
    <w:rsid w:val="00D02BC7"/>
    <w:rsid w:val="00D02EA1"/>
    <w:rsid w:val="00D030DE"/>
    <w:rsid w:val="00D03139"/>
    <w:rsid w:val="00D03466"/>
    <w:rsid w:val="00D03479"/>
    <w:rsid w:val="00D035A4"/>
    <w:rsid w:val="00D037FB"/>
    <w:rsid w:val="00D03CE4"/>
    <w:rsid w:val="00D03F32"/>
    <w:rsid w:val="00D04096"/>
    <w:rsid w:val="00D04554"/>
    <w:rsid w:val="00D0497A"/>
    <w:rsid w:val="00D04E59"/>
    <w:rsid w:val="00D04E88"/>
    <w:rsid w:val="00D05108"/>
    <w:rsid w:val="00D0635C"/>
    <w:rsid w:val="00D065FA"/>
    <w:rsid w:val="00D06897"/>
    <w:rsid w:val="00D0693A"/>
    <w:rsid w:val="00D07154"/>
    <w:rsid w:val="00D07332"/>
    <w:rsid w:val="00D075E8"/>
    <w:rsid w:val="00D07A71"/>
    <w:rsid w:val="00D07C0F"/>
    <w:rsid w:val="00D1079F"/>
    <w:rsid w:val="00D10FA2"/>
    <w:rsid w:val="00D113B9"/>
    <w:rsid w:val="00D117AA"/>
    <w:rsid w:val="00D128DC"/>
    <w:rsid w:val="00D12C36"/>
    <w:rsid w:val="00D1307D"/>
    <w:rsid w:val="00D133CB"/>
    <w:rsid w:val="00D13842"/>
    <w:rsid w:val="00D13879"/>
    <w:rsid w:val="00D13960"/>
    <w:rsid w:val="00D139D3"/>
    <w:rsid w:val="00D14EB9"/>
    <w:rsid w:val="00D1588A"/>
    <w:rsid w:val="00D15C15"/>
    <w:rsid w:val="00D15F3F"/>
    <w:rsid w:val="00D16B3C"/>
    <w:rsid w:val="00D16E0F"/>
    <w:rsid w:val="00D171BE"/>
    <w:rsid w:val="00D17753"/>
    <w:rsid w:val="00D178DD"/>
    <w:rsid w:val="00D17E70"/>
    <w:rsid w:val="00D200E0"/>
    <w:rsid w:val="00D20289"/>
    <w:rsid w:val="00D20610"/>
    <w:rsid w:val="00D20884"/>
    <w:rsid w:val="00D208A2"/>
    <w:rsid w:val="00D2124F"/>
    <w:rsid w:val="00D2187D"/>
    <w:rsid w:val="00D21A09"/>
    <w:rsid w:val="00D21D33"/>
    <w:rsid w:val="00D21D86"/>
    <w:rsid w:val="00D22066"/>
    <w:rsid w:val="00D223C8"/>
    <w:rsid w:val="00D224CA"/>
    <w:rsid w:val="00D225A9"/>
    <w:rsid w:val="00D227CF"/>
    <w:rsid w:val="00D22A61"/>
    <w:rsid w:val="00D22DEE"/>
    <w:rsid w:val="00D23287"/>
    <w:rsid w:val="00D2359A"/>
    <w:rsid w:val="00D2387A"/>
    <w:rsid w:val="00D23F7C"/>
    <w:rsid w:val="00D243A5"/>
    <w:rsid w:val="00D249DA"/>
    <w:rsid w:val="00D24D01"/>
    <w:rsid w:val="00D251DA"/>
    <w:rsid w:val="00D255BD"/>
    <w:rsid w:val="00D25A79"/>
    <w:rsid w:val="00D25C1A"/>
    <w:rsid w:val="00D25E60"/>
    <w:rsid w:val="00D25FC6"/>
    <w:rsid w:val="00D25FFA"/>
    <w:rsid w:val="00D26015"/>
    <w:rsid w:val="00D26229"/>
    <w:rsid w:val="00D265D4"/>
    <w:rsid w:val="00D2706F"/>
    <w:rsid w:val="00D273C3"/>
    <w:rsid w:val="00D274CB"/>
    <w:rsid w:val="00D27898"/>
    <w:rsid w:val="00D27B65"/>
    <w:rsid w:val="00D300D0"/>
    <w:rsid w:val="00D3067B"/>
    <w:rsid w:val="00D30C4C"/>
    <w:rsid w:val="00D30CC8"/>
    <w:rsid w:val="00D30FA4"/>
    <w:rsid w:val="00D31276"/>
    <w:rsid w:val="00D315F0"/>
    <w:rsid w:val="00D31A90"/>
    <w:rsid w:val="00D31E49"/>
    <w:rsid w:val="00D3227E"/>
    <w:rsid w:val="00D3374D"/>
    <w:rsid w:val="00D33AF8"/>
    <w:rsid w:val="00D34662"/>
    <w:rsid w:val="00D35F84"/>
    <w:rsid w:val="00D362E4"/>
    <w:rsid w:val="00D3652B"/>
    <w:rsid w:val="00D37876"/>
    <w:rsid w:val="00D37B17"/>
    <w:rsid w:val="00D37B69"/>
    <w:rsid w:val="00D37D15"/>
    <w:rsid w:val="00D40079"/>
    <w:rsid w:val="00D409D6"/>
    <w:rsid w:val="00D40C2D"/>
    <w:rsid w:val="00D414F0"/>
    <w:rsid w:val="00D4170F"/>
    <w:rsid w:val="00D418EE"/>
    <w:rsid w:val="00D41ADA"/>
    <w:rsid w:val="00D41DFF"/>
    <w:rsid w:val="00D41E90"/>
    <w:rsid w:val="00D421B7"/>
    <w:rsid w:val="00D42E4F"/>
    <w:rsid w:val="00D42EBC"/>
    <w:rsid w:val="00D438AF"/>
    <w:rsid w:val="00D44210"/>
    <w:rsid w:val="00D444FC"/>
    <w:rsid w:val="00D44555"/>
    <w:rsid w:val="00D44666"/>
    <w:rsid w:val="00D447F9"/>
    <w:rsid w:val="00D44AF4"/>
    <w:rsid w:val="00D44B42"/>
    <w:rsid w:val="00D44D02"/>
    <w:rsid w:val="00D44D45"/>
    <w:rsid w:val="00D456F9"/>
    <w:rsid w:val="00D45871"/>
    <w:rsid w:val="00D45B54"/>
    <w:rsid w:val="00D45B69"/>
    <w:rsid w:val="00D45D96"/>
    <w:rsid w:val="00D45F50"/>
    <w:rsid w:val="00D461BE"/>
    <w:rsid w:val="00D46226"/>
    <w:rsid w:val="00D467BD"/>
    <w:rsid w:val="00D468C8"/>
    <w:rsid w:val="00D470F6"/>
    <w:rsid w:val="00D5032B"/>
    <w:rsid w:val="00D50AC9"/>
    <w:rsid w:val="00D50DE5"/>
    <w:rsid w:val="00D516AC"/>
    <w:rsid w:val="00D517DC"/>
    <w:rsid w:val="00D51B68"/>
    <w:rsid w:val="00D51BC3"/>
    <w:rsid w:val="00D5267C"/>
    <w:rsid w:val="00D52772"/>
    <w:rsid w:val="00D5334B"/>
    <w:rsid w:val="00D53556"/>
    <w:rsid w:val="00D5360C"/>
    <w:rsid w:val="00D53794"/>
    <w:rsid w:val="00D53B6F"/>
    <w:rsid w:val="00D53EDF"/>
    <w:rsid w:val="00D54387"/>
    <w:rsid w:val="00D54629"/>
    <w:rsid w:val="00D5498D"/>
    <w:rsid w:val="00D54D16"/>
    <w:rsid w:val="00D54D8C"/>
    <w:rsid w:val="00D54EDA"/>
    <w:rsid w:val="00D54F5A"/>
    <w:rsid w:val="00D5502A"/>
    <w:rsid w:val="00D55469"/>
    <w:rsid w:val="00D55550"/>
    <w:rsid w:val="00D556CA"/>
    <w:rsid w:val="00D55BA8"/>
    <w:rsid w:val="00D55C98"/>
    <w:rsid w:val="00D55EF0"/>
    <w:rsid w:val="00D566C8"/>
    <w:rsid w:val="00D56B42"/>
    <w:rsid w:val="00D56E2E"/>
    <w:rsid w:val="00D5723B"/>
    <w:rsid w:val="00D574B8"/>
    <w:rsid w:val="00D574C8"/>
    <w:rsid w:val="00D57D05"/>
    <w:rsid w:val="00D600CF"/>
    <w:rsid w:val="00D603CD"/>
    <w:rsid w:val="00D6092A"/>
    <w:rsid w:val="00D61865"/>
    <w:rsid w:val="00D61886"/>
    <w:rsid w:val="00D61ABA"/>
    <w:rsid w:val="00D61BD3"/>
    <w:rsid w:val="00D61DBC"/>
    <w:rsid w:val="00D61E5D"/>
    <w:rsid w:val="00D6238B"/>
    <w:rsid w:val="00D6297A"/>
    <w:rsid w:val="00D6298A"/>
    <w:rsid w:val="00D63385"/>
    <w:rsid w:val="00D63B11"/>
    <w:rsid w:val="00D63F43"/>
    <w:rsid w:val="00D6496E"/>
    <w:rsid w:val="00D64A66"/>
    <w:rsid w:val="00D64D18"/>
    <w:rsid w:val="00D64D9A"/>
    <w:rsid w:val="00D64E6E"/>
    <w:rsid w:val="00D64F3F"/>
    <w:rsid w:val="00D65102"/>
    <w:rsid w:val="00D65430"/>
    <w:rsid w:val="00D6553A"/>
    <w:rsid w:val="00D657E2"/>
    <w:rsid w:val="00D65E20"/>
    <w:rsid w:val="00D65E97"/>
    <w:rsid w:val="00D65F1E"/>
    <w:rsid w:val="00D6600D"/>
    <w:rsid w:val="00D66463"/>
    <w:rsid w:val="00D665BE"/>
    <w:rsid w:val="00D6699C"/>
    <w:rsid w:val="00D66C15"/>
    <w:rsid w:val="00D66E99"/>
    <w:rsid w:val="00D6725D"/>
    <w:rsid w:val="00D674D9"/>
    <w:rsid w:val="00D674E9"/>
    <w:rsid w:val="00D677D8"/>
    <w:rsid w:val="00D67AA8"/>
    <w:rsid w:val="00D7026F"/>
    <w:rsid w:val="00D70F8E"/>
    <w:rsid w:val="00D713BA"/>
    <w:rsid w:val="00D71417"/>
    <w:rsid w:val="00D717C2"/>
    <w:rsid w:val="00D71881"/>
    <w:rsid w:val="00D723A1"/>
    <w:rsid w:val="00D72852"/>
    <w:rsid w:val="00D72BC7"/>
    <w:rsid w:val="00D730DA"/>
    <w:rsid w:val="00D7328B"/>
    <w:rsid w:val="00D73CA4"/>
    <w:rsid w:val="00D741DC"/>
    <w:rsid w:val="00D744E6"/>
    <w:rsid w:val="00D74B2A"/>
    <w:rsid w:val="00D75604"/>
    <w:rsid w:val="00D7571D"/>
    <w:rsid w:val="00D7588A"/>
    <w:rsid w:val="00D75A29"/>
    <w:rsid w:val="00D765BB"/>
    <w:rsid w:val="00D76CAF"/>
    <w:rsid w:val="00D773B6"/>
    <w:rsid w:val="00D776C1"/>
    <w:rsid w:val="00D77C73"/>
    <w:rsid w:val="00D77D49"/>
    <w:rsid w:val="00D77F8C"/>
    <w:rsid w:val="00D80509"/>
    <w:rsid w:val="00D80ACB"/>
    <w:rsid w:val="00D80C1D"/>
    <w:rsid w:val="00D80E96"/>
    <w:rsid w:val="00D810F9"/>
    <w:rsid w:val="00D811A5"/>
    <w:rsid w:val="00D81293"/>
    <w:rsid w:val="00D81C95"/>
    <w:rsid w:val="00D8212E"/>
    <w:rsid w:val="00D82627"/>
    <w:rsid w:val="00D82CDB"/>
    <w:rsid w:val="00D8303A"/>
    <w:rsid w:val="00D83692"/>
    <w:rsid w:val="00D83917"/>
    <w:rsid w:val="00D83BC2"/>
    <w:rsid w:val="00D83F8A"/>
    <w:rsid w:val="00D83FDA"/>
    <w:rsid w:val="00D843ED"/>
    <w:rsid w:val="00D844E8"/>
    <w:rsid w:val="00D84CA1"/>
    <w:rsid w:val="00D84F18"/>
    <w:rsid w:val="00D851AE"/>
    <w:rsid w:val="00D851BD"/>
    <w:rsid w:val="00D85656"/>
    <w:rsid w:val="00D858BA"/>
    <w:rsid w:val="00D8591C"/>
    <w:rsid w:val="00D85A3F"/>
    <w:rsid w:val="00D86631"/>
    <w:rsid w:val="00D867E0"/>
    <w:rsid w:val="00D867E9"/>
    <w:rsid w:val="00D86B34"/>
    <w:rsid w:val="00D86B5A"/>
    <w:rsid w:val="00D871CF"/>
    <w:rsid w:val="00D871F5"/>
    <w:rsid w:val="00D87456"/>
    <w:rsid w:val="00D87510"/>
    <w:rsid w:val="00D87697"/>
    <w:rsid w:val="00D8774D"/>
    <w:rsid w:val="00D903BC"/>
    <w:rsid w:val="00D90478"/>
    <w:rsid w:val="00D904C7"/>
    <w:rsid w:val="00D9124B"/>
    <w:rsid w:val="00D912A5"/>
    <w:rsid w:val="00D912F4"/>
    <w:rsid w:val="00D919CE"/>
    <w:rsid w:val="00D91B28"/>
    <w:rsid w:val="00D91E8C"/>
    <w:rsid w:val="00D92047"/>
    <w:rsid w:val="00D921B3"/>
    <w:rsid w:val="00D92207"/>
    <w:rsid w:val="00D92329"/>
    <w:rsid w:val="00D9266E"/>
    <w:rsid w:val="00D92993"/>
    <w:rsid w:val="00D929EB"/>
    <w:rsid w:val="00D930BD"/>
    <w:rsid w:val="00D93403"/>
    <w:rsid w:val="00D93986"/>
    <w:rsid w:val="00D93A9F"/>
    <w:rsid w:val="00D94073"/>
    <w:rsid w:val="00D943F6"/>
    <w:rsid w:val="00D94DA6"/>
    <w:rsid w:val="00D94E09"/>
    <w:rsid w:val="00D94F5E"/>
    <w:rsid w:val="00D95466"/>
    <w:rsid w:val="00D958CA"/>
    <w:rsid w:val="00D95ADB"/>
    <w:rsid w:val="00D966D7"/>
    <w:rsid w:val="00D972B9"/>
    <w:rsid w:val="00D97317"/>
    <w:rsid w:val="00D976F8"/>
    <w:rsid w:val="00D97787"/>
    <w:rsid w:val="00D97C33"/>
    <w:rsid w:val="00D97DCA"/>
    <w:rsid w:val="00D97F60"/>
    <w:rsid w:val="00DA0426"/>
    <w:rsid w:val="00DA09AC"/>
    <w:rsid w:val="00DA09F3"/>
    <w:rsid w:val="00DA0C36"/>
    <w:rsid w:val="00DA0D56"/>
    <w:rsid w:val="00DA1473"/>
    <w:rsid w:val="00DA1943"/>
    <w:rsid w:val="00DA1BB8"/>
    <w:rsid w:val="00DA245E"/>
    <w:rsid w:val="00DA27F3"/>
    <w:rsid w:val="00DA2CB8"/>
    <w:rsid w:val="00DA32D1"/>
    <w:rsid w:val="00DA3333"/>
    <w:rsid w:val="00DA39F9"/>
    <w:rsid w:val="00DA42DF"/>
    <w:rsid w:val="00DA4E99"/>
    <w:rsid w:val="00DA522C"/>
    <w:rsid w:val="00DA52A0"/>
    <w:rsid w:val="00DA54CF"/>
    <w:rsid w:val="00DA5564"/>
    <w:rsid w:val="00DA5A53"/>
    <w:rsid w:val="00DA6054"/>
    <w:rsid w:val="00DA623D"/>
    <w:rsid w:val="00DA65DA"/>
    <w:rsid w:val="00DA678A"/>
    <w:rsid w:val="00DA6BF5"/>
    <w:rsid w:val="00DA70F7"/>
    <w:rsid w:val="00DA738C"/>
    <w:rsid w:val="00DA7C76"/>
    <w:rsid w:val="00DA7DB7"/>
    <w:rsid w:val="00DA7E50"/>
    <w:rsid w:val="00DB006E"/>
    <w:rsid w:val="00DB03D8"/>
    <w:rsid w:val="00DB060C"/>
    <w:rsid w:val="00DB0795"/>
    <w:rsid w:val="00DB07DD"/>
    <w:rsid w:val="00DB0D7D"/>
    <w:rsid w:val="00DB11C0"/>
    <w:rsid w:val="00DB170F"/>
    <w:rsid w:val="00DB1AE5"/>
    <w:rsid w:val="00DB1DE9"/>
    <w:rsid w:val="00DB202C"/>
    <w:rsid w:val="00DB2397"/>
    <w:rsid w:val="00DB250A"/>
    <w:rsid w:val="00DB2583"/>
    <w:rsid w:val="00DB29E3"/>
    <w:rsid w:val="00DB2A9E"/>
    <w:rsid w:val="00DB2AF1"/>
    <w:rsid w:val="00DB2FC5"/>
    <w:rsid w:val="00DB571C"/>
    <w:rsid w:val="00DB5875"/>
    <w:rsid w:val="00DB590F"/>
    <w:rsid w:val="00DB6383"/>
    <w:rsid w:val="00DB6568"/>
    <w:rsid w:val="00DB6733"/>
    <w:rsid w:val="00DB6736"/>
    <w:rsid w:val="00DB68D8"/>
    <w:rsid w:val="00DB6A88"/>
    <w:rsid w:val="00DB6BB5"/>
    <w:rsid w:val="00DB7324"/>
    <w:rsid w:val="00DB765D"/>
    <w:rsid w:val="00DB7771"/>
    <w:rsid w:val="00DB7BD3"/>
    <w:rsid w:val="00DC05EC"/>
    <w:rsid w:val="00DC0AC7"/>
    <w:rsid w:val="00DC0B73"/>
    <w:rsid w:val="00DC0BD9"/>
    <w:rsid w:val="00DC1191"/>
    <w:rsid w:val="00DC1332"/>
    <w:rsid w:val="00DC1574"/>
    <w:rsid w:val="00DC1787"/>
    <w:rsid w:val="00DC2148"/>
    <w:rsid w:val="00DC25DC"/>
    <w:rsid w:val="00DC29D7"/>
    <w:rsid w:val="00DC2A40"/>
    <w:rsid w:val="00DC2EE8"/>
    <w:rsid w:val="00DC315D"/>
    <w:rsid w:val="00DC356F"/>
    <w:rsid w:val="00DC3B2E"/>
    <w:rsid w:val="00DC3CC4"/>
    <w:rsid w:val="00DC3D45"/>
    <w:rsid w:val="00DC3E4B"/>
    <w:rsid w:val="00DC4B27"/>
    <w:rsid w:val="00DC4C4A"/>
    <w:rsid w:val="00DC4E38"/>
    <w:rsid w:val="00DC4E57"/>
    <w:rsid w:val="00DC5240"/>
    <w:rsid w:val="00DC5433"/>
    <w:rsid w:val="00DC551E"/>
    <w:rsid w:val="00DC5D2B"/>
    <w:rsid w:val="00DC626F"/>
    <w:rsid w:val="00DC65B2"/>
    <w:rsid w:val="00DC66E4"/>
    <w:rsid w:val="00DC6EC2"/>
    <w:rsid w:val="00DC7202"/>
    <w:rsid w:val="00DC7C6D"/>
    <w:rsid w:val="00DD025C"/>
    <w:rsid w:val="00DD04A9"/>
    <w:rsid w:val="00DD0B13"/>
    <w:rsid w:val="00DD0C77"/>
    <w:rsid w:val="00DD1034"/>
    <w:rsid w:val="00DD136F"/>
    <w:rsid w:val="00DD151C"/>
    <w:rsid w:val="00DD181F"/>
    <w:rsid w:val="00DD1CA8"/>
    <w:rsid w:val="00DD2423"/>
    <w:rsid w:val="00DD2593"/>
    <w:rsid w:val="00DD29D6"/>
    <w:rsid w:val="00DD2B51"/>
    <w:rsid w:val="00DD2D93"/>
    <w:rsid w:val="00DD2F4F"/>
    <w:rsid w:val="00DD3008"/>
    <w:rsid w:val="00DD300A"/>
    <w:rsid w:val="00DD3347"/>
    <w:rsid w:val="00DD37F9"/>
    <w:rsid w:val="00DD39A2"/>
    <w:rsid w:val="00DD40AC"/>
    <w:rsid w:val="00DD412B"/>
    <w:rsid w:val="00DD4564"/>
    <w:rsid w:val="00DD4AEA"/>
    <w:rsid w:val="00DD4B1B"/>
    <w:rsid w:val="00DD4BB9"/>
    <w:rsid w:val="00DD4E3F"/>
    <w:rsid w:val="00DD4E8A"/>
    <w:rsid w:val="00DD5201"/>
    <w:rsid w:val="00DD5628"/>
    <w:rsid w:val="00DD599F"/>
    <w:rsid w:val="00DD5F42"/>
    <w:rsid w:val="00DD5FDB"/>
    <w:rsid w:val="00DD62D9"/>
    <w:rsid w:val="00DD63A2"/>
    <w:rsid w:val="00DD63A8"/>
    <w:rsid w:val="00DD7251"/>
    <w:rsid w:val="00DD788A"/>
    <w:rsid w:val="00DD7A1C"/>
    <w:rsid w:val="00DD7BBA"/>
    <w:rsid w:val="00DE0260"/>
    <w:rsid w:val="00DE072D"/>
    <w:rsid w:val="00DE08F0"/>
    <w:rsid w:val="00DE096E"/>
    <w:rsid w:val="00DE09C4"/>
    <w:rsid w:val="00DE0BED"/>
    <w:rsid w:val="00DE12C4"/>
    <w:rsid w:val="00DE1A98"/>
    <w:rsid w:val="00DE1F24"/>
    <w:rsid w:val="00DE2693"/>
    <w:rsid w:val="00DE26D4"/>
    <w:rsid w:val="00DE2D9A"/>
    <w:rsid w:val="00DE2F7D"/>
    <w:rsid w:val="00DE396C"/>
    <w:rsid w:val="00DE3A4D"/>
    <w:rsid w:val="00DE3B05"/>
    <w:rsid w:val="00DE3C5B"/>
    <w:rsid w:val="00DE3D02"/>
    <w:rsid w:val="00DE41E1"/>
    <w:rsid w:val="00DE4922"/>
    <w:rsid w:val="00DE4FEC"/>
    <w:rsid w:val="00DE50BB"/>
    <w:rsid w:val="00DE53FC"/>
    <w:rsid w:val="00DE57F6"/>
    <w:rsid w:val="00DE5C44"/>
    <w:rsid w:val="00DE5DA1"/>
    <w:rsid w:val="00DE5E14"/>
    <w:rsid w:val="00DE5F7B"/>
    <w:rsid w:val="00DE6158"/>
    <w:rsid w:val="00DE620A"/>
    <w:rsid w:val="00DE63D5"/>
    <w:rsid w:val="00DE65F6"/>
    <w:rsid w:val="00DE6897"/>
    <w:rsid w:val="00DE69C8"/>
    <w:rsid w:val="00DE6A3C"/>
    <w:rsid w:val="00DE6E37"/>
    <w:rsid w:val="00DE7756"/>
    <w:rsid w:val="00DE775C"/>
    <w:rsid w:val="00DE78D0"/>
    <w:rsid w:val="00DE7A1D"/>
    <w:rsid w:val="00DE7BA9"/>
    <w:rsid w:val="00DF0093"/>
    <w:rsid w:val="00DF044F"/>
    <w:rsid w:val="00DF0824"/>
    <w:rsid w:val="00DF0D08"/>
    <w:rsid w:val="00DF210B"/>
    <w:rsid w:val="00DF2403"/>
    <w:rsid w:val="00DF29FA"/>
    <w:rsid w:val="00DF2EE3"/>
    <w:rsid w:val="00DF3823"/>
    <w:rsid w:val="00DF38D1"/>
    <w:rsid w:val="00DF3A23"/>
    <w:rsid w:val="00DF456D"/>
    <w:rsid w:val="00DF4C8E"/>
    <w:rsid w:val="00DF515A"/>
    <w:rsid w:val="00DF51CD"/>
    <w:rsid w:val="00DF55E6"/>
    <w:rsid w:val="00DF5629"/>
    <w:rsid w:val="00DF5756"/>
    <w:rsid w:val="00DF5C72"/>
    <w:rsid w:val="00DF5D20"/>
    <w:rsid w:val="00DF6030"/>
    <w:rsid w:val="00DF6240"/>
    <w:rsid w:val="00DF68E3"/>
    <w:rsid w:val="00DF6A12"/>
    <w:rsid w:val="00DF6A96"/>
    <w:rsid w:val="00DF7468"/>
    <w:rsid w:val="00DF7506"/>
    <w:rsid w:val="00DF761A"/>
    <w:rsid w:val="00DF766F"/>
    <w:rsid w:val="00DF7944"/>
    <w:rsid w:val="00DF7AF5"/>
    <w:rsid w:val="00DF7EDD"/>
    <w:rsid w:val="00DF7F1A"/>
    <w:rsid w:val="00E00074"/>
    <w:rsid w:val="00E000B8"/>
    <w:rsid w:val="00E000F9"/>
    <w:rsid w:val="00E00311"/>
    <w:rsid w:val="00E0076A"/>
    <w:rsid w:val="00E007DA"/>
    <w:rsid w:val="00E00873"/>
    <w:rsid w:val="00E009E9"/>
    <w:rsid w:val="00E0157D"/>
    <w:rsid w:val="00E01654"/>
    <w:rsid w:val="00E01D06"/>
    <w:rsid w:val="00E01FC4"/>
    <w:rsid w:val="00E02702"/>
    <w:rsid w:val="00E029A6"/>
    <w:rsid w:val="00E02B6C"/>
    <w:rsid w:val="00E03826"/>
    <w:rsid w:val="00E03AFB"/>
    <w:rsid w:val="00E03DA8"/>
    <w:rsid w:val="00E03E77"/>
    <w:rsid w:val="00E041FF"/>
    <w:rsid w:val="00E0439D"/>
    <w:rsid w:val="00E048C4"/>
    <w:rsid w:val="00E04C2E"/>
    <w:rsid w:val="00E04DC3"/>
    <w:rsid w:val="00E05197"/>
    <w:rsid w:val="00E055ED"/>
    <w:rsid w:val="00E05D8C"/>
    <w:rsid w:val="00E0628C"/>
    <w:rsid w:val="00E062A9"/>
    <w:rsid w:val="00E0641F"/>
    <w:rsid w:val="00E065C5"/>
    <w:rsid w:val="00E06846"/>
    <w:rsid w:val="00E068B0"/>
    <w:rsid w:val="00E068B1"/>
    <w:rsid w:val="00E068F8"/>
    <w:rsid w:val="00E069A4"/>
    <w:rsid w:val="00E06A58"/>
    <w:rsid w:val="00E06F61"/>
    <w:rsid w:val="00E0707B"/>
    <w:rsid w:val="00E07795"/>
    <w:rsid w:val="00E077EB"/>
    <w:rsid w:val="00E07969"/>
    <w:rsid w:val="00E07BC1"/>
    <w:rsid w:val="00E07D37"/>
    <w:rsid w:val="00E10747"/>
    <w:rsid w:val="00E10847"/>
    <w:rsid w:val="00E11B0C"/>
    <w:rsid w:val="00E1261E"/>
    <w:rsid w:val="00E12703"/>
    <w:rsid w:val="00E12827"/>
    <w:rsid w:val="00E134B7"/>
    <w:rsid w:val="00E13684"/>
    <w:rsid w:val="00E1373B"/>
    <w:rsid w:val="00E13784"/>
    <w:rsid w:val="00E13CC1"/>
    <w:rsid w:val="00E1400B"/>
    <w:rsid w:val="00E1400D"/>
    <w:rsid w:val="00E141EE"/>
    <w:rsid w:val="00E14601"/>
    <w:rsid w:val="00E14EF6"/>
    <w:rsid w:val="00E1523F"/>
    <w:rsid w:val="00E1537E"/>
    <w:rsid w:val="00E1552E"/>
    <w:rsid w:val="00E15DAF"/>
    <w:rsid w:val="00E15DB3"/>
    <w:rsid w:val="00E16A89"/>
    <w:rsid w:val="00E16BDC"/>
    <w:rsid w:val="00E17617"/>
    <w:rsid w:val="00E179E2"/>
    <w:rsid w:val="00E17CAD"/>
    <w:rsid w:val="00E17D22"/>
    <w:rsid w:val="00E20136"/>
    <w:rsid w:val="00E20922"/>
    <w:rsid w:val="00E20CD3"/>
    <w:rsid w:val="00E213E0"/>
    <w:rsid w:val="00E217DB"/>
    <w:rsid w:val="00E21970"/>
    <w:rsid w:val="00E21C26"/>
    <w:rsid w:val="00E21DBE"/>
    <w:rsid w:val="00E21E05"/>
    <w:rsid w:val="00E21F4C"/>
    <w:rsid w:val="00E22035"/>
    <w:rsid w:val="00E22044"/>
    <w:rsid w:val="00E22598"/>
    <w:rsid w:val="00E22796"/>
    <w:rsid w:val="00E231A9"/>
    <w:rsid w:val="00E235C3"/>
    <w:rsid w:val="00E2392A"/>
    <w:rsid w:val="00E23A54"/>
    <w:rsid w:val="00E23C7D"/>
    <w:rsid w:val="00E24281"/>
    <w:rsid w:val="00E24340"/>
    <w:rsid w:val="00E2499A"/>
    <w:rsid w:val="00E249E1"/>
    <w:rsid w:val="00E24A70"/>
    <w:rsid w:val="00E25157"/>
    <w:rsid w:val="00E25BFE"/>
    <w:rsid w:val="00E25C32"/>
    <w:rsid w:val="00E25F0C"/>
    <w:rsid w:val="00E25F6A"/>
    <w:rsid w:val="00E26065"/>
    <w:rsid w:val="00E260CB"/>
    <w:rsid w:val="00E2630A"/>
    <w:rsid w:val="00E26986"/>
    <w:rsid w:val="00E26C06"/>
    <w:rsid w:val="00E26DE7"/>
    <w:rsid w:val="00E26EAA"/>
    <w:rsid w:val="00E27112"/>
    <w:rsid w:val="00E277A4"/>
    <w:rsid w:val="00E27859"/>
    <w:rsid w:val="00E27B70"/>
    <w:rsid w:val="00E27DF6"/>
    <w:rsid w:val="00E30B47"/>
    <w:rsid w:val="00E30FA4"/>
    <w:rsid w:val="00E30FF5"/>
    <w:rsid w:val="00E31330"/>
    <w:rsid w:val="00E314A5"/>
    <w:rsid w:val="00E315CB"/>
    <w:rsid w:val="00E31944"/>
    <w:rsid w:val="00E31F36"/>
    <w:rsid w:val="00E3207F"/>
    <w:rsid w:val="00E32221"/>
    <w:rsid w:val="00E32945"/>
    <w:rsid w:val="00E329EF"/>
    <w:rsid w:val="00E32A17"/>
    <w:rsid w:val="00E32D21"/>
    <w:rsid w:val="00E3306D"/>
    <w:rsid w:val="00E331AA"/>
    <w:rsid w:val="00E333E1"/>
    <w:rsid w:val="00E33715"/>
    <w:rsid w:val="00E33C33"/>
    <w:rsid w:val="00E34274"/>
    <w:rsid w:val="00E3457F"/>
    <w:rsid w:val="00E34771"/>
    <w:rsid w:val="00E34AA3"/>
    <w:rsid w:val="00E35297"/>
    <w:rsid w:val="00E35BFE"/>
    <w:rsid w:val="00E3665B"/>
    <w:rsid w:val="00E36A78"/>
    <w:rsid w:val="00E36AB2"/>
    <w:rsid w:val="00E36B8A"/>
    <w:rsid w:val="00E36C0E"/>
    <w:rsid w:val="00E37288"/>
    <w:rsid w:val="00E373DC"/>
    <w:rsid w:val="00E37672"/>
    <w:rsid w:val="00E4006A"/>
    <w:rsid w:val="00E40562"/>
    <w:rsid w:val="00E4065C"/>
    <w:rsid w:val="00E40805"/>
    <w:rsid w:val="00E41310"/>
    <w:rsid w:val="00E41479"/>
    <w:rsid w:val="00E416E3"/>
    <w:rsid w:val="00E4176A"/>
    <w:rsid w:val="00E417C7"/>
    <w:rsid w:val="00E41AE1"/>
    <w:rsid w:val="00E4214E"/>
    <w:rsid w:val="00E42781"/>
    <w:rsid w:val="00E42A5F"/>
    <w:rsid w:val="00E42B6C"/>
    <w:rsid w:val="00E43271"/>
    <w:rsid w:val="00E4399B"/>
    <w:rsid w:val="00E443E5"/>
    <w:rsid w:val="00E44A24"/>
    <w:rsid w:val="00E44CDB"/>
    <w:rsid w:val="00E44CFC"/>
    <w:rsid w:val="00E44DBA"/>
    <w:rsid w:val="00E451DE"/>
    <w:rsid w:val="00E454E3"/>
    <w:rsid w:val="00E455C3"/>
    <w:rsid w:val="00E45602"/>
    <w:rsid w:val="00E45A1F"/>
    <w:rsid w:val="00E4659F"/>
    <w:rsid w:val="00E467A1"/>
    <w:rsid w:val="00E46F26"/>
    <w:rsid w:val="00E500DD"/>
    <w:rsid w:val="00E5047D"/>
    <w:rsid w:val="00E510AA"/>
    <w:rsid w:val="00E513A1"/>
    <w:rsid w:val="00E5142E"/>
    <w:rsid w:val="00E5149E"/>
    <w:rsid w:val="00E5180A"/>
    <w:rsid w:val="00E51A07"/>
    <w:rsid w:val="00E51A23"/>
    <w:rsid w:val="00E52454"/>
    <w:rsid w:val="00E527F2"/>
    <w:rsid w:val="00E5306A"/>
    <w:rsid w:val="00E535C7"/>
    <w:rsid w:val="00E53729"/>
    <w:rsid w:val="00E53DAB"/>
    <w:rsid w:val="00E5434B"/>
    <w:rsid w:val="00E5449C"/>
    <w:rsid w:val="00E5453D"/>
    <w:rsid w:val="00E545A6"/>
    <w:rsid w:val="00E547AC"/>
    <w:rsid w:val="00E548C3"/>
    <w:rsid w:val="00E54A6C"/>
    <w:rsid w:val="00E54A92"/>
    <w:rsid w:val="00E54D83"/>
    <w:rsid w:val="00E54EC2"/>
    <w:rsid w:val="00E55086"/>
    <w:rsid w:val="00E55C84"/>
    <w:rsid w:val="00E55ECA"/>
    <w:rsid w:val="00E56108"/>
    <w:rsid w:val="00E561C8"/>
    <w:rsid w:val="00E56435"/>
    <w:rsid w:val="00E5676A"/>
    <w:rsid w:val="00E5680A"/>
    <w:rsid w:val="00E568F9"/>
    <w:rsid w:val="00E56E9A"/>
    <w:rsid w:val="00E56EDA"/>
    <w:rsid w:val="00E57021"/>
    <w:rsid w:val="00E570DE"/>
    <w:rsid w:val="00E57FAE"/>
    <w:rsid w:val="00E57FCF"/>
    <w:rsid w:val="00E57FF6"/>
    <w:rsid w:val="00E6032D"/>
    <w:rsid w:val="00E605EE"/>
    <w:rsid w:val="00E60D79"/>
    <w:rsid w:val="00E60F0C"/>
    <w:rsid w:val="00E61CB1"/>
    <w:rsid w:val="00E61CC8"/>
    <w:rsid w:val="00E61D71"/>
    <w:rsid w:val="00E62258"/>
    <w:rsid w:val="00E626FE"/>
    <w:rsid w:val="00E629B4"/>
    <w:rsid w:val="00E62D0E"/>
    <w:rsid w:val="00E63095"/>
    <w:rsid w:val="00E635F6"/>
    <w:rsid w:val="00E63A58"/>
    <w:rsid w:val="00E63C50"/>
    <w:rsid w:val="00E63E1C"/>
    <w:rsid w:val="00E6403C"/>
    <w:rsid w:val="00E641A1"/>
    <w:rsid w:val="00E641A8"/>
    <w:rsid w:val="00E64894"/>
    <w:rsid w:val="00E651A1"/>
    <w:rsid w:val="00E65235"/>
    <w:rsid w:val="00E65760"/>
    <w:rsid w:val="00E65D4E"/>
    <w:rsid w:val="00E6603B"/>
    <w:rsid w:val="00E662B4"/>
    <w:rsid w:val="00E66B08"/>
    <w:rsid w:val="00E66C27"/>
    <w:rsid w:val="00E67573"/>
    <w:rsid w:val="00E677A1"/>
    <w:rsid w:val="00E70015"/>
    <w:rsid w:val="00E70AF4"/>
    <w:rsid w:val="00E70B84"/>
    <w:rsid w:val="00E70D60"/>
    <w:rsid w:val="00E71135"/>
    <w:rsid w:val="00E71281"/>
    <w:rsid w:val="00E713C3"/>
    <w:rsid w:val="00E71461"/>
    <w:rsid w:val="00E71C65"/>
    <w:rsid w:val="00E72224"/>
    <w:rsid w:val="00E72332"/>
    <w:rsid w:val="00E7235F"/>
    <w:rsid w:val="00E724E5"/>
    <w:rsid w:val="00E726AE"/>
    <w:rsid w:val="00E72712"/>
    <w:rsid w:val="00E728E2"/>
    <w:rsid w:val="00E72CAB"/>
    <w:rsid w:val="00E73C7F"/>
    <w:rsid w:val="00E73FE1"/>
    <w:rsid w:val="00E7433F"/>
    <w:rsid w:val="00E743FA"/>
    <w:rsid w:val="00E7449B"/>
    <w:rsid w:val="00E7466D"/>
    <w:rsid w:val="00E74730"/>
    <w:rsid w:val="00E7482E"/>
    <w:rsid w:val="00E749DD"/>
    <w:rsid w:val="00E74E0F"/>
    <w:rsid w:val="00E74F24"/>
    <w:rsid w:val="00E75615"/>
    <w:rsid w:val="00E7577B"/>
    <w:rsid w:val="00E76017"/>
    <w:rsid w:val="00E76935"/>
    <w:rsid w:val="00E76C88"/>
    <w:rsid w:val="00E77133"/>
    <w:rsid w:val="00E77BFC"/>
    <w:rsid w:val="00E8015B"/>
    <w:rsid w:val="00E80692"/>
    <w:rsid w:val="00E808D1"/>
    <w:rsid w:val="00E81497"/>
    <w:rsid w:val="00E81587"/>
    <w:rsid w:val="00E81612"/>
    <w:rsid w:val="00E81643"/>
    <w:rsid w:val="00E81ADB"/>
    <w:rsid w:val="00E8210E"/>
    <w:rsid w:val="00E8274B"/>
    <w:rsid w:val="00E82A81"/>
    <w:rsid w:val="00E82D28"/>
    <w:rsid w:val="00E82E8B"/>
    <w:rsid w:val="00E8331D"/>
    <w:rsid w:val="00E833CA"/>
    <w:rsid w:val="00E834AD"/>
    <w:rsid w:val="00E83C7E"/>
    <w:rsid w:val="00E845F0"/>
    <w:rsid w:val="00E84B29"/>
    <w:rsid w:val="00E84D30"/>
    <w:rsid w:val="00E85672"/>
    <w:rsid w:val="00E8588D"/>
    <w:rsid w:val="00E85F2F"/>
    <w:rsid w:val="00E86571"/>
    <w:rsid w:val="00E869D3"/>
    <w:rsid w:val="00E86B22"/>
    <w:rsid w:val="00E86E97"/>
    <w:rsid w:val="00E875AF"/>
    <w:rsid w:val="00E878D2"/>
    <w:rsid w:val="00E879DA"/>
    <w:rsid w:val="00E87A81"/>
    <w:rsid w:val="00E87EBE"/>
    <w:rsid w:val="00E87FA7"/>
    <w:rsid w:val="00E904B4"/>
    <w:rsid w:val="00E90BD5"/>
    <w:rsid w:val="00E90C3D"/>
    <w:rsid w:val="00E90C94"/>
    <w:rsid w:val="00E90F3F"/>
    <w:rsid w:val="00E90F71"/>
    <w:rsid w:val="00E917CB"/>
    <w:rsid w:val="00E91CDA"/>
    <w:rsid w:val="00E91EA1"/>
    <w:rsid w:val="00E92256"/>
    <w:rsid w:val="00E922A4"/>
    <w:rsid w:val="00E92302"/>
    <w:rsid w:val="00E92480"/>
    <w:rsid w:val="00E92521"/>
    <w:rsid w:val="00E92645"/>
    <w:rsid w:val="00E93185"/>
    <w:rsid w:val="00E931C5"/>
    <w:rsid w:val="00E9344A"/>
    <w:rsid w:val="00E9399E"/>
    <w:rsid w:val="00E93A27"/>
    <w:rsid w:val="00E93B90"/>
    <w:rsid w:val="00E93CFE"/>
    <w:rsid w:val="00E93EF1"/>
    <w:rsid w:val="00E93F38"/>
    <w:rsid w:val="00E94CCF"/>
    <w:rsid w:val="00E952B1"/>
    <w:rsid w:val="00E956A1"/>
    <w:rsid w:val="00E95721"/>
    <w:rsid w:val="00E9602A"/>
    <w:rsid w:val="00E96259"/>
    <w:rsid w:val="00E96361"/>
    <w:rsid w:val="00E968F4"/>
    <w:rsid w:val="00E96A58"/>
    <w:rsid w:val="00E96BC1"/>
    <w:rsid w:val="00E96F31"/>
    <w:rsid w:val="00E975EB"/>
    <w:rsid w:val="00E9776C"/>
    <w:rsid w:val="00E9798E"/>
    <w:rsid w:val="00E97D80"/>
    <w:rsid w:val="00EA0175"/>
    <w:rsid w:val="00EA075F"/>
    <w:rsid w:val="00EA0EC3"/>
    <w:rsid w:val="00EA1372"/>
    <w:rsid w:val="00EA18A9"/>
    <w:rsid w:val="00EA1928"/>
    <w:rsid w:val="00EA2317"/>
    <w:rsid w:val="00EA26F3"/>
    <w:rsid w:val="00EA2968"/>
    <w:rsid w:val="00EA2D87"/>
    <w:rsid w:val="00EA302E"/>
    <w:rsid w:val="00EA308B"/>
    <w:rsid w:val="00EA340F"/>
    <w:rsid w:val="00EA3518"/>
    <w:rsid w:val="00EA3547"/>
    <w:rsid w:val="00EA3949"/>
    <w:rsid w:val="00EA39E7"/>
    <w:rsid w:val="00EA3B6E"/>
    <w:rsid w:val="00EA4154"/>
    <w:rsid w:val="00EA43AC"/>
    <w:rsid w:val="00EA45DE"/>
    <w:rsid w:val="00EA4825"/>
    <w:rsid w:val="00EA4C79"/>
    <w:rsid w:val="00EA52CC"/>
    <w:rsid w:val="00EA5658"/>
    <w:rsid w:val="00EA5777"/>
    <w:rsid w:val="00EA5849"/>
    <w:rsid w:val="00EA5B63"/>
    <w:rsid w:val="00EA5BFE"/>
    <w:rsid w:val="00EA5C77"/>
    <w:rsid w:val="00EA5EFF"/>
    <w:rsid w:val="00EA6068"/>
    <w:rsid w:val="00EA611A"/>
    <w:rsid w:val="00EA64E5"/>
    <w:rsid w:val="00EA6907"/>
    <w:rsid w:val="00EA6D8B"/>
    <w:rsid w:val="00EA6F32"/>
    <w:rsid w:val="00EA72A0"/>
    <w:rsid w:val="00EA74E0"/>
    <w:rsid w:val="00EA7E81"/>
    <w:rsid w:val="00EA7F8A"/>
    <w:rsid w:val="00EB03CC"/>
    <w:rsid w:val="00EB06FA"/>
    <w:rsid w:val="00EB098A"/>
    <w:rsid w:val="00EB0C7D"/>
    <w:rsid w:val="00EB13D1"/>
    <w:rsid w:val="00EB1B72"/>
    <w:rsid w:val="00EB2057"/>
    <w:rsid w:val="00EB2303"/>
    <w:rsid w:val="00EB2420"/>
    <w:rsid w:val="00EB271B"/>
    <w:rsid w:val="00EB278E"/>
    <w:rsid w:val="00EB2847"/>
    <w:rsid w:val="00EB28F0"/>
    <w:rsid w:val="00EB2938"/>
    <w:rsid w:val="00EB2EA9"/>
    <w:rsid w:val="00EB30C8"/>
    <w:rsid w:val="00EB3C95"/>
    <w:rsid w:val="00EB3E52"/>
    <w:rsid w:val="00EB47E2"/>
    <w:rsid w:val="00EB4A29"/>
    <w:rsid w:val="00EB4A86"/>
    <w:rsid w:val="00EB50A8"/>
    <w:rsid w:val="00EB5AE3"/>
    <w:rsid w:val="00EB5C57"/>
    <w:rsid w:val="00EB5F52"/>
    <w:rsid w:val="00EB6023"/>
    <w:rsid w:val="00EB64D7"/>
    <w:rsid w:val="00EB64DD"/>
    <w:rsid w:val="00EB662B"/>
    <w:rsid w:val="00EB709A"/>
    <w:rsid w:val="00EB71DA"/>
    <w:rsid w:val="00EB726B"/>
    <w:rsid w:val="00EB7593"/>
    <w:rsid w:val="00EB7B2A"/>
    <w:rsid w:val="00EC0011"/>
    <w:rsid w:val="00EC02C6"/>
    <w:rsid w:val="00EC0E83"/>
    <w:rsid w:val="00EC0F60"/>
    <w:rsid w:val="00EC14B0"/>
    <w:rsid w:val="00EC170D"/>
    <w:rsid w:val="00EC18C9"/>
    <w:rsid w:val="00EC1B1B"/>
    <w:rsid w:val="00EC2059"/>
    <w:rsid w:val="00EC2242"/>
    <w:rsid w:val="00EC2384"/>
    <w:rsid w:val="00EC2573"/>
    <w:rsid w:val="00EC2AD9"/>
    <w:rsid w:val="00EC2C0E"/>
    <w:rsid w:val="00EC32EF"/>
    <w:rsid w:val="00EC3400"/>
    <w:rsid w:val="00EC3F2C"/>
    <w:rsid w:val="00EC3F33"/>
    <w:rsid w:val="00EC3FCF"/>
    <w:rsid w:val="00EC40EA"/>
    <w:rsid w:val="00EC51EC"/>
    <w:rsid w:val="00EC55EB"/>
    <w:rsid w:val="00EC56A6"/>
    <w:rsid w:val="00EC56E0"/>
    <w:rsid w:val="00EC6195"/>
    <w:rsid w:val="00EC65C0"/>
    <w:rsid w:val="00EC6B4F"/>
    <w:rsid w:val="00EC706E"/>
    <w:rsid w:val="00EC755E"/>
    <w:rsid w:val="00EC7E58"/>
    <w:rsid w:val="00ED065C"/>
    <w:rsid w:val="00ED075F"/>
    <w:rsid w:val="00ED0AC4"/>
    <w:rsid w:val="00ED14EB"/>
    <w:rsid w:val="00ED199E"/>
    <w:rsid w:val="00ED1BD9"/>
    <w:rsid w:val="00ED1D63"/>
    <w:rsid w:val="00ED1E98"/>
    <w:rsid w:val="00ED1ED0"/>
    <w:rsid w:val="00ED1F67"/>
    <w:rsid w:val="00ED21A0"/>
    <w:rsid w:val="00ED245E"/>
    <w:rsid w:val="00ED30B4"/>
    <w:rsid w:val="00ED331D"/>
    <w:rsid w:val="00ED369D"/>
    <w:rsid w:val="00ED443B"/>
    <w:rsid w:val="00ED4A18"/>
    <w:rsid w:val="00ED5381"/>
    <w:rsid w:val="00ED586B"/>
    <w:rsid w:val="00ED5C51"/>
    <w:rsid w:val="00ED658C"/>
    <w:rsid w:val="00ED676A"/>
    <w:rsid w:val="00ED6957"/>
    <w:rsid w:val="00ED6C53"/>
    <w:rsid w:val="00ED7049"/>
    <w:rsid w:val="00ED7230"/>
    <w:rsid w:val="00ED7554"/>
    <w:rsid w:val="00ED7758"/>
    <w:rsid w:val="00ED7BC8"/>
    <w:rsid w:val="00ED7DB4"/>
    <w:rsid w:val="00ED7DC3"/>
    <w:rsid w:val="00EE0112"/>
    <w:rsid w:val="00EE05A0"/>
    <w:rsid w:val="00EE0715"/>
    <w:rsid w:val="00EE112F"/>
    <w:rsid w:val="00EE130E"/>
    <w:rsid w:val="00EE1415"/>
    <w:rsid w:val="00EE210C"/>
    <w:rsid w:val="00EE2731"/>
    <w:rsid w:val="00EE2C01"/>
    <w:rsid w:val="00EE2F5B"/>
    <w:rsid w:val="00EE3138"/>
    <w:rsid w:val="00EE314A"/>
    <w:rsid w:val="00EE3399"/>
    <w:rsid w:val="00EE33CC"/>
    <w:rsid w:val="00EE38F6"/>
    <w:rsid w:val="00EE3D15"/>
    <w:rsid w:val="00EE3D39"/>
    <w:rsid w:val="00EE3E0B"/>
    <w:rsid w:val="00EE4016"/>
    <w:rsid w:val="00EE46E0"/>
    <w:rsid w:val="00EE4C78"/>
    <w:rsid w:val="00EE5480"/>
    <w:rsid w:val="00EE5645"/>
    <w:rsid w:val="00EE5761"/>
    <w:rsid w:val="00EE58FC"/>
    <w:rsid w:val="00EE5A6D"/>
    <w:rsid w:val="00EE5FEB"/>
    <w:rsid w:val="00EE6041"/>
    <w:rsid w:val="00EE64D1"/>
    <w:rsid w:val="00EE653F"/>
    <w:rsid w:val="00EE6591"/>
    <w:rsid w:val="00EE659B"/>
    <w:rsid w:val="00EE7504"/>
    <w:rsid w:val="00EE7801"/>
    <w:rsid w:val="00EE7972"/>
    <w:rsid w:val="00EE7CAF"/>
    <w:rsid w:val="00EE7D02"/>
    <w:rsid w:val="00EF03DA"/>
    <w:rsid w:val="00EF03E2"/>
    <w:rsid w:val="00EF056D"/>
    <w:rsid w:val="00EF07C1"/>
    <w:rsid w:val="00EF09B4"/>
    <w:rsid w:val="00EF0BF1"/>
    <w:rsid w:val="00EF0D63"/>
    <w:rsid w:val="00EF0E50"/>
    <w:rsid w:val="00EF16B7"/>
    <w:rsid w:val="00EF1AFE"/>
    <w:rsid w:val="00EF1BB3"/>
    <w:rsid w:val="00EF1EB1"/>
    <w:rsid w:val="00EF2D6D"/>
    <w:rsid w:val="00EF2F09"/>
    <w:rsid w:val="00EF32CD"/>
    <w:rsid w:val="00EF3EBD"/>
    <w:rsid w:val="00EF42CF"/>
    <w:rsid w:val="00EF49B5"/>
    <w:rsid w:val="00EF4A8B"/>
    <w:rsid w:val="00EF4DFD"/>
    <w:rsid w:val="00EF5011"/>
    <w:rsid w:val="00EF5439"/>
    <w:rsid w:val="00EF5778"/>
    <w:rsid w:val="00EF5A6F"/>
    <w:rsid w:val="00EF5EF1"/>
    <w:rsid w:val="00EF6042"/>
    <w:rsid w:val="00EF678D"/>
    <w:rsid w:val="00EF69ED"/>
    <w:rsid w:val="00EF6D6F"/>
    <w:rsid w:val="00EF7826"/>
    <w:rsid w:val="00F0016D"/>
    <w:rsid w:val="00F00251"/>
    <w:rsid w:val="00F003DA"/>
    <w:rsid w:val="00F0068A"/>
    <w:rsid w:val="00F006DC"/>
    <w:rsid w:val="00F00FE0"/>
    <w:rsid w:val="00F012DB"/>
    <w:rsid w:val="00F01325"/>
    <w:rsid w:val="00F019A0"/>
    <w:rsid w:val="00F019BA"/>
    <w:rsid w:val="00F01BE8"/>
    <w:rsid w:val="00F01D5A"/>
    <w:rsid w:val="00F0205B"/>
    <w:rsid w:val="00F02E95"/>
    <w:rsid w:val="00F03265"/>
    <w:rsid w:val="00F035BC"/>
    <w:rsid w:val="00F0378A"/>
    <w:rsid w:val="00F043DF"/>
    <w:rsid w:val="00F04A78"/>
    <w:rsid w:val="00F04AE0"/>
    <w:rsid w:val="00F0528A"/>
    <w:rsid w:val="00F052C7"/>
    <w:rsid w:val="00F05745"/>
    <w:rsid w:val="00F0594A"/>
    <w:rsid w:val="00F06084"/>
    <w:rsid w:val="00F06667"/>
    <w:rsid w:val="00F0696C"/>
    <w:rsid w:val="00F07383"/>
    <w:rsid w:val="00F076FA"/>
    <w:rsid w:val="00F07E57"/>
    <w:rsid w:val="00F07E6F"/>
    <w:rsid w:val="00F10229"/>
    <w:rsid w:val="00F1039E"/>
    <w:rsid w:val="00F1070A"/>
    <w:rsid w:val="00F10A57"/>
    <w:rsid w:val="00F10AD1"/>
    <w:rsid w:val="00F10D5E"/>
    <w:rsid w:val="00F10E26"/>
    <w:rsid w:val="00F11027"/>
    <w:rsid w:val="00F1133E"/>
    <w:rsid w:val="00F11CA3"/>
    <w:rsid w:val="00F1212A"/>
    <w:rsid w:val="00F121AE"/>
    <w:rsid w:val="00F122C1"/>
    <w:rsid w:val="00F122ED"/>
    <w:rsid w:val="00F12436"/>
    <w:rsid w:val="00F1253A"/>
    <w:rsid w:val="00F12B3E"/>
    <w:rsid w:val="00F12BB7"/>
    <w:rsid w:val="00F12DF6"/>
    <w:rsid w:val="00F12EC6"/>
    <w:rsid w:val="00F13275"/>
    <w:rsid w:val="00F1387D"/>
    <w:rsid w:val="00F139F4"/>
    <w:rsid w:val="00F13D63"/>
    <w:rsid w:val="00F14E1D"/>
    <w:rsid w:val="00F150EF"/>
    <w:rsid w:val="00F155C9"/>
    <w:rsid w:val="00F156A2"/>
    <w:rsid w:val="00F15DC0"/>
    <w:rsid w:val="00F16187"/>
    <w:rsid w:val="00F16334"/>
    <w:rsid w:val="00F1635B"/>
    <w:rsid w:val="00F164C6"/>
    <w:rsid w:val="00F1665B"/>
    <w:rsid w:val="00F16785"/>
    <w:rsid w:val="00F16BAB"/>
    <w:rsid w:val="00F16C52"/>
    <w:rsid w:val="00F16D10"/>
    <w:rsid w:val="00F16D41"/>
    <w:rsid w:val="00F17136"/>
    <w:rsid w:val="00F173BC"/>
    <w:rsid w:val="00F17BA3"/>
    <w:rsid w:val="00F17CCD"/>
    <w:rsid w:val="00F17EA4"/>
    <w:rsid w:val="00F2024D"/>
    <w:rsid w:val="00F207D2"/>
    <w:rsid w:val="00F213C0"/>
    <w:rsid w:val="00F2183A"/>
    <w:rsid w:val="00F21C09"/>
    <w:rsid w:val="00F21C6D"/>
    <w:rsid w:val="00F21F0B"/>
    <w:rsid w:val="00F22009"/>
    <w:rsid w:val="00F220B1"/>
    <w:rsid w:val="00F22418"/>
    <w:rsid w:val="00F228FF"/>
    <w:rsid w:val="00F233DC"/>
    <w:rsid w:val="00F2358D"/>
    <w:rsid w:val="00F235D2"/>
    <w:rsid w:val="00F2362F"/>
    <w:rsid w:val="00F23771"/>
    <w:rsid w:val="00F2482F"/>
    <w:rsid w:val="00F24860"/>
    <w:rsid w:val="00F24A7C"/>
    <w:rsid w:val="00F24C7C"/>
    <w:rsid w:val="00F25592"/>
    <w:rsid w:val="00F25693"/>
    <w:rsid w:val="00F2583A"/>
    <w:rsid w:val="00F2585E"/>
    <w:rsid w:val="00F2587F"/>
    <w:rsid w:val="00F25F53"/>
    <w:rsid w:val="00F26217"/>
    <w:rsid w:val="00F26599"/>
    <w:rsid w:val="00F26628"/>
    <w:rsid w:val="00F2674F"/>
    <w:rsid w:val="00F26F9F"/>
    <w:rsid w:val="00F2747F"/>
    <w:rsid w:val="00F2753E"/>
    <w:rsid w:val="00F276CA"/>
    <w:rsid w:val="00F277A2"/>
    <w:rsid w:val="00F27D22"/>
    <w:rsid w:val="00F27DC4"/>
    <w:rsid w:val="00F27E10"/>
    <w:rsid w:val="00F27F15"/>
    <w:rsid w:val="00F305FE"/>
    <w:rsid w:val="00F306EE"/>
    <w:rsid w:val="00F30874"/>
    <w:rsid w:val="00F308A8"/>
    <w:rsid w:val="00F30923"/>
    <w:rsid w:val="00F3094D"/>
    <w:rsid w:val="00F30953"/>
    <w:rsid w:val="00F30A9F"/>
    <w:rsid w:val="00F30AC6"/>
    <w:rsid w:val="00F30DC2"/>
    <w:rsid w:val="00F31C26"/>
    <w:rsid w:val="00F31D4B"/>
    <w:rsid w:val="00F31D56"/>
    <w:rsid w:val="00F31F0B"/>
    <w:rsid w:val="00F3248C"/>
    <w:rsid w:val="00F3280D"/>
    <w:rsid w:val="00F330B9"/>
    <w:rsid w:val="00F331B4"/>
    <w:rsid w:val="00F3391C"/>
    <w:rsid w:val="00F33AC0"/>
    <w:rsid w:val="00F33BA2"/>
    <w:rsid w:val="00F33D6E"/>
    <w:rsid w:val="00F34374"/>
    <w:rsid w:val="00F346CC"/>
    <w:rsid w:val="00F34967"/>
    <w:rsid w:val="00F34B84"/>
    <w:rsid w:val="00F34BA5"/>
    <w:rsid w:val="00F34F35"/>
    <w:rsid w:val="00F34F6D"/>
    <w:rsid w:val="00F36A00"/>
    <w:rsid w:val="00F36BC7"/>
    <w:rsid w:val="00F37F3B"/>
    <w:rsid w:val="00F40285"/>
    <w:rsid w:val="00F4030A"/>
    <w:rsid w:val="00F40723"/>
    <w:rsid w:val="00F40812"/>
    <w:rsid w:val="00F40A43"/>
    <w:rsid w:val="00F40B41"/>
    <w:rsid w:val="00F40E5F"/>
    <w:rsid w:val="00F4155E"/>
    <w:rsid w:val="00F41DEA"/>
    <w:rsid w:val="00F42017"/>
    <w:rsid w:val="00F4204E"/>
    <w:rsid w:val="00F425B0"/>
    <w:rsid w:val="00F42C4A"/>
    <w:rsid w:val="00F42FDC"/>
    <w:rsid w:val="00F4378F"/>
    <w:rsid w:val="00F43871"/>
    <w:rsid w:val="00F44AE1"/>
    <w:rsid w:val="00F452C0"/>
    <w:rsid w:val="00F45588"/>
    <w:rsid w:val="00F45931"/>
    <w:rsid w:val="00F45957"/>
    <w:rsid w:val="00F45A82"/>
    <w:rsid w:val="00F4606B"/>
    <w:rsid w:val="00F4622B"/>
    <w:rsid w:val="00F467AB"/>
    <w:rsid w:val="00F468C1"/>
    <w:rsid w:val="00F46D20"/>
    <w:rsid w:val="00F46E8F"/>
    <w:rsid w:val="00F46E9C"/>
    <w:rsid w:val="00F47001"/>
    <w:rsid w:val="00F47D4C"/>
    <w:rsid w:val="00F50031"/>
    <w:rsid w:val="00F5021B"/>
    <w:rsid w:val="00F50E19"/>
    <w:rsid w:val="00F51314"/>
    <w:rsid w:val="00F5162B"/>
    <w:rsid w:val="00F51BEB"/>
    <w:rsid w:val="00F51C65"/>
    <w:rsid w:val="00F51F65"/>
    <w:rsid w:val="00F52926"/>
    <w:rsid w:val="00F52BD8"/>
    <w:rsid w:val="00F52C6C"/>
    <w:rsid w:val="00F52D50"/>
    <w:rsid w:val="00F52E59"/>
    <w:rsid w:val="00F530C5"/>
    <w:rsid w:val="00F53310"/>
    <w:rsid w:val="00F53829"/>
    <w:rsid w:val="00F53F44"/>
    <w:rsid w:val="00F544C5"/>
    <w:rsid w:val="00F54821"/>
    <w:rsid w:val="00F5557C"/>
    <w:rsid w:val="00F55603"/>
    <w:rsid w:val="00F556F0"/>
    <w:rsid w:val="00F55A65"/>
    <w:rsid w:val="00F55B48"/>
    <w:rsid w:val="00F55B81"/>
    <w:rsid w:val="00F55C62"/>
    <w:rsid w:val="00F56022"/>
    <w:rsid w:val="00F56209"/>
    <w:rsid w:val="00F56449"/>
    <w:rsid w:val="00F56776"/>
    <w:rsid w:val="00F56A20"/>
    <w:rsid w:val="00F571B4"/>
    <w:rsid w:val="00F5727B"/>
    <w:rsid w:val="00F57F7E"/>
    <w:rsid w:val="00F60123"/>
    <w:rsid w:val="00F60259"/>
    <w:rsid w:val="00F6034C"/>
    <w:rsid w:val="00F60D53"/>
    <w:rsid w:val="00F60DE1"/>
    <w:rsid w:val="00F616B2"/>
    <w:rsid w:val="00F618A1"/>
    <w:rsid w:val="00F62427"/>
    <w:rsid w:val="00F62428"/>
    <w:rsid w:val="00F62807"/>
    <w:rsid w:val="00F6321C"/>
    <w:rsid w:val="00F6397F"/>
    <w:rsid w:val="00F63B2E"/>
    <w:rsid w:val="00F63DC1"/>
    <w:rsid w:val="00F647F3"/>
    <w:rsid w:val="00F651AB"/>
    <w:rsid w:val="00F6558D"/>
    <w:rsid w:val="00F656B9"/>
    <w:rsid w:val="00F65873"/>
    <w:rsid w:val="00F65D58"/>
    <w:rsid w:val="00F66054"/>
    <w:rsid w:val="00F662B6"/>
    <w:rsid w:val="00F66669"/>
    <w:rsid w:val="00F66791"/>
    <w:rsid w:val="00F672CD"/>
    <w:rsid w:val="00F67330"/>
    <w:rsid w:val="00F67483"/>
    <w:rsid w:val="00F67D6B"/>
    <w:rsid w:val="00F7001E"/>
    <w:rsid w:val="00F7009A"/>
    <w:rsid w:val="00F702D2"/>
    <w:rsid w:val="00F707F5"/>
    <w:rsid w:val="00F7098A"/>
    <w:rsid w:val="00F70A5E"/>
    <w:rsid w:val="00F71C00"/>
    <w:rsid w:val="00F71C1E"/>
    <w:rsid w:val="00F71C4C"/>
    <w:rsid w:val="00F71E9D"/>
    <w:rsid w:val="00F72053"/>
    <w:rsid w:val="00F72314"/>
    <w:rsid w:val="00F72490"/>
    <w:rsid w:val="00F7286D"/>
    <w:rsid w:val="00F728E0"/>
    <w:rsid w:val="00F72C6A"/>
    <w:rsid w:val="00F72CA7"/>
    <w:rsid w:val="00F72DC2"/>
    <w:rsid w:val="00F72EF2"/>
    <w:rsid w:val="00F72F32"/>
    <w:rsid w:val="00F730EF"/>
    <w:rsid w:val="00F73A17"/>
    <w:rsid w:val="00F73B14"/>
    <w:rsid w:val="00F73C3F"/>
    <w:rsid w:val="00F740CE"/>
    <w:rsid w:val="00F740EC"/>
    <w:rsid w:val="00F741EF"/>
    <w:rsid w:val="00F74238"/>
    <w:rsid w:val="00F74575"/>
    <w:rsid w:val="00F74590"/>
    <w:rsid w:val="00F749ED"/>
    <w:rsid w:val="00F75187"/>
    <w:rsid w:val="00F751AD"/>
    <w:rsid w:val="00F75683"/>
    <w:rsid w:val="00F7590D"/>
    <w:rsid w:val="00F75F99"/>
    <w:rsid w:val="00F761D0"/>
    <w:rsid w:val="00F765FC"/>
    <w:rsid w:val="00F76771"/>
    <w:rsid w:val="00F76A61"/>
    <w:rsid w:val="00F76C19"/>
    <w:rsid w:val="00F7715E"/>
    <w:rsid w:val="00F7733E"/>
    <w:rsid w:val="00F778B0"/>
    <w:rsid w:val="00F800B1"/>
    <w:rsid w:val="00F8045B"/>
    <w:rsid w:val="00F8078D"/>
    <w:rsid w:val="00F80819"/>
    <w:rsid w:val="00F80BF8"/>
    <w:rsid w:val="00F80CA1"/>
    <w:rsid w:val="00F80FE1"/>
    <w:rsid w:val="00F812B8"/>
    <w:rsid w:val="00F8139A"/>
    <w:rsid w:val="00F81619"/>
    <w:rsid w:val="00F81776"/>
    <w:rsid w:val="00F81D79"/>
    <w:rsid w:val="00F81F43"/>
    <w:rsid w:val="00F81F75"/>
    <w:rsid w:val="00F8200A"/>
    <w:rsid w:val="00F8260A"/>
    <w:rsid w:val="00F82695"/>
    <w:rsid w:val="00F82BD3"/>
    <w:rsid w:val="00F83774"/>
    <w:rsid w:val="00F837B6"/>
    <w:rsid w:val="00F83D7D"/>
    <w:rsid w:val="00F8439B"/>
    <w:rsid w:val="00F84E8A"/>
    <w:rsid w:val="00F855B9"/>
    <w:rsid w:val="00F8580D"/>
    <w:rsid w:val="00F85825"/>
    <w:rsid w:val="00F85D71"/>
    <w:rsid w:val="00F8629E"/>
    <w:rsid w:val="00F8641D"/>
    <w:rsid w:val="00F866F6"/>
    <w:rsid w:val="00F867AB"/>
    <w:rsid w:val="00F86864"/>
    <w:rsid w:val="00F86885"/>
    <w:rsid w:val="00F868AE"/>
    <w:rsid w:val="00F86D43"/>
    <w:rsid w:val="00F871A9"/>
    <w:rsid w:val="00F875B7"/>
    <w:rsid w:val="00F87FA4"/>
    <w:rsid w:val="00F900F4"/>
    <w:rsid w:val="00F903F6"/>
    <w:rsid w:val="00F904C6"/>
    <w:rsid w:val="00F904CD"/>
    <w:rsid w:val="00F90571"/>
    <w:rsid w:val="00F90661"/>
    <w:rsid w:val="00F90782"/>
    <w:rsid w:val="00F91BC7"/>
    <w:rsid w:val="00F91EA3"/>
    <w:rsid w:val="00F91F5B"/>
    <w:rsid w:val="00F92760"/>
    <w:rsid w:val="00F92C44"/>
    <w:rsid w:val="00F930F9"/>
    <w:rsid w:val="00F93182"/>
    <w:rsid w:val="00F932FA"/>
    <w:rsid w:val="00F93349"/>
    <w:rsid w:val="00F93725"/>
    <w:rsid w:val="00F93773"/>
    <w:rsid w:val="00F937F7"/>
    <w:rsid w:val="00F9399D"/>
    <w:rsid w:val="00F93A4F"/>
    <w:rsid w:val="00F93EDA"/>
    <w:rsid w:val="00F9417B"/>
    <w:rsid w:val="00F943E3"/>
    <w:rsid w:val="00F95901"/>
    <w:rsid w:val="00F95B46"/>
    <w:rsid w:val="00F95C42"/>
    <w:rsid w:val="00F95DCA"/>
    <w:rsid w:val="00F95F35"/>
    <w:rsid w:val="00F95F45"/>
    <w:rsid w:val="00F95F7A"/>
    <w:rsid w:val="00F961ED"/>
    <w:rsid w:val="00F963B9"/>
    <w:rsid w:val="00F96A02"/>
    <w:rsid w:val="00F97151"/>
    <w:rsid w:val="00F972FB"/>
    <w:rsid w:val="00F9747E"/>
    <w:rsid w:val="00F9754F"/>
    <w:rsid w:val="00F9767C"/>
    <w:rsid w:val="00F978F1"/>
    <w:rsid w:val="00F97E41"/>
    <w:rsid w:val="00F97F4D"/>
    <w:rsid w:val="00FA0070"/>
    <w:rsid w:val="00FA0304"/>
    <w:rsid w:val="00FA0ABC"/>
    <w:rsid w:val="00FA0B02"/>
    <w:rsid w:val="00FA1143"/>
    <w:rsid w:val="00FA1286"/>
    <w:rsid w:val="00FA1A07"/>
    <w:rsid w:val="00FA1B16"/>
    <w:rsid w:val="00FA20D6"/>
    <w:rsid w:val="00FA20E3"/>
    <w:rsid w:val="00FA254F"/>
    <w:rsid w:val="00FA255E"/>
    <w:rsid w:val="00FA2804"/>
    <w:rsid w:val="00FA2992"/>
    <w:rsid w:val="00FA29C6"/>
    <w:rsid w:val="00FA2BF4"/>
    <w:rsid w:val="00FA2D7A"/>
    <w:rsid w:val="00FA3016"/>
    <w:rsid w:val="00FA3232"/>
    <w:rsid w:val="00FA32EF"/>
    <w:rsid w:val="00FA3315"/>
    <w:rsid w:val="00FA3796"/>
    <w:rsid w:val="00FA37D8"/>
    <w:rsid w:val="00FA3F4F"/>
    <w:rsid w:val="00FA535B"/>
    <w:rsid w:val="00FA6231"/>
    <w:rsid w:val="00FA653E"/>
    <w:rsid w:val="00FA65D7"/>
    <w:rsid w:val="00FA6996"/>
    <w:rsid w:val="00FA69C8"/>
    <w:rsid w:val="00FA6EAB"/>
    <w:rsid w:val="00FA7174"/>
    <w:rsid w:val="00FA73FB"/>
    <w:rsid w:val="00FA7DC9"/>
    <w:rsid w:val="00FB0010"/>
    <w:rsid w:val="00FB006A"/>
    <w:rsid w:val="00FB04C4"/>
    <w:rsid w:val="00FB0669"/>
    <w:rsid w:val="00FB0CBE"/>
    <w:rsid w:val="00FB12AA"/>
    <w:rsid w:val="00FB14DA"/>
    <w:rsid w:val="00FB17A7"/>
    <w:rsid w:val="00FB1C5A"/>
    <w:rsid w:val="00FB1CB9"/>
    <w:rsid w:val="00FB1DF0"/>
    <w:rsid w:val="00FB1E12"/>
    <w:rsid w:val="00FB1E36"/>
    <w:rsid w:val="00FB2485"/>
    <w:rsid w:val="00FB2C19"/>
    <w:rsid w:val="00FB2E0B"/>
    <w:rsid w:val="00FB2EAA"/>
    <w:rsid w:val="00FB3565"/>
    <w:rsid w:val="00FB3647"/>
    <w:rsid w:val="00FB375E"/>
    <w:rsid w:val="00FB3E0B"/>
    <w:rsid w:val="00FB3EDB"/>
    <w:rsid w:val="00FB42CD"/>
    <w:rsid w:val="00FB431C"/>
    <w:rsid w:val="00FB43A1"/>
    <w:rsid w:val="00FB4421"/>
    <w:rsid w:val="00FB449F"/>
    <w:rsid w:val="00FB4BB1"/>
    <w:rsid w:val="00FB4F27"/>
    <w:rsid w:val="00FB504F"/>
    <w:rsid w:val="00FB5557"/>
    <w:rsid w:val="00FB574B"/>
    <w:rsid w:val="00FB5791"/>
    <w:rsid w:val="00FB60F9"/>
    <w:rsid w:val="00FB643F"/>
    <w:rsid w:val="00FB64A4"/>
    <w:rsid w:val="00FB66F1"/>
    <w:rsid w:val="00FB6931"/>
    <w:rsid w:val="00FB698D"/>
    <w:rsid w:val="00FB7775"/>
    <w:rsid w:val="00FB7A1C"/>
    <w:rsid w:val="00FB7CFB"/>
    <w:rsid w:val="00FB7DB5"/>
    <w:rsid w:val="00FB7DFF"/>
    <w:rsid w:val="00FB7F76"/>
    <w:rsid w:val="00FC01A6"/>
    <w:rsid w:val="00FC02F6"/>
    <w:rsid w:val="00FC057F"/>
    <w:rsid w:val="00FC0BEE"/>
    <w:rsid w:val="00FC1070"/>
    <w:rsid w:val="00FC1341"/>
    <w:rsid w:val="00FC15FE"/>
    <w:rsid w:val="00FC165E"/>
    <w:rsid w:val="00FC1854"/>
    <w:rsid w:val="00FC2478"/>
    <w:rsid w:val="00FC252A"/>
    <w:rsid w:val="00FC2574"/>
    <w:rsid w:val="00FC357B"/>
    <w:rsid w:val="00FC36D1"/>
    <w:rsid w:val="00FC38CA"/>
    <w:rsid w:val="00FC395D"/>
    <w:rsid w:val="00FC3A65"/>
    <w:rsid w:val="00FC3DE5"/>
    <w:rsid w:val="00FC436E"/>
    <w:rsid w:val="00FC44DB"/>
    <w:rsid w:val="00FC4570"/>
    <w:rsid w:val="00FC49B4"/>
    <w:rsid w:val="00FC4B4A"/>
    <w:rsid w:val="00FC4DCE"/>
    <w:rsid w:val="00FC4DFD"/>
    <w:rsid w:val="00FC523C"/>
    <w:rsid w:val="00FC534B"/>
    <w:rsid w:val="00FC55E5"/>
    <w:rsid w:val="00FC59D6"/>
    <w:rsid w:val="00FC5B55"/>
    <w:rsid w:val="00FC5BB9"/>
    <w:rsid w:val="00FC5CAC"/>
    <w:rsid w:val="00FC5CFA"/>
    <w:rsid w:val="00FC5FB9"/>
    <w:rsid w:val="00FC6149"/>
    <w:rsid w:val="00FC6724"/>
    <w:rsid w:val="00FC6B2A"/>
    <w:rsid w:val="00FC6F9C"/>
    <w:rsid w:val="00FC7327"/>
    <w:rsid w:val="00FC7524"/>
    <w:rsid w:val="00FC7A1C"/>
    <w:rsid w:val="00FC7C8A"/>
    <w:rsid w:val="00FC7EE9"/>
    <w:rsid w:val="00FD025F"/>
    <w:rsid w:val="00FD0700"/>
    <w:rsid w:val="00FD1E38"/>
    <w:rsid w:val="00FD30A0"/>
    <w:rsid w:val="00FD38CA"/>
    <w:rsid w:val="00FD39EE"/>
    <w:rsid w:val="00FD3CC9"/>
    <w:rsid w:val="00FD49A9"/>
    <w:rsid w:val="00FD4A14"/>
    <w:rsid w:val="00FD509A"/>
    <w:rsid w:val="00FD50C7"/>
    <w:rsid w:val="00FD5184"/>
    <w:rsid w:val="00FD54E3"/>
    <w:rsid w:val="00FD5697"/>
    <w:rsid w:val="00FD57A4"/>
    <w:rsid w:val="00FD5BC8"/>
    <w:rsid w:val="00FD5CF4"/>
    <w:rsid w:val="00FD5DDF"/>
    <w:rsid w:val="00FD6454"/>
    <w:rsid w:val="00FD6676"/>
    <w:rsid w:val="00FD694D"/>
    <w:rsid w:val="00FD6CA3"/>
    <w:rsid w:val="00FD7374"/>
    <w:rsid w:val="00FD74B4"/>
    <w:rsid w:val="00FD76FE"/>
    <w:rsid w:val="00FD7976"/>
    <w:rsid w:val="00FE0952"/>
    <w:rsid w:val="00FE0C14"/>
    <w:rsid w:val="00FE0D6B"/>
    <w:rsid w:val="00FE17FF"/>
    <w:rsid w:val="00FE19FB"/>
    <w:rsid w:val="00FE21ED"/>
    <w:rsid w:val="00FE23FF"/>
    <w:rsid w:val="00FE2535"/>
    <w:rsid w:val="00FE28F1"/>
    <w:rsid w:val="00FE2F83"/>
    <w:rsid w:val="00FE3116"/>
    <w:rsid w:val="00FE3DDD"/>
    <w:rsid w:val="00FE4073"/>
    <w:rsid w:val="00FE4534"/>
    <w:rsid w:val="00FE455D"/>
    <w:rsid w:val="00FE4923"/>
    <w:rsid w:val="00FE4A37"/>
    <w:rsid w:val="00FE4C8A"/>
    <w:rsid w:val="00FE4E6C"/>
    <w:rsid w:val="00FE522C"/>
    <w:rsid w:val="00FE5688"/>
    <w:rsid w:val="00FE56A6"/>
    <w:rsid w:val="00FE5C91"/>
    <w:rsid w:val="00FE5E13"/>
    <w:rsid w:val="00FE6273"/>
    <w:rsid w:val="00FE63FE"/>
    <w:rsid w:val="00FE64DB"/>
    <w:rsid w:val="00FE6712"/>
    <w:rsid w:val="00FE67A4"/>
    <w:rsid w:val="00FE6C9E"/>
    <w:rsid w:val="00FE6D11"/>
    <w:rsid w:val="00FE6ED0"/>
    <w:rsid w:val="00FE6F70"/>
    <w:rsid w:val="00FE7294"/>
    <w:rsid w:val="00FE7335"/>
    <w:rsid w:val="00FE7614"/>
    <w:rsid w:val="00FE7763"/>
    <w:rsid w:val="00FE7B0C"/>
    <w:rsid w:val="00FE7D4F"/>
    <w:rsid w:val="00FF00CA"/>
    <w:rsid w:val="00FF0366"/>
    <w:rsid w:val="00FF0577"/>
    <w:rsid w:val="00FF063D"/>
    <w:rsid w:val="00FF0AA2"/>
    <w:rsid w:val="00FF0E43"/>
    <w:rsid w:val="00FF1280"/>
    <w:rsid w:val="00FF16BA"/>
    <w:rsid w:val="00FF1905"/>
    <w:rsid w:val="00FF1BE9"/>
    <w:rsid w:val="00FF1E79"/>
    <w:rsid w:val="00FF1FD4"/>
    <w:rsid w:val="00FF3006"/>
    <w:rsid w:val="00FF3125"/>
    <w:rsid w:val="00FF3564"/>
    <w:rsid w:val="00FF3758"/>
    <w:rsid w:val="00FF4018"/>
    <w:rsid w:val="00FF42DB"/>
    <w:rsid w:val="00FF49E1"/>
    <w:rsid w:val="00FF4D57"/>
    <w:rsid w:val="00FF4E71"/>
    <w:rsid w:val="00FF4F47"/>
    <w:rsid w:val="00FF56EB"/>
    <w:rsid w:val="00FF5CA9"/>
    <w:rsid w:val="00FF5D86"/>
    <w:rsid w:val="00FF6926"/>
    <w:rsid w:val="00FF6BD8"/>
    <w:rsid w:val="00FF6CC0"/>
    <w:rsid w:val="00FF7325"/>
    <w:rsid w:val="00FF7CAC"/>
    <w:rsid w:val="00FF7DA3"/>
    <w:rsid w:val="0167049B"/>
    <w:rsid w:val="037E1EAD"/>
    <w:rsid w:val="04553F14"/>
    <w:rsid w:val="045A222B"/>
    <w:rsid w:val="04992496"/>
    <w:rsid w:val="05064139"/>
    <w:rsid w:val="054D127E"/>
    <w:rsid w:val="064773E4"/>
    <w:rsid w:val="07047A01"/>
    <w:rsid w:val="07791F7B"/>
    <w:rsid w:val="07A136DC"/>
    <w:rsid w:val="07CF4F7D"/>
    <w:rsid w:val="08CE7178"/>
    <w:rsid w:val="09597C07"/>
    <w:rsid w:val="0A3C34FB"/>
    <w:rsid w:val="0A4958B0"/>
    <w:rsid w:val="0A99483E"/>
    <w:rsid w:val="0B587062"/>
    <w:rsid w:val="0B630CD5"/>
    <w:rsid w:val="0BC54F41"/>
    <w:rsid w:val="0BF773E2"/>
    <w:rsid w:val="0C39134B"/>
    <w:rsid w:val="0CB355FC"/>
    <w:rsid w:val="0D4E6844"/>
    <w:rsid w:val="0DCF4A7A"/>
    <w:rsid w:val="0E3C7C65"/>
    <w:rsid w:val="0FB46745"/>
    <w:rsid w:val="0FCA47A1"/>
    <w:rsid w:val="10394FCB"/>
    <w:rsid w:val="10C520D6"/>
    <w:rsid w:val="12087B6B"/>
    <w:rsid w:val="12DD4005"/>
    <w:rsid w:val="131574D7"/>
    <w:rsid w:val="15933411"/>
    <w:rsid w:val="16275458"/>
    <w:rsid w:val="164E23DE"/>
    <w:rsid w:val="167C7330"/>
    <w:rsid w:val="16C62255"/>
    <w:rsid w:val="171838F9"/>
    <w:rsid w:val="18347B23"/>
    <w:rsid w:val="1A3A366E"/>
    <w:rsid w:val="1A4C263D"/>
    <w:rsid w:val="1A670E8C"/>
    <w:rsid w:val="1ADA0AA7"/>
    <w:rsid w:val="1AF93F63"/>
    <w:rsid w:val="1BB26412"/>
    <w:rsid w:val="1BF35E63"/>
    <w:rsid w:val="1C003B13"/>
    <w:rsid w:val="1CF361D7"/>
    <w:rsid w:val="1D0F46C7"/>
    <w:rsid w:val="1DCC29A4"/>
    <w:rsid w:val="1DE77F5A"/>
    <w:rsid w:val="1E0B4009"/>
    <w:rsid w:val="1E3C03CE"/>
    <w:rsid w:val="1E8763DF"/>
    <w:rsid w:val="1F014DEA"/>
    <w:rsid w:val="1F1A69F7"/>
    <w:rsid w:val="1F32159B"/>
    <w:rsid w:val="1FB27BF8"/>
    <w:rsid w:val="1FF8290A"/>
    <w:rsid w:val="2065202F"/>
    <w:rsid w:val="20BA30CB"/>
    <w:rsid w:val="22B238A8"/>
    <w:rsid w:val="231C331B"/>
    <w:rsid w:val="2334684D"/>
    <w:rsid w:val="233B67F3"/>
    <w:rsid w:val="23EA7E23"/>
    <w:rsid w:val="242C2E46"/>
    <w:rsid w:val="244A2109"/>
    <w:rsid w:val="24B4437A"/>
    <w:rsid w:val="24BE3E64"/>
    <w:rsid w:val="251B4005"/>
    <w:rsid w:val="280D3E4D"/>
    <w:rsid w:val="285B703B"/>
    <w:rsid w:val="2A406BAF"/>
    <w:rsid w:val="2AC661C2"/>
    <w:rsid w:val="2B9578AF"/>
    <w:rsid w:val="2D577F4B"/>
    <w:rsid w:val="2FFE0365"/>
    <w:rsid w:val="303F1F54"/>
    <w:rsid w:val="30B56951"/>
    <w:rsid w:val="30E72EB5"/>
    <w:rsid w:val="310E11D8"/>
    <w:rsid w:val="31B55F9F"/>
    <w:rsid w:val="31EB57E0"/>
    <w:rsid w:val="31F22BF7"/>
    <w:rsid w:val="3203086D"/>
    <w:rsid w:val="32041EC9"/>
    <w:rsid w:val="32EE6348"/>
    <w:rsid w:val="3301344E"/>
    <w:rsid w:val="33460731"/>
    <w:rsid w:val="33F13C5E"/>
    <w:rsid w:val="345E7312"/>
    <w:rsid w:val="34BE1CF2"/>
    <w:rsid w:val="34C46066"/>
    <w:rsid w:val="34EE4873"/>
    <w:rsid w:val="35490E78"/>
    <w:rsid w:val="365F0826"/>
    <w:rsid w:val="36645505"/>
    <w:rsid w:val="36E7499D"/>
    <w:rsid w:val="37151B0A"/>
    <w:rsid w:val="37573552"/>
    <w:rsid w:val="37D611CB"/>
    <w:rsid w:val="38661DB3"/>
    <w:rsid w:val="386A4995"/>
    <w:rsid w:val="389871EF"/>
    <w:rsid w:val="3A0422B1"/>
    <w:rsid w:val="3AAB7BDE"/>
    <w:rsid w:val="3AEB5688"/>
    <w:rsid w:val="3AF86A49"/>
    <w:rsid w:val="3B04208F"/>
    <w:rsid w:val="3B4B6C76"/>
    <w:rsid w:val="3BB93341"/>
    <w:rsid w:val="3BC10395"/>
    <w:rsid w:val="3C67088F"/>
    <w:rsid w:val="3E200074"/>
    <w:rsid w:val="3E4C3578"/>
    <w:rsid w:val="3EC04FEF"/>
    <w:rsid w:val="3FC74AB5"/>
    <w:rsid w:val="40E72035"/>
    <w:rsid w:val="40FA44A9"/>
    <w:rsid w:val="415A6342"/>
    <w:rsid w:val="416B11D0"/>
    <w:rsid w:val="417C036D"/>
    <w:rsid w:val="41833FE6"/>
    <w:rsid w:val="42A000D5"/>
    <w:rsid w:val="42A300BF"/>
    <w:rsid w:val="42E522EA"/>
    <w:rsid w:val="43456D78"/>
    <w:rsid w:val="43C71D8B"/>
    <w:rsid w:val="441606FD"/>
    <w:rsid w:val="443C796F"/>
    <w:rsid w:val="44C02AC6"/>
    <w:rsid w:val="45185DDF"/>
    <w:rsid w:val="455B13D4"/>
    <w:rsid w:val="45A12F23"/>
    <w:rsid w:val="46ED2DE4"/>
    <w:rsid w:val="48B14A9C"/>
    <w:rsid w:val="48EB7F8B"/>
    <w:rsid w:val="4AAA07C1"/>
    <w:rsid w:val="4B374E4E"/>
    <w:rsid w:val="4C1522A1"/>
    <w:rsid w:val="4CD35A34"/>
    <w:rsid w:val="4D1F4F3F"/>
    <w:rsid w:val="4D8A06B9"/>
    <w:rsid w:val="4E601DA1"/>
    <w:rsid w:val="4E706D15"/>
    <w:rsid w:val="4ECE72F6"/>
    <w:rsid w:val="4F3C168A"/>
    <w:rsid w:val="4FEE4FE2"/>
    <w:rsid w:val="50565DE7"/>
    <w:rsid w:val="51A8274B"/>
    <w:rsid w:val="52E0012C"/>
    <w:rsid w:val="52F26F02"/>
    <w:rsid w:val="53891580"/>
    <w:rsid w:val="547C0655"/>
    <w:rsid w:val="549D3CDA"/>
    <w:rsid w:val="54AF0F19"/>
    <w:rsid w:val="54CE0F5E"/>
    <w:rsid w:val="54EA690B"/>
    <w:rsid w:val="55B160B4"/>
    <w:rsid w:val="5661516C"/>
    <w:rsid w:val="581133DE"/>
    <w:rsid w:val="58AC3159"/>
    <w:rsid w:val="58FA37CC"/>
    <w:rsid w:val="59334B17"/>
    <w:rsid w:val="593A224F"/>
    <w:rsid w:val="593B0496"/>
    <w:rsid w:val="594C0E4F"/>
    <w:rsid w:val="59532C0A"/>
    <w:rsid w:val="5B7D7E9D"/>
    <w:rsid w:val="5BAE718D"/>
    <w:rsid w:val="5C464C03"/>
    <w:rsid w:val="5CD046D1"/>
    <w:rsid w:val="5D347B33"/>
    <w:rsid w:val="5D642BA9"/>
    <w:rsid w:val="5D91434B"/>
    <w:rsid w:val="5DCC6234"/>
    <w:rsid w:val="5DE21125"/>
    <w:rsid w:val="5EBA0840"/>
    <w:rsid w:val="5F46109B"/>
    <w:rsid w:val="5FE53CD2"/>
    <w:rsid w:val="5FE94A60"/>
    <w:rsid w:val="5FF60960"/>
    <w:rsid w:val="60C614B3"/>
    <w:rsid w:val="611D3553"/>
    <w:rsid w:val="61457116"/>
    <w:rsid w:val="61BF3F0B"/>
    <w:rsid w:val="61CA06D8"/>
    <w:rsid w:val="62321465"/>
    <w:rsid w:val="62C0788D"/>
    <w:rsid w:val="63760C29"/>
    <w:rsid w:val="64100CDD"/>
    <w:rsid w:val="64D82831"/>
    <w:rsid w:val="6563270F"/>
    <w:rsid w:val="663744C9"/>
    <w:rsid w:val="66D32E10"/>
    <w:rsid w:val="66F12F77"/>
    <w:rsid w:val="67024D73"/>
    <w:rsid w:val="671E40B7"/>
    <w:rsid w:val="672C5B85"/>
    <w:rsid w:val="67464C68"/>
    <w:rsid w:val="67B506A5"/>
    <w:rsid w:val="683B2BC5"/>
    <w:rsid w:val="68A2097B"/>
    <w:rsid w:val="68DF06AE"/>
    <w:rsid w:val="69814AE7"/>
    <w:rsid w:val="69CF11D7"/>
    <w:rsid w:val="6A0B4877"/>
    <w:rsid w:val="6A45023A"/>
    <w:rsid w:val="6AB14917"/>
    <w:rsid w:val="6B544CAA"/>
    <w:rsid w:val="6BB92FA2"/>
    <w:rsid w:val="6D0711A6"/>
    <w:rsid w:val="6D1D2836"/>
    <w:rsid w:val="6D792ACF"/>
    <w:rsid w:val="6E113A5B"/>
    <w:rsid w:val="6E78689B"/>
    <w:rsid w:val="6E895562"/>
    <w:rsid w:val="6E933FEB"/>
    <w:rsid w:val="6F043ED9"/>
    <w:rsid w:val="6F6C2A34"/>
    <w:rsid w:val="6FCF155D"/>
    <w:rsid w:val="72056FE6"/>
    <w:rsid w:val="72633AC4"/>
    <w:rsid w:val="733F3D0F"/>
    <w:rsid w:val="73710419"/>
    <w:rsid w:val="75F169BC"/>
    <w:rsid w:val="76033354"/>
    <w:rsid w:val="76A57E43"/>
    <w:rsid w:val="77457966"/>
    <w:rsid w:val="787F21BB"/>
    <w:rsid w:val="78BE7EC9"/>
    <w:rsid w:val="7A1D544A"/>
    <w:rsid w:val="7A846C81"/>
    <w:rsid w:val="7BDA626B"/>
    <w:rsid w:val="7BEE3584"/>
    <w:rsid w:val="7C2678AC"/>
    <w:rsid w:val="7C900784"/>
    <w:rsid w:val="7DD05DB3"/>
    <w:rsid w:val="7DE97DF6"/>
    <w:rsid w:val="7E2365F9"/>
    <w:rsid w:val="7E4F6538"/>
    <w:rsid w:val="7EBF2A6C"/>
    <w:rsid w:val="7F0204C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BDF7C6" fill="t" stroke="f">
      <v:fill on="t" focussize="0,0"/>
      <v:stroke on="f"/>
    </o:shapedefaults>
    <o:shapelayout v:ext="edit">
      <o:idmap v:ext="edit" data="2,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name="footnote text"/>
    <w:lsdException w:unhideWhenUsed="0" w:uiPriority="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59" w:semiHidden="0" w:name="Table Grid"/>
    <w:lsdException w:unhideWhenUsed="0" w:uiPriority="0" w:semiHidden="0" w:name="Table Theme"/>
    <w:lsdException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name=""/>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3">
    <w:name w:val="heading 1"/>
    <w:basedOn w:val="1"/>
    <w:next w:val="1"/>
    <w:link w:val="609"/>
    <w:qFormat/>
    <w:uiPriority w:val="0"/>
    <w:pPr>
      <w:keepNext/>
      <w:tabs>
        <w:tab w:val="left" w:pos="425"/>
      </w:tabs>
      <w:ind w:left="425" w:hanging="425"/>
      <w:outlineLvl w:val="0"/>
    </w:pPr>
    <w:rPr>
      <w:rFonts w:eastAsia="黑体"/>
      <w:sz w:val="28"/>
    </w:rPr>
  </w:style>
  <w:style w:type="paragraph" w:styleId="4">
    <w:name w:val="heading 2"/>
    <w:basedOn w:val="1"/>
    <w:next w:val="1"/>
    <w:link w:val="623"/>
    <w:qFormat/>
    <w:uiPriority w:val="0"/>
    <w:pPr>
      <w:keepNext/>
      <w:tabs>
        <w:tab w:val="left" w:pos="567"/>
      </w:tabs>
      <w:ind w:left="567" w:hanging="567"/>
      <w:jc w:val="center"/>
      <w:outlineLvl w:val="1"/>
    </w:pPr>
    <w:rPr>
      <w:b/>
      <w:bCs/>
    </w:rPr>
  </w:style>
  <w:style w:type="paragraph" w:styleId="5">
    <w:name w:val="heading 3"/>
    <w:basedOn w:val="1"/>
    <w:next w:val="1"/>
    <w:link w:val="682"/>
    <w:qFormat/>
    <w:uiPriority w:val="0"/>
    <w:pPr>
      <w:keepNext/>
      <w:keepLines/>
      <w:spacing w:before="260" w:after="260" w:line="416" w:lineRule="auto"/>
      <w:outlineLvl w:val="2"/>
    </w:pPr>
    <w:rPr>
      <w:b/>
      <w:bCs/>
      <w:sz w:val="32"/>
      <w:szCs w:val="32"/>
    </w:rPr>
  </w:style>
  <w:style w:type="paragraph" w:styleId="6">
    <w:name w:val="heading 4"/>
    <w:basedOn w:val="1"/>
    <w:next w:val="1"/>
    <w:link w:val="690"/>
    <w:qFormat/>
    <w:uiPriority w:val="0"/>
    <w:pPr>
      <w:tabs>
        <w:tab w:val="left" w:pos="1440"/>
      </w:tabs>
      <w:snapToGrid w:val="0"/>
      <w:ind w:left="567" w:hanging="567"/>
      <w:outlineLvl w:val="3"/>
    </w:pPr>
    <w:rPr>
      <w:sz w:val="32"/>
      <w:szCs w:val="20"/>
    </w:rPr>
  </w:style>
  <w:style w:type="paragraph" w:styleId="7">
    <w:name w:val="heading 5"/>
    <w:basedOn w:val="1"/>
    <w:next w:val="1"/>
    <w:link w:val="579"/>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527"/>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528"/>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27"/>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550"/>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84">
    <w:name w:val="Default Paragraph Font"/>
    <w:semiHidden/>
    <w:uiPriority w:val="0"/>
    <w:rPr>
      <w:rFonts w:ascii="宋体" w:hAnsi="宋体" w:cs="宋体"/>
      <w:sz w:val="24"/>
      <w:szCs w:val="24"/>
    </w:rPr>
  </w:style>
  <w:style w:type="table" w:default="1" w:styleId="79">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79"/>
      <w:tblCellMar>
        <w:top w:w="0" w:type="dxa"/>
        <w:left w:w="108" w:type="dxa"/>
        <w:bottom w:w="0" w:type="dxa"/>
        <w:right w:w="108" w:type="dxa"/>
      </w:tblCellMar>
    </w:tblPr>
  </w:style>
  <w:style w:type="paragraph" w:customStyle="1" w:styleId="2">
    <w:name w:val="Default"/>
    <w:uiPriority w:val="0"/>
    <w:pPr>
      <w:widowControl w:val="0"/>
      <w:autoSpaceDE w:val="0"/>
      <w:autoSpaceDN w:val="0"/>
      <w:adjustRightInd w:val="0"/>
    </w:pPr>
    <w:rPr>
      <w:rFonts w:ascii="宋体" w:cs="宋体"/>
      <w:color w:val="000000"/>
      <w:sz w:val="24"/>
      <w:szCs w:val="24"/>
      <w:lang w:val="en-US" w:eastAsia="zh-CN" w:bidi="ar-SA"/>
    </w:rPr>
  </w:style>
  <w:style w:type="paragraph" w:styleId="12">
    <w:name w:val="List 3"/>
    <w:basedOn w:val="1"/>
    <w:uiPriority w:val="0"/>
    <w:pPr>
      <w:ind w:left="100" w:leftChars="400" w:hanging="200" w:hangingChars="200"/>
    </w:pPr>
    <w:rPr>
      <w:rFonts w:ascii="仿宋_GB2312" w:eastAsia="仿宋_GB2312"/>
      <w:sz w:val="28"/>
    </w:rPr>
  </w:style>
  <w:style w:type="paragraph" w:styleId="13">
    <w:name w:val="toc 7"/>
    <w:basedOn w:val="1"/>
    <w:next w:val="1"/>
    <w:uiPriority w:val="39"/>
    <w:pPr>
      <w:ind w:left="2520" w:leftChars="1200"/>
    </w:pPr>
  </w:style>
  <w:style w:type="paragraph" w:styleId="14">
    <w:name w:val="List Number 2"/>
    <w:basedOn w:val="1"/>
    <w:uiPriority w:val="0"/>
    <w:pPr>
      <w:tabs>
        <w:tab w:val="left" w:pos="780"/>
      </w:tabs>
      <w:ind w:left="780" w:leftChars="200" w:hanging="360" w:hangingChars="200"/>
    </w:pPr>
    <w:rPr>
      <w:rFonts w:ascii="仿宋_GB2312" w:eastAsia="仿宋_GB2312"/>
      <w:sz w:val="28"/>
    </w:rPr>
  </w:style>
  <w:style w:type="paragraph" w:styleId="15">
    <w:name w:val="Note Heading"/>
    <w:basedOn w:val="1"/>
    <w:next w:val="1"/>
    <w:uiPriority w:val="0"/>
    <w:pPr>
      <w:jc w:val="center"/>
    </w:pPr>
    <w:rPr>
      <w:rFonts w:hint="eastAsia" w:ascii="宋体"/>
      <w:szCs w:val="20"/>
    </w:rPr>
  </w:style>
  <w:style w:type="paragraph" w:styleId="16">
    <w:name w:val="List Bullet 4"/>
    <w:basedOn w:val="1"/>
    <w:uiPriority w:val="0"/>
    <w:pPr>
      <w:tabs>
        <w:tab w:val="left" w:pos="1620"/>
      </w:tabs>
      <w:ind w:left="1620" w:leftChars="600" w:hanging="360" w:hangingChars="200"/>
    </w:pPr>
    <w:rPr>
      <w:rFonts w:ascii="仿宋_GB2312" w:eastAsia="仿宋_GB2312"/>
      <w:sz w:val="28"/>
    </w:rPr>
  </w:style>
  <w:style w:type="paragraph" w:styleId="17">
    <w:name w:val="E-mail Signature"/>
    <w:basedOn w:val="1"/>
    <w:uiPriority w:val="0"/>
    <w:pPr>
      <w:ind w:firstLine="200" w:firstLineChars="200"/>
    </w:pPr>
    <w:rPr>
      <w:rFonts w:ascii="仿宋_GB2312" w:eastAsia="仿宋_GB2312"/>
      <w:sz w:val="28"/>
    </w:rPr>
  </w:style>
  <w:style w:type="paragraph" w:styleId="18">
    <w:name w:val="List Number"/>
    <w:basedOn w:val="1"/>
    <w:uiPriority w:val="0"/>
    <w:pPr>
      <w:tabs>
        <w:tab w:val="left" w:pos="360"/>
      </w:tabs>
      <w:ind w:left="360" w:hanging="360" w:hangingChars="200"/>
    </w:pPr>
    <w:rPr>
      <w:rFonts w:ascii="仿宋_GB2312" w:eastAsia="仿宋_GB2312"/>
      <w:sz w:val="28"/>
    </w:rPr>
  </w:style>
  <w:style w:type="paragraph" w:styleId="19">
    <w:name w:val="Normal Indent"/>
    <w:basedOn w:val="1"/>
    <w:link w:val="567"/>
    <w:uiPriority w:val="0"/>
    <w:pPr>
      <w:ind w:firstLine="574" w:firstLineChars="200"/>
    </w:pPr>
    <w:rPr>
      <w:rFonts w:ascii="宋体" w:hAnsi="宋体"/>
      <w:sz w:val="28"/>
      <w:szCs w:val="20"/>
    </w:rPr>
  </w:style>
  <w:style w:type="paragraph" w:styleId="20">
    <w:name w:val="caption"/>
    <w:basedOn w:val="1"/>
    <w:next w:val="1"/>
    <w:link w:val="642"/>
    <w:qFormat/>
    <w:uiPriority w:val="0"/>
    <w:pPr>
      <w:spacing w:line="500" w:lineRule="exact"/>
    </w:pPr>
    <w:rPr>
      <w:rFonts w:ascii="Arial" w:hAnsi="Arial" w:eastAsia="黑体" w:cs="Arial"/>
      <w:sz w:val="20"/>
      <w:szCs w:val="20"/>
    </w:rPr>
  </w:style>
  <w:style w:type="paragraph" w:styleId="21">
    <w:name w:val="index 5"/>
    <w:basedOn w:val="1"/>
    <w:next w:val="1"/>
    <w:semiHidden/>
    <w:uiPriority w:val="0"/>
    <w:pPr>
      <w:ind w:left="800" w:leftChars="800"/>
    </w:pPr>
  </w:style>
  <w:style w:type="paragraph" w:styleId="22">
    <w:name w:val="List Bullet"/>
    <w:basedOn w:val="1"/>
    <w:uiPriority w:val="0"/>
    <w:pPr>
      <w:tabs>
        <w:tab w:val="left" w:pos="360"/>
      </w:tabs>
      <w:ind w:left="360" w:hanging="360" w:hangingChars="200"/>
    </w:pPr>
  </w:style>
  <w:style w:type="paragraph" w:styleId="23">
    <w:name w:val="envelope address"/>
    <w:basedOn w:val="1"/>
    <w:uiPriority w:val="0"/>
    <w:pPr>
      <w:framePr w:w="7920" w:h="1980" w:hRule="exact" w:hSpace="180" w:wrap="around" w:vAnchor="margin" w:hAnchor="page" w:xAlign="center" w:yAlign="bottom"/>
      <w:snapToGrid w:val="0"/>
      <w:ind w:left="100" w:leftChars="1400" w:firstLine="200" w:firstLineChars="200"/>
    </w:pPr>
    <w:rPr>
      <w:rFonts w:ascii="Arial" w:hAnsi="Arial" w:eastAsia="仿宋_GB2312" w:cs="Arial"/>
      <w:sz w:val="24"/>
    </w:rPr>
  </w:style>
  <w:style w:type="paragraph" w:styleId="24">
    <w:name w:val="Document Map"/>
    <w:basedOn w:val="1"/>
    <w:link w:val="655"/>
    <w:semiHidden/>
    <w:uiPriority w:val="0"/>
    <w:pPr>
      <w:shd w:val="clear" w:color="auto" w:fill="000080"/>
    </w:pPr>
  </w:style>
  <w:style w:type="paragraph" w:styleId="25">
    <w:name w:val="toa heading"/>
    <w:basedOn w:val="1"/>
    <w:next w:val="1"/>
    <w:semiHidden/>
    <w:uiPriority w:val="0"/>
    <w:pPr>
      <w:spacing w:before="120"/>
    </w:pPr>
    <w:rPr>
      <w:rFonts w:ascii="Arial" w:hAnsi="Arial" w:cs="Arial"/>
      <w:sz w:val="24"/>
    </w:rPr>
  </w:style>
  <w:style w:type="paragraph" w:styleId="26">
    <w:name w:val="annotation text"/>
    <w:basedOn w:val="1"/>
    <w:semiHidden/>
    <w:uiPriority w:val="0"/>
    <w:pPr>
      <w:jc w:val="left"/>
    </w:pPr>
  </w:style>
  <w:style w:type="paragraph" w:styleId="27">
    <w:name w:val="Salutation"/>
    <w:basedOn w:val="1"/>
    <w:next w:val="1"/>
    <w:uiPriority w:val="0"/>
    <w:pPr>
      <w:ind w:firstLine="200" w:firstLineChars="200"/>
    </w:pPr>
    <w:rPr>
      <w:rFonts w:ascii="仿宋_GB2312" w:eastAsia="仿宋_GB2312"/>
      <w:sz w:val="28"/>
    </w:rPr>
  </w:style>
  <w:style w:type="paragraph" w:styleId="28">
    <w:name w:val="Body Text 3"/>
    <w:basedOn w:val="1"/>
    <w:uiPriority w:val="0"/>
    <w:pPr>
      <w:spacing w:after="120"/>
    </w:pPr>
    <w:rPr>
      <w:sz w:val="16"/>
      <w:szCs w:val="16"/>
    </w:rPr>
  </w:style>
  <w:style w:type="paragraph" w:styleId="29">
    <w:name w:val="Closing"/>
    <w:basedOn w:val="1"/>
    <w:uiPriority w:val="0"/>
    <w:pPr>
      <w:ind w:left="100" w:leftChars="2100" w:firstLine="200" w:firstLineChars="200"/>
    </w:pPr>
    <w:rPr>
      <w:rFonts w:ascii="仿宋_GB2312" w:eastAsia="仿宋_GB2312"/>
      <w:sz w:val="28"/>
    </w:rPr>
  </w:style>
  <w:style w:type="paragraph" w:styleId="30">
    <w:name w:val="List Bullet 3"/>
    <w:basedOn w:val="1"/>
    <w:uiPriority w:val="0"/>
    <w:pPr>
      <w:tabs>
        <w:tab w:val="left" w:pos="1200"/>
      </w:tabs>
      <w:ind w:left="1200" w:leftChars="400" w:hanging="360" w:hangingChars="200"/>
    </w:pPr>
  </w:style>
  <w:style w:type="paragraph" w:styleId="31">
    <w:name w:val="Body Text"/>
    <w:basedOn w:val="1"/>
    <w:link w:val="555"/>
    <w:uiPriority w:val="0"/>
    <w:pPr>
      <w:spacing w:after="120"/>
    </w:pPr>
  </w:style>
  <w:style w:type="paragraph" w:styleId="32">
    <w:name w:val="Body Text Indent"/>
    <w:basedOn w:val="1"/>
    <w:link w:val="683"/>
    <w:uiPriority w:val="0"/>
    <w:pPr>
      <w:ind w:firstLine="560" w:firstLineChars="200"/>
    </w:pPr>
    <w:rPr>
      <w:rFonts w:ascii="仿宋_GB2312" w:eastAsia="仿宋_GB2312"/>
      <w:sz w:val="28"/>
    </w:rPr>
  </w:style>
  <w:style w:type="paragraph" w:styleId="33">
    <w:name w:val="List Number 3"/>
    <w:basedOn w:val="1"/>
    <w:uiPriority w:val="0"/>
    <w:pPr>
      <w:tabs>
        <w:tab w:val="left" w:pos="1200"/>
      </w:tabs>
      <w:ind w:left="1200" w:leftChars="400" w:hanging="360" w:hangingChars="200"/>
    </w:pPr>
    <w:rPr>
      <w:rFonts w:ascii="仿宋_GB2312" w:eastAsia="仿宋_GB2312"/>
      <w:sz w:val="28"/>
    </w:rPr>
  </w:style>
  <w:style w:type="paragraph" w:styleId="34">
    <w:name w:val="List 2"/>
    <w:basedOn w:val="1"/>
    <w:uiPriority w:val="0"/>
    <w:pPr>
      <w:suppressAutoHyphens/>
      <w:wordWrap w:val="0"/>
      <w:topLinePunct/>
      <w:adjustRightInd w:val="0"/>
      <w:snapToGrid w:val="0"/>
    </w:pPr>
    <w:rPr>
      <w:rFonts w:ascii="宋体" w:hAnsi="宋体"/>
      <w:snapToGrid w:val="0"/>
    </w:rPr>
  </w:style>
  <w:style w:type="paragraph" w:styleId="35">
    <w:name w:val="List Continue"/>
    <w:basedOn w:val="1"/>
    <w:uiPriority w:val="0"/>
    <w:pPr>
      <w:spacing w:after="120"/>
      <w:ind w:left="420" w:leftChars="200" w:firstLine="200" w:firstLineChars="200"/>
    </w:pPr>
    <w:rPr>
      <w:rFonts w:ascii="仿宋_GB2312" w:eastAsia="仿宋_GB2312"/>
      <w:sz w:val="28"/>
    </w:rPr>
  </w:style>
  <w:style w:type="paragraph" w:styleId="36">
    <w:name w:val="Block Text"/>
    <w:basedOn w:val="1"/>
    <w:uiPriority w:val="0"/>
    <w:pPr>
      <w:spacing w:line="480" w:lineRule="atLeast"/>
      <w:ind w:left="-108" w:right="-113"/>
    </w:pPr>
    <w:rPr>
      <w:rFonts w:eastAsia="黑体"/>
      <w:sz w:val="28"/>
      <w:szCs w:val="20"/>
    </w:rPr>
  </w:style>
  <w:style w:type="paragraph" w:styleId="37">
    <w:name w:val="List Bullet 2"/>
    <w:basedOn w:val="1"/>
    <w:uiPriority w:val="0"/>
    <w:pPr>
      <w:tabs>
        <w:tab w:val="left" w:pos="780"/>
      </w:tabs>
      <w:ind w:left="780" w:leftChars="200" w:hanging="360" w:hangingChars="200"/>
    </w:pPr>
  </w:style>
  <w:style w:type="paragraph" w:styleId="38">
    <w:name w:val="HTML Address"/>
    <w:basedOn w:val="1"/>
    <w:uiPriority w:val="0"/>
    <w:pPr>
      <w:ind w:firstLine="200" w:firstLineChars="200"/>
    </w:pPr>
    <w:rPr>
      <w:rFonts w:ascii="仿宋_GB2312" w:eastAsia="仿宋_GB2312"/>
      <w:i/>
      <w:iCs/>
      <w:sz w:val="28"/>
    </w:rPr>
  </w:style>
  <w:style w:type="paragraph" w:styleId="39">
    <w:name w:val="toc 5"/>
    <w:basedOn w:val="1"/>
    <w:next w:val="1"/>
    <w:uiPriority w:val="39"/>
    <w:pPr>
      <w:ind w:left="1680" w:leftChars="800"/>
    </w:pPr>
  </w:style>
  <w:style w:type="paragraph" w:styleId="40">
    <w:name w:val="toc 3"/>
    <w:basedOn w:val="1"/>
    <w:next w:val="1"/>
    <w:uiPriority w:val="39"/>
    <w:pPr>
      <w:ind w:left="840" w:leftChars="400"/>
    </w:pPr>
  </w:style>
  <w:style w:type="paragraph" w:styleId="41">
    <w:name w:val="Plain Text"/>
    <w:basedOn w:val="1"/>
    <w:link w:val="538"/>
    <w:qFormat/>
    <w:uiPriority w:val="0"/>
    <w:rPr>
      <w:rFonts w:hint="eastAsia" w:ascii="宋体" w:hAnsi="Courier New"/>
      <w:sz w:val="28"/>
      <w:szCs w:val="20"/>
    </w:rPr>
  </w:style>
  <w:style w:type="paragraph" w:styleId="42">
    <w:name w:val="List Bullet 5"/>
    <w:basedOn w:val="1"/>
    <w:uiPriority w:val="0"/>
    <w:pPr>
      <w:tabs>
        <w:tab w:val="left" w:pos="1685"/>
      </w:tabs>
      <w:ind w:left="1685" w:hanging="1125"/>
    </w:pPr>
  </w:style>
  <w:style w:type="paragraph" w:styleId="43">
    <w:name w:val="List Number 4"/>
    <w:basedOn w:val="1"/>
    <w:uiPriority w:val="0"/>
    <w:pPr>
      <w:tabs>
        <w:tab w:val="left" w:pos="1620"/>
      </w:tabs>
      <w:ind w:left="1620" w:leftChars="600" w:hanging="360" w:hangingChars="200"/>
    </w:pPr>
    <w:rPr>
      <w:rFonts w:ascii="仿宋_GB2312" w:eastAsia="仿宋_GB2312"/>
      <w:sz w:val="28"/>
    </w:rPr>
  </w:style>
  <w:style w:type="paragraph" w:styleId="44">
    <w:name w:val="toc 8"/>
    <w:basedOn w:val="1"/>
    <w:next w:val="1"/>
    <w:uiPriority w:val="39"/>
    <w:pPr>
      <w:ind w:left="2940" w:leftChars="1400"/>
    </w:pPr>
  </w:style>
  <w:style w:type="paragraph" w:styleId="45">
    <w:name w:val="Date"/>
    <w:basedOn w:val="1"/>
    <w:next w:val="1"/>
    <w:link w:val="570"/>
    <w:uiPriority w:val="0"/>
    <w:rPr>
      <w:rFonts w:eastAsia="仿宋_GB2312"/>
      <w:sz w:val="28"/>
      <w:szCs w:val="20"/>
    </w:rPr>
  </w:style>
  <w:style w:type="paragraph" w:styleId="46">
    <w:name w:val="Body Text Indent 2"/>
    <w:basedOn w:val="1"/>
    <w:link w:val="625"/>
    <w:uiPriority w:val="0"/>
    <w:pPr>
      <w:ind w:firstLine="630"/>
    </w:pPr>
    <w:rPr>
      <w:rFonts w:hint="eastAsia" w:ascii="仿宋_GB2312" w:eastAsia="仿宋_GB2312"/>
      <w:sz w:val="28"/>
      <w:szCs w:val="20"/>
    </w:rPr>
  </w:style>
  <w:style w:type="paragraph" w:styleId="47">
    <w:name w:val="endnote text"/>
    <w:basedOn w:val="1"/>
    <w:semiHidden/>
    <w:uiPriority w:val="0"/>
    <w:pPr>
      <w:tabs>
        <w:tab w:val="left" w:pos="210"/>
      </w:tabs>
      <w:spacing w:line="500" w:lineRule="exact"/>
      <w:ind w:firstLine="200" w:firstLineChars="200"/>
      <w:jc w:val="left"/>
    </w:pPr>
    <w:rPr>
      <w:rFonts w:ascii="宋体" w:hAnsi="宋体"/>
      <w:bCs/>
      <w:sz w:val="28"/>
      <w:szCs w:val="28"/>
    </w:rPr>
  </w:style>
  <w:style w:type="paragraph" w:styleId="48">
    <w:name w:val="List Continue 5"/>
    <w:basedOn w:val="1"/>
    <w:uiPriority w:val="0"/>
    <w:pPr>
      <w:spacing w:after="120"/>
      <w:ind w:left="2100" w:leftChars="1000" w:firstLine="200" w:firstLineChars="200"/>
    </w:pPr>
    <w:rPr>
      <w:rFonts w:ascii="仿宋_GB2312" w:eastAsia="仿宋_GB2312"/>
      <w:sz w:val="28"/>
    </w:rPr>
  </w:style>
  <w:style w:type="paragraph" w:styleId="49">
    <w:name w:val="Balloon Text"/>
    <w:basedOn w:val="1"/>
    <w:semiHidden/>
    <w:uiPriority w:val="0"/>
    <w:rPr>
      <w:sz w:val="18"/>
      <w:szCs w:val="18"/>
    </w:rPr>
  </w:style>
  <w:style w:type="paragraph" w:styleId="50">
    <w:name w:val="footer"/>
    <w:basedOn w:val="1"/>
    <w:link w:val="569"/>
    <w:uiPriority w:val="99"/>
    <w:pPr>
      <w:tabs>
        <w:tab w:val="center" w:pos="4153"/>
        <w:tab w:val="right" w:pos="8306"/>
      </w:tabs>
      <w:snapToGrid w:val="0"/>
      <w:jc w:val="left"/>
    </w:pPr>
    <w:rPr>
      <w:sz w:val="18"/>
      <w:szCs w:val="18"/>
    </w:rPr>
  </w:style>
  <w:style w:type="paragraph" w:styleId="51">
    <w:name w:val="envelope return"/>
    <w:basedOn w:val="1"/>
    <w:uiPriority w:val="0"/>
    <w:pPr>
      <w:adjustRightInd w:val="0"/>
      <w:spacing w:line="360" w:lineRule="atLeast"/>
      <w:jc w:val="left"/>
      <w:textAlignment w:val="baseline"/>
    </w:pPr>
    <w:rPr>
      <w:kern w:val="0"/>
      <w:sz w:val="24"/>
      <w:szCs w:val="20"/>
    </w:rPr>
  </w:style>
  <w:style w:type="paragraph" w:styleId="52">
    <w:name w:val="header"/>
    <w:basedOn w:val="1"/>
    <w:link w:val="686"/>
    <w:uiPriority w:val="99"/>
    <w:pPr>
      <w:pBdr>
        <w:bottom w:val="single" w:color="auto" w:sz="6" w:space="1"/>
      </w:pBdr>
      <w:tabs>
        <w:tab w:val="center" w:pos="4153"/>
        <w:tab w:val="right" w:pos="8306"/>
      </w:tabs>
      <w:snapToGrid w:val="0"/>
      <w:jc w:val="center"/>
    </w:pPr>
    <w:rPr>
      <w:sz w:val="18"/>
      <w:szCs w:val="18"/>
    </w:rPr>
  </w:style>
  <w:style w:type="paragraph" w:styleId="53">
    <w:name w:val="Signature"/>
    <w:basedOn w:val="1"/>
    <w:uiPriority w:val="0"/>
    <w:pPr>
      <w:ind w:left="100" w:leftChars="2100" w:firstLine="200" w:firstLineChars="200"/>
    </w:pPr>
    <w:rPr>
      <w:rFonts w:ascii="仿宋_GB2312" w:eastAsia="仿宋_GB2312"/>
      <w:sz w:val="28"/>
    </w:rPr>
  </w:style>
  <w:style w:type="paragraph" w:styleId="54">
    <w:name w:val="toc 1"/>
    <w:basedOn w:val="1"/>
    <w:next w:val="1"/>
    <w:uiPriority w:val="39"/>
  </w:style>
  <w:style w:type="paragraph" w:styleId="55">
    <w:name w:val="List Continue 4"/>
    <w:basedOn w:val="1"/>
    <w:uiPriority w:val="0"/>
    <w:pPr>
      <w:spacing w:after="120"/>
      <w:ind w:left="1680" w:leftChars="800" w:firstLine="200" w:firstLineChars="200"/>
    </w:pPr>
    <w:rPr>
      <w:rFonts w:ascii="仿宋_GB2312" w:eastAsia="仿宋_GB2312"/>
      <w:sz w:val="28"/>
    </w:rPr>
  </w:style>
  <w:style w:type="paragraph" w:styleId="56">
    <w:name w:val="toc 4"/>
    <w:basedOn w:val="1"/>
    <w:next w:val="1"/>
    <w:uiPriority w:val="39"/>
    <w:pPr>
      <w:ind w:left="1260" w:leftChars="600"/>
    </w:pPr>
  </w:style>
  <w:style w:type="paragraph" w:styleId="57">
    <w:name w:val="Subtitle"/>
    <w:basedOn w:val="1"/>
    <w:qFormat/>
    <w:uiPriority w:val="0"/>
    <w:pPr>
      <w:ind w:firstLine="200" w:firstLineChars="200"/>
      <w:jc w:val="center"/>
      <w:outlineLvl w:val="1"/>
    </w:pPr>
    <w:rPr>
      <w:rFonts w:ascii="黑体" w:hAnsi="Arial" w:eastAsia="黑体" w:cs="Arial"/>
      <w:bCs/>
      <w:kern w:val="28"/>
      <w:sz w:val="32"/>
      <w:szCs w:val="32"/>
    </w:rPr>
  </w:style>
  <w:style w:type="paragraph" w:styleId="58">
    <w:name w:val="List Number 5"/>
    <w:basedOn w:val="1"/>
    <w:uiPriority w:val="0"/>
    <w:pPr>
      <w:tabs>
        <w:tab w:val="left" w:pos="2040"/>
      </w:tabs>
      <w:ind w:left="2040" w:leftChars="800" w:hanging="360" w:hangingChars="200"/>
    </w:pPr>
    <w:rPr>
      <w:rFonts w:ascii="仿宋_GB2312" w:eastAsia="仿宋_GB2312"/>
      <w:sz w:val="28"/>
    </w:rPr>
  </w:style>
  <w:style w:type="paragraph" w:styleId="59">
    <w:name w:val="List"/>
    <w:basedOn w:val="1"/>
    <w:uiPriority w:val="0"/>
    <w:pPr>
      <w:ind w:left="200" w:hanging="200" w:hangingChars="200"/>
    </w:pPr>
    <w:rPr>
      <w:szCs w:val="21"/>
    </w:rPr>
  </w:style>
  <w:style w:type="paragraph" w:styleId="60">
    <w:name w:val="footnote text"/>
    <w:basedOn w:val="1"/>
    <w:semiHidden/>
    <w:uiPriority w:val="0"/>
    <w:pPr>
      <w:snapToGrid w:val="0"/>
      <w:spacing w:line="384" w:lineRule="auto"/>
      <w:jc w:val="left"/>
    </w:pPr>
    <w:rPr>
      <w:sz w:val="18"/>
      <w:szCs w:val="18"/>
    </w:rPr>
  </w:style>
  <w:style w:type="paragraph" w:styleId="61">
    <w:name w:val="toc 6"/>
    <w:basedOn w:val="1"/>
    <w:next w:val="1"/>
    <w:uiPriority w:val="39"/>
    <w:pPr>
      <w:ind w:left="2100" w:leftChars="1000"/>
    </w:pPr>
  </w:style>
  <w:style w:type="paragraph" w:styleId="62">
    <w:name w:val="List 5"/>
    <w:basedOn w:val="1"/>
    <w:uiPriority w:val="0"/>
    <w:pPr>
      <w:ind w:left="2100" w:hanging="420"/>
    </w:pPr>
    <w:rPr>
      <w:szCs w:val="20"/>
    </w:rPr>
  </w:style>
  <w:style w:type="paragraph" w:styleId="63">
    <w:name w:val="Body Text Indent 3"/>
    <w:basedOn w:val="1"/>
    <w:link w:val="610"/>
    <w:uiPriority w:val="0"/>
    <w:pPr>
      <w:ind w:firstLine="556"/>
    </w:pPr>
    <w:rPr>
      <w:rFonts w:ascii="仿宋_GB2312" w:eastAsia="仿宋_GB2312"/>
      <w:sz w:val="28"/>
      <w:szCs w:val="20"/>
    </w:rPr>
  </w:style>
  <w:style w:type="paragraph" w:styleId="64">
    <w:name w:val="table of figures"/>
    <w:basedOn w:val="1"/>
    <w:next w:val="1"/>
    <w:semiHidden/>
    <w:uiPriority w:val="0"/>
    <w:pPr>
      <w:wordWrap w:val="0"/>
      <w:jc w:val="center"/>
    </w:pPr>
    <w:rPr>
      <w:rFonts w:eastAsia="楷体_GB2312"/>
    </w:rPr>
  </w:style>
  <w:style w:type="paragraph" w:styleId="65">
    <w:name w:val="toc 2"/>
    <w:basedOn w:val="1"/>
    <w:next w:val="1"/>
    <w:uiPriority w:val="39"/>
    <w:pPr>
      <w:ind w:left="420" w:leftChars="200"/>
    </w:pPr>
  </w:style>
  <w:style w:type="paragraph" w:styleId="66">
    <w:name w:val="toc 9"/>
    <w:basedOn w:val="1"/>
    <w:next w:val="1"/>
    <w:uiPriority w:val="39"/>
    <w:pPr>
      <w:ind w:left="3360" w:leftChars="1600"/>
    </w:pPr>
  </w:style>
  <w:style w:type="paragraph" w:styleId="67">
    <w:name w:val="Body Text 2"/>
    <w:basedOn w:val="1"/>
    <w:uiPriority w:val="0"/>
    <w:pPr>
      <w:spacing w:after="120" w:line="480" w:lineRule="auto"/>
    </w:pPr>
  </w:style>
  <w:style w:type="paragraph" w:styleId="68">
    <w:name w:val="List 4"/>
    <w:basedOn w:val="1"/>
    <w:uiPriority w:val="0"/>
    <w:pPr>
      <w:ind w:left="100" w:leftChars="600" w:hanging="200" w:hangingChars="200"/>
    </w:pPr>
    <w:rPr>
      <w:rFonts w:ascii="仿宋_GB2312" w:eastAsia="仿宋_GB2312"/>
      <w:sz w:val="28"/>
    </w:rPr>
  </w:style>
  <w:style w:type="paragraph" w:styleId="69">
    <w:name w:val="List Continue 2"/>
    <w:basedOn w:val="1"/>
    <w:uiPriority w:val="0"/>
    <w:pPr>
      <w:spacing w:after="120"/>
      <w:ind w:left="840" w:leftChars="400" w:firstLine="200" w:firstLineChars="200"/>
    </w:pPr>
    <w:rPr>
      <w:rFonts w:ascii="仿宋_GB2312" w:eastAsia="仿宋_GB2312"/>
      <w:sz w:val="28"/>
    </w:rPr>
  </w:style>
  <w:style w:type="paragraph" w:styleId="70">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cs="Arial"/>
      <w:sz w:val="24"/>
    </w:rPr>
  </w:style>
  <w:style w:type="paragraph" w:styleId="71">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szCs w:val="20"/>
    </w:rPr>
  </w:style>
  <w:style w:type="paragraph" w:styleId="72">
    <w:name w:val="Normal (Web)"/>
    <w:basedOn w:val="1"/>
    <w:uiPriority w:val="0"/>
    <w:pPr>
      <w:widowControl/>
      <w:spacing w:before="100" w:beforeAutospacing="1" w:after="100" w:afterAutospacing="1"/>
      <w:jc w:val="left"/>
    </w:pPr>
    <w:rPr>
      <w:rFonts w:ascii="宋体" w:hAnsi="宋体" w:cs="宋体"/>
      <w:color w:val="000000"/>
      <w:kern w:val="0"/>
      <w:sz w:val="24"/>
    </w:rPr>
  </w:style>
  <w:style w:type="paragraph" w:styleId="73">
    <w:name w:val="List Continue 3"/>
    <w:basedOn w:val="1"/>
    <w:uiPriority w:val="0"/>
    <w:pPr>
      <w:spacing w:after="120"/>
      <w:ind w:left="1260" w:leftChars="600" w:firstLine="200" w:firstLineChars="200"/>
    </w:pPr>
    <w:rPr>
      <w:rFonts w:ascii="仿宋_GB2312" w:eastAsia="仿宋_GB2312"/>
      <w:sz w:val="28"/>
    </w:rPr>
  </w:style>
  <w:style w:type="paragraph" w:styleId="74">
    <w:name w:val="index 1"/>
    <w:basedOn w:val="1"/>
    <w:next w:val="1"/>
    <w:semiHidden/>
    <w:uiPriority w:val="0"/>
    <w:pPr>
      <w:spacing w:line="500" w:lineRule="exact"/>
      <w:ind w:firstLine="560" w:firstLineChars="200"/>
      <w:jc w:val="left"/>
    </w:pPr>
    <w:rPr>
      <w:rFonts w:ascii="仿宋_GB2312" w:hAnsi="宋体" w:eastAsia="仿宋_GB2312"/>
      <w:sz w:val="28"/>
    </w:rPr>
  </w:style>
  <w:style w:type="paragraph" w:styleId="75">
    <w:name w:val="Title"/>
    <w:basedOn w:val="1"/>
    <w:qFormat/>
    <w:uiPriority w:val="0"/>
    <w:pPr>
      <w:spacing w:line="520" w:lineRule="exact"/>
      <w:jc w:val="center"/>
      <w:outlineLvl w:val="0"/>
    </w:pPr>
    <w:rPr>
      <w:rFonts w:ascii="Arial" w:hAnsi="Arial" w:eastAsia="楷体_GB2312" w:cs="Arial"/>
      <w:b/>
      <w:bCs/>
      <w:sz w:val="44"/>
      <w:szCs w:val="32"/>
    </w:rPr>
  </w:style>
  <w:style w:type="paragraph" w:styleId="76">
    <w:name w:val="annotation subject"/>
    <w:basedOn w:val="26"/>
    <w:next w:val="26"/>
    <w:semiHidden/>
    <w:uiPriority w:val="0"/>
    <w:rPr>
      <w:b/>
      <w:bCs/>
    </w:rPr>
  </w:style>
  <w:style w:type="paragraph" w:styleId="77">
    <w:name w:val="Body Text First Indent"/>
    <w:basedOn w:val="31"/>
    <w:link w:val="572"/>
    <w:uiPriority w:val="0"/>
    <w:pPr>
      <w:ind w:firstLine="420" w:firstLineChars="100"/>
    </w:pPr>
  </w:style>
  <w:style w:type="paragraph" w:styleId="78">
    <w:name w:val="Body Text First Indent 2"/>
    <w:basedOn w:val="32"/>
    <w:link w:val="560"/>
    <w:uiPriority w:val="0"/>
    <w:pPr>
      <w:ind w:firstLine="420"/>
    </w:pPr>
    <w:rPr>
      <w:rFonts w:ascii="宋体"/>
    </w:rPr>
  </w:style>
  <w:style w:type="table" w:styleId="80">
    <w:name w:val="Table Grid"/>
    <w:basedOn w:val="79"/>
    <w:uiPriority w:val="59"/>
    <w:pPr>
      <w:widowControl w:val="0"/>
      <w:jc w:val="both"/>
    </w:pPr>
    <w:tblPr>
      <w:tblStyle w:val="7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uiPriority w:val="0"/>
    <w:pPr>
      <w:widowControl w:val="0"/>
      <w:jc w:val="both"/>
    </w:pPr>
    <w:tblPr>
      <w:tblStyle w:val="7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Contemporary"/>
    <w:basedOn w:val="79"/>
    <w:uiPriority w:val="0"/>
    <w:pPr>
      <w:widowControl w:val="0"/>
      <w:jc w:val="center"/>
    </w:pPr>
    <w:rPr>
      <w:sz w:val="21"/>
    </w:rPr>
    <w:tblPr>
      <w:tblStyle w:val="79"/>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b/>
        <w:bCs/>
        <w:color w:val="auto"/>
      </w:rPr>
      <w:tblPr>
        <w:tblStyle w:val="79"/>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79"/>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79"/>
      </w:tblPr>
      <w:tcPr>
        <w:tcBorders>
          <w:top w:val="nil"/>
          <w:left w:val="nil"/>
          <w:bottom w:val="nil"/>
          <w:right w:val="nil"/>
          <w:insideH w:val="nil"/>
          <w:insideV w:val="nil"/>
          <w:tl2br w:val="nil"/>
          <w:tr2bl w:val="nil"/>
        </w:tcBorders>
        <w:shd w:val="pct20" w:color="000000" w:fill="FFFFFF"/>
      </w:tcPr>
    </w:tblStylePr>
  </w:style>
  <w:style w:type="table" w:styleId="83">
    <w:name w:val="Table Grid 5"/>
    <w:basedOn w:val="79"/>
    <w:uiPriority w:val="0"/>
    <w:pPr>
      <w:widowControl w:val="0"/>
      <w:jc w:val="both"/>
    </w:pPr>
    <w:tblPr>
      <w:tblStyle w:val="79"/>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79"/>
      </w:tblPr>
      <w:tcPr>
        <w:tcBorders>
          <w:top w:val="nil"/>
          <w:left w:val="single" w:color="000000" w:sz="12" w:space="0"/>
          <w:bottom w:val="nil"/>
          <w:right w:val="nil"/>
          <w:insideH w:val="nil"/>
          <w:insideV w:val="nil"/>
          <w:tl2br w:val="nil"/>
          <w:tr2bl w:val="nil"/>
        </w:tcBorders>
      </w:tcPr>
    </w:tblStylePr>
    <w:tblStylePr w:type="lastRow">
      <w:rPr>
        <w:b/>
        <w:bCs/>
      </w:rPr>
      <w:tblPr>
        <w:tblStyle w:val="79"/>
      </w:tblPr>
      <w:tcPr>
        <w:tcBorders>
          <w:top w:val="nil"/>
          <w:left w:val="nil"/>
          <w:bottom w:val="nil"/>
          <w:right w:val="nil"/>
          <w:insideH w:val="nil"/>
          <w:insideV w:val="nil"/>
          <w:tl2br w:val="nil"/>
          <w:tr2bl w:val="nil"/>
        </w:tcBorders>
      </w:tcPr>
    </w:tblStylePr>
    <w:tblStylePr w:type="lastCol">
      <w:rPr>
        <w:b/>
        <w:bCs/>
      </w:rPr>
      <w:tblPr>
        <w:tblStyle w:val="79"/>
      </w:tblPr>
      <w:tcPr>
        <w:tcBorders>
          <w:top w:val="nil"/>
          <w:left w:val="nil"/>
          <w:bottom w:val="nil"/>
          <w:right w:val="nil"/>
          <w:insideH w:val="nil"/>
          <w:insideV w:val="nil"/>
          <w:tl2br w:val="nil"/>
          <w:tr2bl w:val="nil"/>
        </w:tcBorders>
      </w:tcPr>
    </w:tblStylePr>
    <w:tblStylePr w:type="nwCell">
      <w:tblPr>
        <w:tblStyle w:val="79"/>
      </w:tblPr>
      <w:tcPr>
        <w:tcBorders>
          <w:top w:val="nil"/>
          <w:left w:val="nil"/>
          <w:bottom w:val="nil"/>
          <w:right w:val="nil"/>
          <w:insideH w:val="nil"/>
          <w:insideV w:val="nil"/>
          <w:tl2br w:val="single" w:color="000000" w:sz="6" w:space="0"/>
          <w:tr2bl w:val="nil"/>
        </w:tcBorders>
      </w:tcPr>
    </w:tblStylePr>
  </w:style>
  <w:style w:type="character" w:styleId="85">
    <w:name w:val="Strong"/>
    <w:basedOn w:val="84"/>
    <w:qFormat/>
    <w:uiPriority w:val="0"/>
    <w:rPr>
      <w:b/>
      <w:bCs/>
    </w:rPr>
  </w:style>
  <w:style w:type="character" w:styleId="86">
    <w:name w:val="endnote reference"/>
    <w:basedOn w:val="84"/>
    <w:semiHidden/>
    <w:uiPriority w:val="0"/>
    <w:rPr>
      <w:vertAlign w:val="superscript"/>
    </w:rPr>
  </w:style>
  <w:style w:type="character" w:styleId="87">
    <w:name w:val="page number"/>
    <w:basedOn w:val="84"/>
    <w:uiPriority w:val="0"/>
  </w:style>
  <w:style w:type="character" w:styleId="88">
    <w:name w:val="FollowedHyperlink"/>
    <w:basedOn w:val="84"/>
    <w:uiPriority w:val="0"/>
    <w:rPr>
      <w:color w:val="800080"/>
      <w:u w:val="single"/>
    </w:rPr>
  </w:style>
  <w:style w:type="character" w:styleId="89">
    <w:name w:val="Emphasis"/>
    <w:basedOn w:val="84"/>
    <w:qFormat/>
    <w:uiPriority w:val="20"/>
    <w:rPr>
      <w:rFonts w:hint="default" w:ascii="Calibri" w:hAnsi="Calibri"/>
      <w:b/>
      <w:i/>
      <w:iCs/>
    </w:rPr>
  </w:style>
  <w:style w:type="character" w:styleId="90">
    <w:name w:val="Hyperlink"/>
    <w:basedOn w:val="84"/>
    <w:uiPriority w:val="99"/>
    <w:rPr>
      <w:color w:val="0000FF"/>
      <w:u w:val="single"/>
    </w:rPr>
  </w:style>
  <w:style w:type="character" w:styleId="91">
    <w:name w:val="annotation reference"/>
    <w:basedOn w:val="84"/>
    <w:semiHidden/>
    <w:uiPriority w:val="0"/>
    <w:rPr>
      <w:sz w:val="21"/>
      <w:szCs w:val="21"/>
    </w:rPr>
  </w:style>
  <w:style w:type="character" w:styleId="92">
    <w:name w:val="footnote reference"/>
    <w:basedOn w:val="84"/>
    <w:semiHidden/>
    <w:uiPriority w:val="0"/>
    <w:rPr>
      <w:vertAlign w:val="superscript"/>
    </w:rPr>
  </w:style>
  <w:style w:type="paragraph" w:customStyle="1" w:styleId="93">
    <w:name w:val="文章总标题"/>
    <w:basedOn w:val="1"/>
    <w:next w:val="94"/>
    <w:uiPriority w:val="0"/>
    <w:pPr>
      <w:widowControl/>
      <w:spacing w:before="566" w:after="544" w:line="566" w:lineRule="atLeast"/>
      <w:jc w:val="center"/>
      <w:textAlignment w:val="baseline"/>
    </w:pPr>
    <w:rPr>
      <w:rFonts w:ascii="Arial" w:eastAsia="黑体"/>
      <w:color w:val="000000"/>
      <w:kern w:val="0"/>
      <w:sz w:val="54"/>
      <w:szCs w:val="20"/>
      <w:u w:val="none" w:color="000000"/>
    </w:rPr>
  </w:style>
  <w:style w:type="paragraph" w:customStyle="1" w:styleId="94">
    <w:name w:val="文章附标题"/>
    <w:basedOn w:val="1"/>
    <w:next w:val="95"/>
    <w:uiPriority w:val="0"/>
    <w:pPr>
      <w:widowControl/>
      <w:spacing w:before="187" w:after="175" w:line="374" w:lineRule="atLeast"/>
      <w:jc w:val="center"/>
      <w:textAlignment w:val="baseline"/>
    </w:pPr>
    <w:rPr>
      <w:color w:val="000000"/>
      <w:kern w:val="0"/>
      <w:sz w:val="36"/>
      <w:szCs w:val="20"/>
      <w:u w:val="none" w:color="000000"/>
    </w:rPr>
  </w:style>
  <w:style w:type="paragraph" w:customStyle="1" w:styleId="95">
    <w:name w:val="章标题"/>
    <w:basedOn w:val="1"/>
    <w:next w:val="96"/>
    <w:uiPriority w:val="0"/>
    <w:pPr>
      <w:widowControl/>
      <w:spacing w:before="158" w:after="153" w:line="323" w:lineRule="atLeast"/>
      <w:jc w:val="center"/>
      <w:textAlignment w:val="baseline"/>
    </w:pPr>
    <w:rPr>
      <w:rFonts w:ascii="Arial" w:eastAsia="黑体"/>
      <w:color w:val="000000"/>
      <w:kern w:val="0"/>
      <w:sz w:val="31"/>
      <w:szCs w:val="20"/>
      <w:u w:val="none" w:color="000000"/>
    </w:rPr>
  </w:style>
  <w:style w:type="paragraph" w:customStyle="1" w:styleId="96">
    <w:name w:val="节标题"/>
    <w:basedOn w:val="1"/>
    <w:next w:val="97"/>
    <w:uiPriority w:val="0"/>
    <w:pPr>
      <w:widowControl/>
      <w:spacing w:line="289" w:lineRule="atLeast"/>
      <w:jc w:val="center"/>
      <w:textAlignment w:val="baseline"/>
    </w:pPr>
    <w:rPr>
      <w:color w:val="000000"/>
      <w:kern w:val="0"/>
      <w:sz w:val="28"/>
      <w:szCs w:val="20"/>
      <w:u w:val="none" w:color="000000"/>
    </w:rPr>
  </w:style>
  <w:style w:type="paragraph" w:customStyle="1" w:styleId="97">
    <w:name w:val="小节标题"/>
    <w:basedOn w:val="1"/>
    <w:next w:val="1"/>
    <w:uiPriority w:val="0"/>
    <w:pPr>
      <w:widowControl/>
      <w:spacing w:before="175" w:after="102" w:line="351" w:lineRule="atLeast"/>
      <w:textAlignment w:val="baseline"/>
    </w:pPr>
    <w:rPr>
      <w:rFonts w:eastAsia="黑体"/>
      <w:color w:val="000000"/>
      <w:kern w:val="0"/>
      <w:szCs w:val="20"/>
      <w:u w:val="none" w:color="000000"/>
    </w:rPr>
  </w:style>
  <w:style w:type="paragraph" w:customStyle="1" w:styleId="98">
    <w:name w:val="样式 首行缩进:  1.01 厘米"/>
    <w:basedOn w:val="1"/>
    <w:uiPriority w:val="0"/>
    <w:pPr>
      <w:spacing w:line="500" w:lineRule="exact"/>
      <w:ind w:firstLine="570"/>
    </w:pPr>
    <w:rPr>
      <w:rFonts w:cs="宋体"/>
      <w:kern w:val="28"/>
      <w:sz w:val="28"/>
      <w:szCs w:val="20"/>
    </w:rPr>
  </w:style>
  <w:style w:type="paragraph" w:customStyle="1" w:styleId="99">
    <w:name w:val="xl43"/>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
    <w:name w:val="样式 仿宋_GB2312 四号 黑色 行距: 1.5 倍行距"/>
    <w:basedOn w:val="1"/>
    <w:uiPriority w:val="0"/>
    <w:pPr>
      <w:ind w:firstLine="200" w:firstLineChars="200"/>
    </w:pPr>
    <w:rPr>
      <w:rFonts w:ascii="仿宋_GB2312" w:hAnsi="宋体" w:eastAsia="仿宋_GB2312" w:cs="宋体"/>
      <w:color w:val="000000"/>
      <w:sz w:val="28"/>
      <w:szCs w:val="20"/>
    </w:rPr>
  </w:style>
  <w:style w:type="paragraph" w:customStyle="1" w:styleId="101">
    <w:name w:val="报告表正文"/>
    <w:basedOn w:val="1"/>
    <w:uiPriority w:val="0"/>
    <w:pPr>
      <w:adjustRightInd w:val="0"/>
      <w:spacing w:line="300" w:lineRule="auto"/>
      <w:ind w:left="113" w:right="113"/>
      <w:textAlignment w:val="baseline"/>
    </w:pPr>
    <w:rPr>
      <w:kern w:val="0"/>
      <w:sz w:val="24"/>
      <w:szCs w:val="20"/>
    </w:rPr>
  </w:style>
  <w:style w:type="paragraph" w:customStyle="1" w:styleId="102">
    <w:name w:val="xl63"/>
    <w:basedOn w:val="1"/>
    <w:uiPriority w:val="0"/>
    <w:pPr>
      <w:widowControl/>
      <w:spacing w:before="100" w:beforeAutospacing="1" w:after="100" w:afterAutospacing="1"/>
      <w:jc w:val="left"/>
    </w:pPr>
    <w:rPr>
      <w:rFonts w:ascii="宋体" w:hAnsi="宋体" w:cs="宋体"/>
      <w:color w:val="0000FF"/>
      <w:kern w:val="0"/>
      <w:sz w:val="24"/>
    </w:rPr>
  </w:style>
  <w:style w:type="paragraph" w:customStyle="1" w:styleId="103">
    <w:name w:val="表格标题"/>
    <w:basedOn w:val="31"/>
    <w:uiPriority w:val="0"/>
    <w:pPr>
      <w:adjustRightInd w:val="0"/>
      <w:snapToGrid w:val="0"/>
      <w:spacing w:after="0" w:line="360" w:lineRule="exact"/>
      <w:ind w:firstLine="514" w:firstLineChars="245"/>
    </w:pPr>
    <w:rPr>
      <w:rFonts w:ascii="黑体" w:hAnsi="黑体" w:eastAsia="黑体"/>
      <w:color w:val="000000"/>
      <w:kern w:val="40"/>
      <w:szCs w:val="30"/>
      <w:lang/>
    </w:rPr>
  </w:style>
  <w:style w:type="paragraph" w:customStyle="1" w:styleId="104">
    <w:name w:val="Table Paragraph"/>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Times New Roman" w:hAnsi="Times New Roman" w:eastAsia="宋体" w:cs="Times New Roman"/>
      <w:kern w:val="0"/>
      <w:sz w:val="24"/>
      <w:szCs w:val="24"/>
      <w:lang w:val="en-US" w:eastAsia="zh-CN" w:bidi="ar"/>
    </w:rPr>
  </w:style>
  <w:style w:type="paragraph" w:customStyle="1" w:styleId="105">
    <w:name w:val="text3"/>
    <w:basedOn w:val="1"/>
    <w:uiPriority w:val="0"/>
    <w:pPr>
      <w:widowControl/>
      <w:adjustRightInd w:val="0"/>
      <w:spacing w:before="100" w:beforeAutospacing="1" w:after="100" w:afterAutospacing="1" w:line="300" w:lineRule="atLeast"/>
      <w:jc w:val="left"/>
      <w:textAlignment w:val="baseline"/>
    </w:pPr>
    <w:rPr>
      <w:rFonts w:ascii="宋体" w:hAnsi="宋体"/>
      <w:color w:val="000000"/>
      <w:kern w:val="0"/>
      <w:sz w:val="24"/>
      <w:szCs w:val="20"/>
    </w:rPr>
  </w:style>
  <w:style w:type="paragraph" w:customStyle="1" w:styleId="106">
    <w:name w:val="谏壁标题3（chen）"/>
    <w:basedOn w:val="1"/>
    <w:uiPriority w:val="0"/>
    <w:pPr>
      <w:keepNext/>
      <w:keepLines/>
      <w:spacing w:before="100" w:after="120" w:line="360" w:lineRule="auto"/>
      <w:outlineLvl w:val="2"/>
    </w:pPr>
    <w:rPr>
      <w:rFonts w:eastAsia="黑体"/>
      <w:sz w:val="30"/>
      <w:szCs w:val="32"/>
    </w:rPr>
  </w:style>
  <w:style w:type="paragraph" w:customStyle="1" w:styleId="107">
    <w:name w:val="0006"/>
    <w:basedOn w:val="108"/>
    <w:uiPriority w:val="0"/>
    <w:pPr>
      <w:snapToGrid w:val="0"/>
      <w:spacing w:afterLines="50"/>
    </w:pPr>
    <w:rPr>
      <w:b/>
      <w:bCs/>
      <w:kern w:val="0"/>
      <w:lang w:val="zh-CN"/>
    </w:rPr>
  </w:style>
  <w:style w:type="paragraph" w:customStyle="1" w:styleId="108">
    <w:name w:val="0004正文"/>
    <w:basedOn w:val="1"/>
    <w:uiPriority w:val="0"/>
    <w:pPr>
      <w:widowControl/>
      <w:autoSpaceDE w:val="0"/>
      <w:autoSpaceDN w:val="0"/>
      <w:adjustRightInd w:val="0"/>
      <w:spacing w:line="500" w:lineRule="exact"/>
    </w:pPr>
    <w:rPr>
      <w:rFonts w:ascii="宋体" w:hAnsi="宋体"/>
      <w:sz w:val="28"/>
      <w:szCs w:val="28"/>
    </w:rPr>
  </w:style>
  <w:style w:type="paragraph" w:customStyle="1" w:styleId="109">
    <w:name w:val="新"/>
    <w:basedOn w:val="7"/>
    <w:uiPriority w:val="0"/>
    <w:pPr>
      <w:numPr>
        <w:ilvl w:val="0"/>
        <w:numId w:val="0"/>
      </w:numPr>
      <w:tabs>
        <w:tab w:val="left" w:pos="3600"/>
      </w:tabs>
      <w:adjustRightInd/>
      <w:spacing w:line="376" w:lineRule="auto"/>
      <w:ind w:left="3600" w:hanging="360"/>
      <w:textAlignment w:val="auto"/>
    </w:pPr>
    <w:rPr>
      <w:kern w:val="2"/>
      <w:sz w:val="24"/>
    </w:rPr>
  </w:style>
  <w:style w:type="paragraph" w:customStyle="1" w:styleId="110">
    <w:name w:val="xl26"/>
    <w:basedOn w:val="1"/>
    <w:uiPriority w:val="0"/>
    <w:pPr>
      <w:widowControl/>
      <w:spacing w:before="100" w:beforeAutospacing="1" w:after="100" w:afterAutospacing="1"/>
      <w:jc w:val="center"/>
    </w:pPr>
    <w:rPr>
      <w:rFonts w:ascii="宋体" w:hAnsi="宋体"/>
      <w:kern w:val="0"/>
      <w:sz w:val="24"/>
    </w:rPr>
  </w:style>
  <w:style w:type="paragraph" w:customStyle="1" w:styleId="111">
    <w:name w:val="左2"/>
    <w:basedOn w:val="1"/>
    <w:next w:val="1"/>
    <w:link w:val="599"/>
    <w:uiPriority w:val="0"/>
    <w:pPr>
      <w:spacing w:line="500" w:lineRule="exact"/>
      <w:ind w:firstLine="560" w:firstLineChars="200"/>
    </w:pPr>
    <w:rPr>
      <w:rFonts w:ascii="宋体" w:hAnsi="宋体"/>
      <w:sz w:val="28"/>
      <w:szCs w:val="28"/>
    </w:rPr>
  </w:style>
  <w:style w:type="paragraph" w:customStyle="1" w:styleId="112">
    <w:name w:val="样式 样式 首行缩进:  0.99 厘米 + 首行缩进:  2 字符"/>
    <w:basedOn w:val="1"/>
    <w:uiPriority w:val="0"/>
    <w:pPr>
      <w:widowControl/>
      <w:spacing w:line="560" w:lineRule="exact"/>
      <w:ind w:firstLine="200" w:firstLineChars="200"/>
    </w:pPr>
    <w:rPr>
      <w:rFonts w:eastAsia="仿宋_GB2312" w:cs="宋体"/>
      <w:kern w:val="0"/>
      <w:sz w:val="28"/>
      <w:szCs w:val="20"/>
    </w:rPr>
  </w:style>
  <w:style w:type="paragraph" w:customStyle="1" w:styleId="113">
    <w:name w:val="xl45"/>
    <w:basedOn w:val="1"/>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114">
    <w:name w:val="正文格式dl"/>
    <w:basedOn w:val="1"/>
    <w:qFormat/>
    <w:uiPriority w:val="0"/>
    <w:pPr>
      <w:spacing w:line="360" w:lineRule="auto"/>
    </w:pPr>
    <w:rPr>
      <w:rFonts w:cs="宋体"/>
      <w:color w:val="000000"/>
      <w:sz w:val="24"/>
    </w:rPr>
  </w:style>
  <w:style w:type="paragraph" w:customStyle="1" w:styleId="115">
    <w:name w:val="样式 样式 首行缩进:  2 字符 + 居中1"/>
    <w:basedOn w:val="116"/>
    <w:uiPriority w:val="0"/>
    <w:pPr>
      <w:ind w:firstLine="0" w:firstLineChars="0"/>
      <w:jc w:val="center"/>
    </w:pPr>
    <w:rPr>
      <w:rFonts w:cs="宋体"/>
      <w:sz w:val="28"/>
      <w:szCs w:val="28"/>
    </w:rPr>
  </w:style>
  <w:style w:type="paragraph" w:customStyle="1" w:styleId="116">
    <w:name w:val="样式 首行缩进:  2 字符"/>
    <w:basedOn w:val="1"/>
    <w:link w:val="546"/>
    <w:uiPriority w:val="0"/>
    <w:pPr>
      <w:spacing w:line="500" w:lineRule="exact"/>
      <w:ind w:firstLine="480" w:firstLineChars="200"/>
    </w:pPr>
    <w:rPr>
      <w:rFonts w:ascii="宋体" w:hAnsi="宋体"/>
      <w:sz w:val="24"/>
      <w:szCs w:val="20"/>
    </w:rPr>
  </w:style>
  <w:style w:type="paragraph" w:customStyle="1" w:styleId="117">
    <w:name w:val="Char Char Char Char Char2 Char1"/>
    <w:basedOn w:val="1"/>
    <w:semiHidden/>
    <w:uiPriority w:val="0"/>
    <w:pPr>
      <w:adjustRightInd w:val="0"/>
      <w:snapToGrid w:val="0"/>
      <w:spacing w:beforeLines="200" w:afterLines="100" w:line="480" w:lineRule="auto"/>
      <w:ind w:firstLine="200" w:firstLineChars="200"/>
      <w:jc w:val="center"/>
    </w:pPr>
    <w:rPr>
      <w:rFonts w:ascii="宋体" w:hAnsi="宋体" w:cs="宋体"/>
      <w:sz w:val="32"/>
      <w:szCs w:val="26"/>
    </w:rPr>
  </w:style>
  <w:style w:type="paragraph" w:customStyle="1" w:styleId="118">
    <w:name w:val="正文-ls"/>
    <w:basedOn w:val="1"/>
    <w:link w:val="588"/>
    <w:uiPriority w:val="0"/>
    <w:pPr>
      <w:spacing w:line="360" w:lineRule="auto"/>
      <w:ind w:firstLine="200" w:firstLineChars="200"/>
    </w:pPr>
    <w:rPr>
      <w:rFonts w:hAnsi="宋体" w:cs="宋体"/>
      <w:sz w:val="24"/>
      <w:szCs w:val="20"/>
    </w:rPr>
  </w:style>
  <w:style w:type="paragraph" w:customStyle="1" w:styleId="119">
    <w:name w:val="表头"/>
    <w:basedOn w:val="72"/>
    <w:next w:val="1"/>
    <w:link w:val="695"/>
    <w:qFormat/>
    <w:uiPriority w:val="0"/>
    <w:pPr>
      <w:overflowPunct w:val="0"/>
      <w:autoSpaceDE w:val="0"/>
      <w:autoSpaceDN w:val="0"/>
      <w:adjustRightInd w:val="0"/>
      <w:spacing w:before="60" w:after="60" w:line="360" w:lineRule="auto"/>
      <w:ind w:firstLine="539" w:firstLineChars="0"/>
      <w:jc w:val="center"/>
      <w:textAlignment w:val="baseline"/>
    </w:pPr>
    <w:rPr>
      <w:rFonts w:eastAsia="黑体"/>
      <w:kern w:val="0"/>
      <w:sz w:val="28"/>
      <w:szCs w:val="20"/>
    </w:rPr>
  </w:style>
  <w:style w:type="paragraph" w:customStyle="1" w:styleId="120">
    <w:name w:val="Body Text 2"/>
    <w:basedOn w:val="1"/>
    <w:uiPriority w:val="0"/>
    <w:pPr>
      <w:adjustRightInd w:val="0"/>
      <w:spacing w:line="432" w:lineRule="auto"/>
      <w:ind w:firstLine="480"/>
      <w:textAlignment w:val="baseline"/>
    </w:pPr>
    <w:rPr>
      <w:sz w:val="24"/>
      <w:szCs w:val="20"/>
    </w:rPr>
  </w:style>
  <w:style w:type="paragraph" w:customStyle="1" w:styleId="121">
    <w:name w:val="目录1"/>
    <w:basedOn w:val="1"/>
    <w:next w:val="1"/>
    <w:uiPriority w:val="0"/>
    <w:pPr>
      <w:widowControl/>
      <w:tabs>
        <w:tab w:val="left" w:leader="dot" w:pos="8503"/>
      </w:tabs>
      <w:spacing w:after="136" w:line="289" w:lineRule="atLeast"/>
      <w:jc w:val="left"/>
      <w:textAlignment w:val="baseline"/>
    </w:pPr>
    <w:rPr>
      <w:rFonts w:ascii="Arial" w:eastAsia="黑体"/>
      <w:color w:val="000000"/>
      <w:kern w:val="0"/>
      <w:sz w:val="28"/>
      <w:szCs w:val="20"/>
      <w:u w:val="none" w:color="000000"/>
    </w:rPr>
  </w:style>
  <w:style w:type="paragraph" w:customStyle="1" w:styleId="122">
    <w:name w:val="Char Char Char Char Char2 Char Char Char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123">
    <w:name w:val="缩2"/>
    <w:basedOn w:val="1"/>
    <w:uiPriority w:val="0"/>
    <w:pPr>
      <w:spacing w:line="500" w:lineRule="exact"/>
      <w:ind w:firstLine="560" w:firstLineChars="200"/>
    </w:pPr>
    <w:rPr>
      <w:sz w:val="28"/>
    </w:rPr>
  </w:style>
  <w:style w:type="paragraph" w:customStyle="1" w:styleId="124">
    <w:name w:val="标题 1 + 段前: 0.5 行 段后: 0.5 行1"/>
    <w:basedOn w:val="1"/>
    <w:uiPriority w:val="0"/>
    <w:pPr>
      <w:spacing w:before="312" w:beforeLines="100" w:after="936" w:afterLines="300" w:line="1200" w:lineRule="exact"/>
      <w:outlineLvl w:val="0"/>
    </w:pPr>
    <w:rPr>
      <w:rFonts w:ascii="黑体" w:hAnsi="宋体" w:eastAsia="黑体"/>
      <w:kern w:val="44"/>
      <w:sz w:val="44"/>
      <w:szCs w:val="44"/>
    </w:rPr>
  </w:style>
  <w:style w:type="paragraph" w:customStyle="1" w:styleId="125">
    <w:name w:val="Date"/>
    <w:basedOn w:val="1"/>
    <w:next w:val="1"/>
    <w:uiPriority w:val="0"/>
    <w:pPr>
      <w:adjustRightInd w:val="0"/>
      <w:spacing w:line="312" w:lineRule="atLeast"/>
      <w:jc w:val="right"/>
    </w:pPr>
    <w:rPr>
      <w:rFonts w:ascii="宋体"/>
      <w:kern w:val="0"/>
      <w:sz w:val="28"/>
      <w:szCs w:val="20"/>
    </w:rPr>
  </w:style>
  <w:style w:type="paragraph" w:customStyle="1" w:styleId="126">
    <w:name w:val="目录3"/>
    <w:basedOn w:val="1"/>
    <w:next w:val="1"/>
    <w:uiPriority w:val="0"/>
    <w:pPr>
      <w:widowControl/>
      <w:tabs>
        <w:tab w:val="left" w:leader="dot" w:pos="8503"/>
      </w:tabs>
      <w:spacing w:line="317" w:lineRule="atLeast"/>
      <w:ind w:firstLine="419"/>
      <w:textAlignment w:val="baseline"/>
    </w:pPr>
    <w:rPr>
      <w:color w:val="000000"/>
      <w:kern w:val="0"/>
      <w:szCs w:val="20"/>
      <w:u w:val="none" w:color="000000"/>
    </w:rPr>
  </w:style>
  <w:style w:type="paragraph" w:customStyle="1" w:styleId="127">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128">
    <w:name w:val="L正文"/>
    <w:basedOn w:val="1"/>
    <w:link w:val="667"/>
    <w:uiPriority w:val="0"/>
    <w:pPr>
      <w:autoSpaceDE w:val="0"/>
      <w:autoSpaceDN w:val="0"/>
      <w:adjustRightInd w:val="0"/>
      <w:snapToGrid w:val="0"/>
      <w:spacing w:line="360" w:lineRule="auto"/>
      <w:ind w:firstLine="200" w:firstLineChars="200"/>
    </w:pPr>
    <w:rPr>
      <w:rFonts w:cs="宋体"/>
      <w:bCs/>
      <w:snapToGrid w:val="0"/>
      <w:kern w:val="0"/>
      <w:sz w:val="26"/>
      <w:szCs w:val="26"/>
    </w:rPr>
  </w:style>
  <w:style w:type="paragraph" w:customStyle="1" w:styleId="129">
    <w:name w:val=" Char"/>
    <w:basedOn w:val="1"/>
    <w:uiPriority w:val="0"/>
    <w:rPr>
      <w:szCs w:val="20"/>
    </w:rPr>
  </w:style>
  <w:style w:type="paragraph" w:customStyle="1" w:styleId="130">
    <w:name w:val="段落1"/>
    <w:basedOn w:val="1"/>
    <w:link w:val="530"/>
    <w:uiPriority w:val="0"/>
    <w:pPr>
      <w:adjustRightInd w:val="0"/>
      <w:spacing w:line="360" w:lineRule="auto"/>
      <w:ind w:right="210" w:rightChars="100" w:firstLine="480" w:firstLineChars="200"/>
      <w:textAlignment w:val="baseline"/>
    </w:pPr>
    <w:rPr>
      <w:rFonts w:ascii="宋体" w:hAnsi="宋体"/>
      <w:sz w:val="24"/>
      <w:lang w:val="en-AU"/>
    </w:rPr>
  </w:style>
  <w:style w:type="paragraph" w:customStyle="1" w:styleId="131">
    <w:name w:val="p15"/>
    <w:basedOn w:val="1"/>
    <w:uiPriority w:val="0"/>
    <w:pPr>
      <w:widowControl/>
      <w:spacing w:after="120"/>
      <w:ind w:firstLine="210"/>
    </w:pPr>
    <w:rPr>
      <w:kern w:val="0"/>
      <w:szCs w:val="21"/>
    </w:rPr>
  </w:style>
  <w:style w:type="paragraph" w:customStyle="1" w:styleId="132">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FF0000"/>
      <w:kern w:val="0"/>
      <w:sz w:val="20"/>
      <w:szCs w:val="20"/>
    </w:rPr>
  </w:style>
  <w:style w:type="paragraph" w:customStyle="1" w:styleId="133">
    <w:name w:val=" Char4 Char Char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134">
    <w:name w:val="xl51"/>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135">
    <w:name w:val="表内容"/>
    <w:basedOn w:val="1"/>
    <w:uiPriority w:val="0"/>
    <w:pPr>
      <w:widowControl/>
      <w:adjustRightInd w:val="0"/>
      <w:snapToGrid w:val="0"/>
      <w:spacing w:after="200" w:line="240" w:lineRule="atLeast"/>
      <w:jc w:val="left"/>
    </w:pPr>
    <w:rPr>
      <w:rFonts w:ascii="Calibri" w:hAnsi="Calibri"/>
      <w:kern w:val="0"/>
      <w:sz w:val="22"/>
      <w:szCs w:val="20"/>
    </w:rPr>
  </w:style>
  <w:style w:type="paragraph" w:customStyle="1" w:styleId="136">
    <w:name w:val="表格"/>
    <w:basedOn w:val="1"/>
    <w:next w:val="1"/>
    <w:link w:val="536"/>
    <w:uiPriority w:val="0"/>
    <w:pPr>
      <w:jc w:val="center"/>
    </w:pPr>
    <w:rPr>
      <w:szCs w:val="21"/>
    </w:rPr>
  </w:style>
  <w:style w:type="paragraph" w:customStyle="1" w:styleId="137">
    <w:name w:val="样式 宋体 小四 左 行距: 固定值 25 磅"/>
    <w:basedOn w:val="1"/>
    <w:uiPriority w:val="0"/>
    <w:pPr>
      <w:spacing w:line="500" w:lineRule="exact"/>
      <w:jc w:val="left"/>
    </w:pPr>
    <w:rPr>
      <w:rFonts w:ascii="宋体" w:hAnsi="宋体"/>
      <w:sz w:val="24"/>
      <w:szCs w:val="20"/>
    </w:rPr>
  </w:style>
  <w:style w:type="paragraph" w:customStyle="1" w:styleId="138">
    <w:name w:val="图表名"/>
    <w:basedOn w:val="1"/>
    <w:link w:val="540"/>
    <w:uiPriority w:val="0"/>
    <w:pPr>
      <w:adjustRightInd w:val="0"/>
      <w:snapToGrid w:val="0"/>
      <w:spacing w:afterLines="50" w:line="360" w:lineRule="auto"/>
      <w:jc w:val="center"/>
    </w:pPr>
    <w:rPr>
      <w:rFonts w:eastAsia="黑体"/>
      <w:kern w:val="0"/>
      <w:sz w:val="28"/>
      <w:szCs w:val="28"/>
    </w:rPr>
  </w:style>
  <w:style w:type="paragraph" w:customStyle="1" w:styleId="139">
    <w:name w:val="五级条标题"/>
    <w:basedOn w:val="140"/>
    <w:next w:val="1"/>
    <w:uiPriority w:val="0"/>
    <w:pPr>
      <w:tabs>
        <w:tab w:val="left" w:pos="360"/>
      </w:tabs>
      <w:outlineLvl w:val="6"/>
    </w:pPr>
  </w:style>
  <w:style w:type="paragraph" w:customStyle="1" w:styleId="140">
    <w:name w:val="四级条标题"/>
    <w:basedOn w:val="141"/>
    <w:next w:val="1"/>
    <w:uiPriority w:val="0"/>
    <w:pPr>
      <w:outlineLvl w:val="5"/>
    </w:pPr>
  </w:style>
  <w:style w:type="paragraph" w:customStyle="1" w:styleId="141">
    <w:name w:val="三级条标题"/>
    <w:basedOn w:val="1"/>
    <w:next w:val="1"/>
    <w:uiPriority w:val="0"/>
    <w:pPr>
      <w:widowControl/>
      <w:tabs>
        <w:tab w:val="left" w:pos="360"/>
      </w:tabs>
      <w:outlineLvl w:val="4"/>
    </w:pPr>
    <w:rPr>
      <w:rFonts w:ascii="黑体" w:eastAsia="黑体"/>
      <w:kern w:val="0"/>
      <w:szCs w:val="20"/>
    </w:rPr>
  </w:style>
  <w:style w:type="paragraph" w:customStyle="1" w:styleId="142">
    <w:name w:val=" Char Char Char Char Char Char Char Char Char Char Char Char Char Char Char Char"/>
    <w:basedOn w:val="1"/>
    <w:uiPriority w:val="0"/>
  </w:style>
  <w:style w:type="paragraph" w:customStyle="1" w:styleId="143">
    <w:name w:val="封面标准文稿编辑信息"/>
    <w:uiPriority w:val="0"/>
    <w:pPr>
      <w:spacing w:before="180" w:line="180" w:lineRule="exact"/>
      <w:jc w:val="center"/>
    </w:pPr>
    <w:rPr>
      <w:rFonts w:ascii="宋体"/>
      <w:sz w:val="21"/>
      <w:lang w:val="en-US" w:eastAsia="zh-CN" w:bidi="ar-SA"/>
    </w:rPr>
  </w:style>
  <w:style w:type="paragraph" w:customStyle="1" w:styleId="144">
    <w:name w:val="样式3"/>
    <w:basedOn w:val="5"/>
    <w:next w:val="5"/>
    <w:uiPriority w:val="0"/>
    <w:pPr>
      <w:autoSpaceDE w:val="0"/>
      <w:autoSpaceDN w:val="0"/>
      <w:adjustRightInd w:val="0"/>
      <w:snapToGrid w:val="0"/>
      <w:spacing w:before="0" w:after="0" w:afterLines="50" w:line="560" w:lineRule="exact"/>
      <w:ind w:right="100" w:rightChars="100"/>
      <w:jc w:val="left"/>
    </w:pPr>
    <w:rPr>
      <w:rFonts w:eastAsia="仿宋_GB2312"/>
      <w:bCs w:val="0"/>
      <w:color w:val="000000"/>
      <w:spacing w:val="10"/>
      <w:kern w:val="0"/>
      <w:sz w:val="24"/>
      <w:szCs w:val="18"/>
      <w:lang w:val="zh-CN"/>
    </w:rPr>
  </w:style>
  <w:style w:type="paragraph" w:customStyle="1" w:styleId="145">
    <w:name w:val="Char1"/>
    <w:basedOn w:val="1"/>
    <w:uiPriority w:val="0"/>
    <w:pPr>
      <w:widowControl/>
      <w:spacing w:after="160" w:line="240" w:lineRule="exact"/>
      <w:jc w:val="left"/>
    </w:pPr>
    <w:rPr>
      <w:szCs w:val="20"/>
    </w:rPr>
  </w:style>
  <w:style w:type="paragraph" w:customStyle="1" w:styleId="146">
    <w:name w:val="xl49"/>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47">
    <w:name w:val="表格头"/>
    <w:basedOn w:val="1"/>
    <w:link w:val="715"/>
    <w:uiPriority w:val="0"/>
    <w:pPr>
      <w:spacing w:line="360" w:lineRule="auto"/>
      <w:jc w:val="left"/>
    </w:pPr>
    <w:rPr>
      <w:rFonts w:ascii="宋体" w:hAnsi="宋体"/>
      <w:sz w:val="24"/>
    </w:rPr>
  </w:style>
  <w:style w:type="paragraph" w:customStyle="1" w:styleId="148">
    <w:name w:val="xl55"/>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49">
    <w:name w:val="样式 样式 标题 2 + 宋体 小二 首行缩进:  2 字符 + 段前: 0.5 行 段后: 0.5 行"/>
    <w:basedOn w:val="1"/>
    <w:uiPriority w:val="0"/>
    <w:pPr>
      <w:keepNext/>
      <w:keepLines/>
      <w:spacing w:beforeLines="50"/>
      <w:outlineLvl w:val="1"/>
    </w:pPr>
    <w:rPr>
      <w:rFonts w:ascii="宋体" w:hAnsi="宋体" w:cs="宋体"/>
      <w:b/>
      <w:bCs/>
      <w:sz w:val="32"/>
      <w:szCs w:val="20"/>
    </w:rPr>
  </w:style>
  <w:style w:type="paragraph" w:customStyle="1" w:styleId="150">
    <w:name w:val="图文框"/>
    <w:basedOn w:val="1"/>
    <w:uiPriority w:val="0"/>
    <w:pPr>
      <w:jc w:val="center"/>
    </w:pPr>
    <w:rPr>
      <w:rFonts w:hAnsi="宋体"/>
      <w:szCs w:val="21"/>
    </w:rPr>
  </w:style>
  <w:style w:type="paragraph" w:customStyle="1" w:styleId="151">
    <w:name w:val="表格新"/>
    <w:basedOn w:val="1"/>
    <w:uiPriority w:val="0"/>
    <w:pPr>
      <w:spacing w:line="360" w:lineRule="auto"/>
      <w:jc w:val="center"/>
    </w:pPr>
    <w:rPr>
      <w:rFonts w:eastAsia="黑体"/>
      <w:sz w:val="24"/>
    </w:rPr>
  </w:style>
  <w:style w:type="paragraph" w:customStyle="1" w:styleId="152">
    <w:name w:val="xl42"/>
    <w:basedOn w:val="1"/>
    <w:uiPriority w:val="0"/>
    <w:pPr>
      <w:widowControl/>
      <w:shd w:val="clear" w:color="auto" w:fill="CCFFCC"/>
      <w:spacing w:before="100" w:beforeAutospacing="1" w:after="100" w:afterAutospacing="1"/>
      <w:jc w:val="left"/>
      <w:textAlignment w:val="bottom"/>
    </w:pPr>
    <w:rPr>
      <w:rFonts w:ascii="宋体" w:hAnsi="宋体" w:cs="宋体"/>
      <w:kern w:val="0"/>
      <w:sz w:val="24"/>
    </w:rPr>
  </w:style>
  <w:style w:type="paragraph" w:customStyle="1" w:styleId="153">
    <w:name w:val="4"/>
    <w:basedOn w:val="1"/>
    <w:next w:val="41"/>
    <w:uiPriority w:val="0"/>
    <w:rPr>
      <w:rFonts w:ascii="宋体" w:hAnsi="Courier New"/>
      <w:szCs w:val="20"/>
    </w:rPr>
  </w:style>
  <w:style w:type="paragraph" w:customStyle="1" w:styleId="154">
    <w:name w:val="正文一"/>
    <w:basedOn w:val="1"/>
    <w:uiPriority w:val="0"/>
    <w:pPr>
      <w:spacing w:line="300" w:lineRule="auto"/>
      <w:ind w:firstLine="200" w:firstLineChars="200"/>
    </w:pPr>
    <w:rPr>
      <w:rFonts w:ascii="仿宋_GB2312" w:hAnsi="宋体"/>
      <w:sz w:val="28"/>
      <w:szCs w:val="20"/>
    </w:rPr>
  </w:style>
  <w:style w:type="paragraph" w:customStyle="1" w:styleId="155">
    <w:name w:val="样式 标题 2 + 首行缩进:  2 字符"/>
    <w:basedOn w:val="4"/>
    <w:link w:val="710"/>
    <w:uiPriority w:val="0"/>
    <w:pPr>
      <w:keepLines/>
      <w:numPr>
        <w:ilvl w:val="0"/>
        <w:numId w:val="0"/>
      </w:numPr>
      <w:tabs>
        <w:tab w:val="left" w:pos="360"/>
      </w:tabs>
      <w:spacing w:before="120" w:after="120" w:line="500" w:lineRule="exact"/>
      <w:ind w:left="840" w:hanging="420" w:firstLineChars="200"/>
      <w:jc w:val="left"/>
    </w:pPr>
    <w:rPr>
      <w:rFonts w:ascii="Arial" w:hAnsi="Arial" w:cs="宋体"/>
      <w:szCs w:val="20"/>
    </w:rPr>
  </w:style>
  <w:style w:type="paragraph" w:customStyle="1" w:styleId="156">
    <w:name w:val="1卷数"/>
    <w:basedOn w:val="1"/>
    <w:uiPriority w:val="0"/>
    <w:pPr>
      <w:spacing w:line="360" w:lineRule="auto"/>
      <w:ind w:firstLine="600" w:firstLineChars="200"/>
      <w:jc w:val="center"/>
    </w:pPr>
    <w:rPr>
      <w:sz w:val="30"/>
    </w:rPr>
  </w:style>
  <w:style w:type="paragraph" w:customStyle="1" w:styleId="157">
    <w:name w:val="正文A"/>
    <w:basedOn w:val="1"/>
    <w:link w:val="622"/>
    <w:qFormat/>
    <w:uiPriority w:val="0"/>
    <w:pPr>
      <w:spacing w:line="580" w:lineRule="exact"/>
      <w:ind w:firstLine="200" w:firstLineChars="200"/>
      <w:jc w:val="left"/>
    </w:pPr>
    <w:rPr>
      <w:kern w:val="0"/>
      <w:sz w:val="28"/>
      <w:szCs w:val="20"/>
    </w:rPr>
  </w:style>
  <w:style w:type="paragraph" w:customStyle="1" w:styleId="158">
    <w:name w:val="标题 2 蓝四号"/>
    <w:basedOn w:val="4"/>
    <w:next w:val="1"/>
    <w:semiHidden/>
    <w:uiPriority w:val="0"/>
    <w:pPr>
      <w:keepLines/>
      <w:numPr>
        <w:ilvl w:val="0"/>
        <w:numId w:val="0"/>
      </w:numPr>
      <w:shd w:val="clear" w:color="auto" w:fill="FFFFFF"/>
      <w:tabs>
        <w:tab w:val="left" w:pos="210"/>
      </w:tabs>
      <w:kinsoku w:val="0"/>
      <w:overflowPunct w:val="0"/>
      <w:autoSpaceDE w:val="0"/>
      <w:autoSpaceDN w:val="0"/>
      <w:spacing w:before="120" w:after="120" w:line="300" w:lineRule="exact"/>
      <w:jc w:val="both"/>
    </w:pPr>
    <w:rPr>
      <w:rFonts w:ascii="宋体" w:hAnsi="宋体"/>
      <w:bCs w:val="0"/>
      <w:color w:val="0000FF"/>
      <w:sz w:val="24"/>
    </w:rPr>
  </w:style>
  <w:style w:type="paragraph" w:customStyle="1" w:styleId="159">
    <w:name w:val="3标题(治)"/>
    <w:basedOn w:val="5"/>
    <w:link w:val="568"/>
    <w:uiPriority w:val="0"/>
    <w:pPr>
      <w:spacing w:beforeLines="50" w:afterLines="50" w:line="360" w:lineRule="auto"/>
      <w:textAlignment w:val="baseline"/>
    </w:pPr>
    <w:rPr>
      <w:sz w:val="28"/>
      <w:szCs w:val="28"/>
    </w:rPr>
  </w:style>
  <w:style w:type="paragraph" w:customStyle="1" w:styleId="160">
    <w:name w:val="font7"/>
    <w:basedOn w:val="1"/>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61">
    <w:name w:val="myformat_content Char"/>
    <w:basedOn w:val="1"/>
    <w:uiPriority w:val="0"/>
    <w:pPr>
      <w:spacing w:before="156" w:beforeLines="50" w:after="156" w:afterLines="50" w:line="360" w:lineRule="exact"/>
      <w:ind w:firstLine="480" w:firstLineChars="200"/>
    </w:pPr>
    <w:rPr>
      <w:sz w:val="24"/>
    </w:rPr>
  </w:style>
  <w:style w:type="paragraph" w:customStyle="1" w:styleId="162">
    <w:name w:val="默认段落字体 Para Char"/>
    <w:basedOn w:val="1"/>
    <w:uiPriority w:val="0"/>
  </w:style>
  <w:style w:type="paragraph" w:customStyle="1" w:styleId="163">
    <w:name w:val="xl47"/>
    <w:basedOn w:val="1"/>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164">
    <w:name w:val="表格单位"/>
    <w:basedOn w:val="1"/>
    <w:uiPriority w:val="0"/>
    <w:pPr>
      <w:spacing w:line="320" w:lineRule="exact"/>
      <w:ind w:firstLine="200" w:firstLineChars="200"/>
      <w:jc w:val="right"/>
    </w:pPr>
    <w:rPr>
      <w:rFonts w:ascii="仿宋_GB2312" w:eastAsia="仿宋_GB2312"/>
      <w:sz w:val="24"/>
    </w:rPr>
  </w:style>
  <w:style w:type="paragraph" w:customStyle="1" w:styleId="165">
    <w:name w:val="样式 0004正文 + 首行缩进:  2 字符"/>
    <w:basedOn w:val="108"/>
    <w:uiPriority w:val="0"/>
    <w:pPr>
      <w:spacing w:afterLines="20"/>
      <w:ind w:firstLine="560"/>
    </w:pPr>
    <w:rPr>
      <w:rFonts w:cs="宋体"/>
      <w:szCs w:val="20"/>
    </w:rPr>
  </w:style>
  <w:style w:type="paragraph" w:styleId="166">
    <w:name w:val="Intense Quote"/>
    <w:basedOn w:val="1"/>
    <w:next w:val="1"/>
    <w:link w:val="668"/>
    <w:qFormat/>
    <w:uiPriority w:val="0"/>
    <w:pPr>
      <w:widowControl/>
      <w:ind w:left="720" w:right="720"/>
      <w:jc w:val="left"/>
    </w:pPr>
    <w:rPr>
      <w:rFonts w:ascii="Calibri" w:hAnsi="Calibri"/>
      <w:b/>
      <w:i/>
      <w:kern w:val="0"/>
      <w:sz w:val="24"/>
      <w:szCs w:val="22"/>
      <w:lang w:eastAsia="en-US" w:bidi="en-US"/>
    </w:rPr>
  </w:style>
  <w:style w:type="paragraph" w:customStyle="1" w:styleId="167">
    <w:name w:val="Char Char Char Char Char2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168">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69">
    <w:name w:val="表格文字2"/>
    <w:basedOn w:val="1"/>
    <w:uiPriority w:val="0"/>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170">
    <w:name w:val="扉页文字"/>
    <w:next w:val="1"/>
    <w:uiPriority w:val="0"/>
    <w:pPr>
      <w:widowControl w:val="0"/>
      <w:spacing w:line="760" w:lineRule="exact"/>
      <w:ind w:firstLine="400" w:firstLineChars="400"/>
    </w:pPr>
    <w:rPr>
      <w:rFonts w:ascii="宋体"/>
      <w:kern w:val="2"/>
      <w:sz w:val="28"/>
      <w:szCs w:val="32"/>
      <w:lang w:val="en-US" w:eastAsia="zh-CN" w:bidi="ar-SA"/>
    </w:rPr>
  </w:style>
  <w:style w:type="paragraph" w:customStyle="1" w:styleId="171">
    <w:name w:val="表头+单位"/>
    <w:basedOn w:val="59"/>
    <w:uiPriority w:val="0"/>
    <w:pPr>
      <w:keepNext/>
      <w:ind w:left="0" w:firstLine="0" w:firstLineChars="0"/>
      <w:jc w:val="right"/>
    </w:pPr>
    <w:rPr>
      <w:rFonts w:ascii="黑体" w:eastAsia="黑体"/>
      <w:sz w:val="28"/>
      <w:szCs w:val="24"/>
    </w:rPr>
  </w:style>
  <w:style w:type="paragraph" w:customStyle="1" w:styleId="172">
    <w:name w:val="Char Char3 Char Char"/>
    <w:basedOn w:val="1"/>
    <w:uiPriority w:val="0"/>
    <w:rPr>
      <w:szCs w:val="20"/>
    </w:rPr>
  </w:style>
  <w:style w:type="paragraph" w:customStyle="1" w:styleId="173">
    <w:name w:val="xl85"/>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b/>
      <w:kern w:val="0"/>
      <w:sz w:val="20"/>
      <w:szCs w:val="20"/>
    </w:rPr>
  </w:style>
  <w:style w:type="paragraph" w:customStyle="1" w:styleId="174">
    <w:name w:val="陆晶 正文"/>
    <w:basedOn w:val="1"/>
    <w:link w:val="581"/>
    <w:uiPriority w:val="0"/>
    <w:pPr>
      <w:tabs>
        <w:tab w:val="left" w:pos="5580"/>
      </w:tabs>
      <w:spacing w:line="360" w:lineRule="auto"/>
      <w:ind w:firstLine="504" w:firstLineChars="200"/>
    </w:pPr>
    <w:rPr>
      <w:color w:val="000000"/>
      <w:spacing w:val="6"/>
      <w:kern w:val="0"/>
      <w:sz w:val="24"/>
      <w:lang w:val="zh-CN"/>
    </w:rPr>
  </w:style>
  <w:style w:type="paragraph" w:customStyle="1" w:styleId="175">
    <w:name w:val="样式 标题 1 + 首行缩进:  2.7 厘米"/>
    <w:basedOn w:val="3"/>
    <w:uiPriority w:val="0"/>
    <w:pPr>
      <w:keepLines/>
      <w:numPr>
        <w:ilvl w:val="0"/>
        <w:numId w:val="0"/>
      </w:numPr>
      <w:tabs>
        <w:tab w:val="left" w:pos="210"/>
      </w:tabs>
      <w:spacing w:line="600" w:lineRule="exact"/>
      <w:ind w:firstLine="200" w:firstLineChars="200"/>
      <w:jc w:val="center"/>
    </w:pPr>
    <w:rPr>
      <w:rFonts w:ascii="宋体" w:hAnsi="宋体" w:eastAsia="宋体" w:cs="宋体"/>
      <w:b/>
      <w:color w:val="FF0000"/>
      <w:kern w:val="44"/>
      <w:sz w:val="30"/>
      <w:szCs w:val="20"/>
    </w:rPr>
  </w:style>
  <w:style w:type="paragraph" w:customStyle="1" w:styleId="176">
    <w:name w:val="表内字体"/>
    <w:qFormat/>
    <w:uiPriority w:val="0"/>
    <w:pPr>
      <w:suppressAutoHyphens/>
      <w:spacing w:line="320" w:lineRule="exact"/>
      <w:jc w:val="center"/>
    </w:pPr>
    <w:rPr>
      <w:sz w:val="21"/>
      <w:lang w:val="en-US" w:eastAsia="zh-CN" w:bidi="ar-SA"/>
    </w:rPr>
  </w:style>
  <w:style w:type="paragraph" w:customStyle="1" w:styleId="177">
    <w:name w:val="标准"/>
    <w:basedOn w:val="1"/>
    <w:uiPriority w:val="0"/>
    <w:pPr>
      <w:adjustRightInd w:val="0"/>
      <w:spacing w:line="312" w:lineRule="atLeast"/>
      <w:jc w:val="center"/>
      <w:textAlignment w:val="baseline"/>
    </w:pPr>
    <w:rPr>
      <w:rFonts w:eastAsia="黑体"/>
      <w:kern w:val="0"/>
      <w:szCs w:val="20"/>
    </w:rPr>
  </w:style>
  <w:style w:type="paragraph" w:customStyle="1" w:styleId="178">
    <w:name w:val=" Char Char Char Char"/>
    <w:basedOn w:val="1"/>
    <w:uiPriority w:val="0"/>
  </w:style>
  <w:style w:type="paragraph" w:customStyle="1" w:styleId="179">
    <w:name w:val="xl34"/>
    <w:basedOn w:val="1"/>
    <w:uiPriority w:val="0"/>
    <w:pPr>
      <w:widowControl/>
      <w:spacing w:before="100" w:beforeAutospacing="1" w:after="100" w:afterAutospacing="1"/>
      <w:jc w:val="left"/>
      <w:textAlignment w:val="bottom"/>
    </w:pPr>
    <w:rPr>
      <w:rFonts w:ascii="宋体" w:hAnsi="宋体" w:cs="宋体"/>
      <w:kern w:val="0"/>
      <w:sz w:val="24"/>
    </w:rPr>
  </w:style>
  <w:style w:type="paragraph" w:customStyle="1" w:styleId="180">
    <w:name w:val="小标"/>
    <w:basedOn w:val="1"/>
    <w:uiPriority w:val="0"/>
    <w:pPr>
      <w:spacing w:line="320" w:lineRule="exact"/>
      <w:ind w:firstLine="360" w:firstLineChars="200"/>
    </w:pPr>
    <w:rPr>
      <w:rFonts w:ascii="黑体" w:eastAsia="黑体"/>
      <w:sz w:val="32"/>
      <w:szCs w:val="20"/>
    </w:rPr>
  </w:style>
  <w:style w:type="paragraph" w:customStyle="1" w:styleId="181">
    <w:name w:val="设计封面"/>
    <w:basedOn w:val="4"/>
    <w:uiPriority w:val="0"/>
    <w:pPr>
      <w:keepLines/>
      <w:numPr>
        <w:ilvl w:val="0"/>
        <w:numId w:val="0"/>
      </w:numPr>
      <w:tabs>
        <w:tab w:val="left" w:pos="210"/>
      </w:tabs>
      <w:spacing w:line="500" w:lineRule="exact"/>
      <w:ind w:firstLine="200" w:firstLineChars="200"/>
      <w:outlineLvl w:val="9"/>
    </w:pPr>
    <w:rPr>
      <w:rFonts w:ascii="Arial" w:hAnsi="Arial" w:eastAsia="华文中宋"/>
      <w:bCs w:val="0"/>
      <w:sz w:val="72"/>
      <w:szCs w:val="28"/>
    </w:rPr>
  </w:style>
  <w:style w:type="paragraph" w:customStyle="1" w:styleId="182">
    <w:name w:val="标准条文"/>
    <w:basedOn w:val="2"/>
    <w:next w:val="2"/>
    <w:uiPriority w:val="0"/>
    <w:rPr>
      <w:rFonts w:cs="Times New Roman"/>
      <w:color w:val="auto"/>
    </w:rPr>
  </w:style>
  <w:style w:type="paragraph" w:customStyle="1" w:styleId="183">
    <w:name w:val="蒲正文"/>
    <w:basedOn w:val="1"/>
    <w:link w:val="592"/>
    <w:uiPriority w:val="0"/>
    <w:pPr>
      <w:adjustRightInd w:val="0"/>
      <w:snapToGrid w:val="0"/>
      <w:spacing w:line="360" w:lineRule="auto"/>
      <w:ind w:firstLine="480" w:firstLineChars="200"/>
    </w:pPr>
    <w:rPr>
      <w:kern w:val="0"/>
      <w:sz w:val="24"/>
    </w:rPr>
  </w:style>
  <w:style w:type="paragraph" w:customStyle="1" w:styleId="184">
    <w:name w:val="font0"/>
    <w:basedOn w:val="1"/>
    <w:uiPriority w:val="0"/>
    <w:pPr>
      <w:widowControl/>
      <w:spacing w:before="100" w:beforeAutospacing="1" w:after="100" w:afterAutospacing="1"/>
      <w:jc w:val="left"/>
    </w:pPr>
    <w:rPr>
      <w:rFonts w:ascii="宋体" w:hAnsi="宋体" w:cs="宋体"/>
      <w:kern w:val="0"/>
      <w:sz w:val="24"/>
    </w:rPr>
  </w:style>
  <w:style w:type="paragraph" w:customStyle="1" w:styleId="185">
    <w:name w:val="Char Char Char Char Char Char Char Char Char Char Char Char Char Char Char Char"/>
    <w:basedOn w:val="1"/>
    <w:uiPriority w:val="0"/>
    <w:pPr>
      <w:widowControl/>
      <w:spacing w:after="160" w:line="240" w:lineRule="exact"/>
      <w:ind w:firstLine="200" w:firstLineChars="200"/>
      <w:jc w:val="left"/>
    </w:pPr>
    <w:rPr>
      <w:rFonts w:ascii="Verdana" w:hAnsi="Verdana" w:eastAsia="仿宋_GB2312"/>
      <w:kern w:val="0"/>
      <w:sz w:val="20"/>
      <w:szCs w:val="20"/>
      <w:lang w:eastAsia="en-US"/>
    </w:rPr>
  </w:style>
  <w:style w:type="paragraph" w:customStyle="1" w:styleId="186">
    <w:name w:val="正文（首行缩进） Char"/>
    <w:basedOn w:val="1"/>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rPr>
  </w:style>
  <w:style w:type="paragraph" w:customStyle="1" w:styleId="187">
    <w:name w:val="样式 首行缩进:  0.85 厘米"/>
    <w:basedOn w:val="1"/>
    <w:uiPriority w:val="0"/>
    <w:pPr>
      <w:autoSpaceDE w:val="0"/>
      <w:adjustRightInd w:val="0"/>
      <w:snapToGrid w:val="0"/>
      <w:ind w:firstLine="482" w:firstLineChars="200"/>
    </w:pPr>
    <w:rPr>
      <w:sz w:val="28"/>
      <w:szCs w:val="20"/>
    </w:rPr>
  </w:style>
  <w:style w:type="paragraph" w:customStyle="1" w:styleId="188">
    <w:name w:val="Char2"/>
    <w:basedOn w:val="1"/>
    <w:uiPriority w:val="0"/>
  </w:style>
  <w:style w:type="paragraph" w:customStyle="1" w:styleId="189">
    <w:name w:val="纯文本1"/>
    <w:basedOn w:val="1"/>
    <w:uiPriority w:val="0"/>
    <w:pPr>
      <w:adjustRightInd w:val="0"/>
      <w:jc w:val="left"/>
      <w:textAlignment w:val="baseline"/>
    </w:pPr>
    <w:rPr>
      <w:rFonts w:ascii="宋体" w:hAnsi="Courier New"/>
      <w:sz w:val="28"/>
      <w:szCs w:val="28"/>
    </w:rPr>
  </w:style>
  <w:style w:type="paragraph" w:customStyle="1" w:styleId="190">
    <w:name w:val="reader-word-layer reader-word-s3-4"/>
    <w:basedOn w:val="1"/>
    <w:uiPriority w:val="0"/>
    <w:pPr>
      <w:widowControl/>
      <w:spacing w:before="100" w:beforeAutospacing="1" w:after="100" w:afterAutospacing="1"/>
      <w:jc w:val="left"/>
    </w:pPr>
    <w:rPr>
      <w:rFonts w:ascii="宋体" w:hAnsi="宋体" w:cs="宋体"/>
      <w:kern w:val="0"/>
      <w:sz w:val="24"/>
    </w:rPr>
  </w:style>
  <w:style w:type="paragraph" w:customStyle="1" w:styleId="191">
    <w:name w:val="4表中文字"/>
    <w:basedOn w:val="1"/>
    <w:uiPriority w:val="0"/>
    <w:pPr>
      <w:tabs>
        <w:tab w:val="left" w:pos="6195"/>
      </w:tabs>
      <w:autoSpaceDE w:val="0"/>
      <w:autoSpaceDN w:val="0"/>
      <w:adjustRightInd w:val="0"/>
      <w:ind w:firstLine="200" w:firstLineChars="200"/>
      <w:jc w:val="center"/>
    </w:pPr>
    <w:rPr>
      <w:rFonts w:ascii="仿宋_GB2312" w:eastAsia="仿宋_GB2312"/>
      <w:kern w:val="0"/>
      <w:sz w:val="24"/>
    </w:rPr>
  </w:style>
  <w:style w:type="paragraph" w:customStyle="1" w:styleId="192">
    <w:name w:val="四级标题"/>
    <w:basedOn w:val="1"/>
    <w:uiPriority w:val="0"/>
    <w:pPr>
      <w:adjustRightInd w:val="0"/>
      <w:snapToGrid w:val="0"/>
      <w:spacing w:before="120" w:after="120" w:line="300" w:lineRule="auto"/>
      <w:outlineLvl w:val="3"/>
    </w:pPr>
    <w:rPr>
      <w:rFonts w:eastAsia="华文中宋"/>
      <w:sz w:val="28"/>
    </w:rPr>
  </w:style>
  <w:style w:type="paragraph" w:customStyle="1" w:styleId="193">
    <w:name w:val="样式 首行缩进:  2 字符1"/>
    <w:basedOn w:val="1"/>
    <w:uiPriority w:val="0"/>
    <w:pPr>
      <w:spacing w:line="560" w:lineRule="exact"/>
      <w:ind w:right="272" w:firstLine="480" w:firstLineChars="200"/>
    </w:pPr>
    <w:rPr>
      <w:rFonts w:ascii="仿宋_GB2312" w:eastAsia="仿宋_GB2312" w:cs="宋体"/>
      <w:kern w:val="0"/>
      <w:sz w:val="24"/>
      <w:szCs w:val="20"/>
    </w:rPr>
  </w:style>
  <w:style w:type="paragraph" w:customStyle="1" w:styleId="194">
    <w:name w:val="7表格(治)"/>
    <w:uiPriority w:val="0"/>
    <w:pPr>
      <w:jc w:val="center"/>
    </w:pPr>
    <w:rPr>
      <w:rFonts w:ascii="宋体" w:hAnsi="宋体"/>
      <w:color w:val="0000FF"/>
      <w:sz w:val="21"/>
      <w:lang w:val="en-US" w:eastAsia="zh-CN" w:bidi="ar-SA"/>
    </w:rPr>
  </w:style>
  <w:style w:type="paragraph" w:customStyle="1" w:styleId="195">
    <w:name w:val="表号"/>
    <w:basedOn w:val="1"/>
    <w:link w:val="598"/>
    <w:uiPriority w:val="0"/>
    <w:pPr>
      <w:ind w:firstLine="200" w:firstLineChars="200"/>
      <w:outlineLvl w:val="5"/>
    </w:pPr>
  </w:style>
  <w:style w:type="paragraph" w:customStyle="1" w:styleId="196">
    <w:name w:val="样式 目录 1 + 首行缩进:  2 字符"/>
    <w:basedOn w:val="1"/>
    <w:next w:val="1"/>
    <w:uiPriority w:val="0"/>
    <w:pPr>
      <w:tabs>
        <w:tab w:val="left" w:pos="210"/>
      </w:tabs>
      <w:adjustRightInd w:val="0"/>
      <w:spacing w:line="360" w:lineRule="exact"/>
      <w:ind w:firstLine="200" w:firstLineChars="200"/>
      <w:jc w:val="left"/>
    </w:pPr>
    <w:rPr>
      <w:rFonts w:ascii="宋体" w:hAnsi="宋体" w:cs="宋体"/>
      <w:b/>
      <w:bCs/>
      <w:sz w:val="24"/>
      <w:szCs w:val="28"/>
    </w:rPr>
  </w:style>
  <w:style w:type="paragraph" w:customStyle="1" w:styleId="197">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98">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199">
    <w:name w:val="font8"/>
    <w:basedOn w:val="1"/>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200">
    <w:name w:val="xl35"/>
    <w:basedOn w:val="1"/>
    <w:uiPriority w:val="0"/>
    <w:pPr>
      <w:widowControl/>
      <w:spacing w:before="100" w:beforeAutospacing="1" w:after="100" w:afterAutospacing="1"/>
      <w:jc w:val="left"/>
    </w:pPr>
    <w:rPr>
      <w:rFonts w:ascii="宋体" w:hAnsi="宋体" w:cs="宋体"/>
      <w:kern w:val="0"/>
      <w:sz w:val="24"/>
    </w:rPr>
  </w:style>
  <w:style w:type="paragraph" w:customStyle="1" w:styleId="201">
    <w:name w:val=" Char1"/>
    <w:basedOn w:val="1"/>
    <w:uiPriority w:val="0"/>
    <w:pPr>
      <w:spacing w:line="360" w:lineRule="auto"/>
      <w:ind w:firstLine="200" w:firstLineChars="200"/>
    </w:pPr>
  </w:style>
  <w:style w:type="paragraph" w:customStyle="1" w:styleId="202">
    <w:name w:val="p16"/>
    <w:basedOn w:val="1"/>
    <w:uiPriority w:val="0"/>
    <w:pPr>
      <w:widowControl/>
      <w:ind w:firstLine="555"/>
    </w:pPr>
    <w:rPr>
      <w:kern w:val="0"/>
      <w:sz w:val="28"/>
      <w:szCs w:val="28"/>
    </w:rPr>
  </w:style>
  <w:style w:type="paragraph" w:customStyle="1" w:styleId="203">
    <w:name w:val="xl89"/>
    <w:basedOn w:val="1"/>
    <w:uiPriority w:val="0"/>
    <w:pPr>
      <w:widowControl/>
      <w:spacing w:before="100" w:beforeAutospacing="1" w:after="100" w:afterAutospacing="1"/>
      <w:jc w:val="center"/>
    </w:pPr>
    <w:rPr>
      <w:rFonts w:ascii="Arial" w:hAnsi="Arial" w:cs="Arial"/>
      <w:kern w:val="0"/>
      <w:sz w:val="24"/>
    </w:rPr>
  </w:style>
  <w:style w:type="paragraph" w:customStyle="1" w:styleId="204">
    <w:name w:val="样式 标题 2电脑标志 + 首行缩进:  2 字符1"/>
    <w:basedOn w:val="4"/>
    <w:uiPriority w:val="0"/>
    <w:pPr>
      <w:keepNext w:val="0"/>
      <w:numPr>
        <w:ilvl w:val="0"/>
        <w:numId w:val="0"/>
      </w:numPr>
      <w:jc w:val="both"/>
    </w:pPr>
    <w:rPr>
      <w:rFonts w:ascii="黑体" w:hAnsi="Arial" w:eastAsia="黑体" w:cs="宋体"/>
      <w:b w:val="0"/>
      <w:bCs w:val="0"/>
      <w:sz w:val="28"/>
      <w:szCs w:val="20"/>
    </w:rPr>
  </w:style>
  <w:style w:type="paragraph" w:customStyle="1" w:styleId="205">
    <w:name w:val="1"/>
    <w:basedOn w:val="1"/>
    <w:next w:val="36"/>
    <w:uiPriority w:val="0"/>
    <w:pPr>
      <w:tabs>
        <w:tab w:val="left" w:pos="180"/>
      </w:tabs>
      <w:ind w:left="-2" w:leftChars="-1" w:right="-154" w:firstLine="560" w:firstLineChars="200"/>
    </w:pPr>
    <w:rPr>
      <w:sz w:val="28"/>
      <w:szCs w:val="20"/>
    </w:rPr>
  </w:style>
  <w:style w:type="paragraph" w:customStyle="1" w:styleId="206">
    <w:name w:val="表格式"/>
    <w:basedOn w:val="59"/>
    <w:uiPriority w:val="0"/>
    <w:pPr>
      <w:spacing w:before="156" w:beforeLines="50" w:after="156" w:afterLines="50" w:line="200" w:lineRule="exact"/>
      <w:ind w:left="0" w:firstLine="0" w:firstLineChars="0"/>
      <w:jc w:val="center"/>
    </w:pPr>
    <w:rPr>
      <w:szCs w:val="20"/>
    </w:rPr>
  </w:style>
  <w:style w:type="paragraph" w:customStyle="1" w:styleId="207">
    <w:name w:val="Char Char Char Char Char2 Char Char Char Char1"/>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208">
    <w:name w:val="0002"/>
    <w:basedOn w:val="4"/>
    <w:qFormat/>
    <w:uiPriority w:val="0"/>
    <w:pPr>
      <w:keepNext w:val="0"/>
      <w:numPr>
        <w:ilvl w:val="0"/>
        <w:numId w:val="0"/>
      </w:numPr>
      <w:spacing w:before="260" w:beforeLines="100" w:line="360" w:lineRule="auto"/>
      <w:jc w:val="left"/>
    </w:pPr>
    <w:rPr>
      <w:rFonts w:ascii="宋体" w:hAnsi="Arial"/>
      <w:kern w:val="0"/>
      <w:sz w:val="32"/>
      <w:szCs w:val="32"/>
    </w:rPr>
  </w:style>
  <w:style w:type="paragraph" w:customStyle="1" w:styleId="209">
    <w:name w:val="征文"/>
    <w:basedOn w:val="1"/>
    <w:uiPriority w:val="0"/>
    <w:pPr>
      <w:spacing w:line="400" w:lineRule="exact"/>
      <w:ind w:firstLine="480"/>
    </w:pPr>
    <w:rPr>
      <w:rFonts w:cs="宋体"/>
      <w:sz w:val="24"/>
      <w:szCs w:val="20"/>
    </w:rPr>
  </w:style>
  <w:style w:type="paragraph" w:customStyle="1" w:styleId="210">
    <w:name w:val="xl44"/>
    <w:basedOn w:val="1"/>
    <w:uiPriority w:val="0"/>
    <w:pPr>
      <w:widowControl/>
      <w:shd w:val="clear" w:color="auto" w:fill="C0C0C0"/>
      <w:spacing w:before="100" w:beforeAutospacing="1" w:after="100" w:afterAutospacing="1"/>
      <w:jc w:val="left"/>
    </w:pPr>
    <w:rPr>
      <w:rFonts w:ascii="宋体" w:hAnsi="宋体" w:cs="宋体"/>
      <w:kern w:val="0"/>
      <w:sz w:val="24"/>
    </w:rPr>
  </w:style>
  <w:style w:type="paragraph" w:customStyle="1" w:styleId="211">
    <w:name w:val="样式 正文 + 宋体 五号 首行缩进:  2 字符"/>
    <w:basedOn w:val="1"/>
    <w:uiPriority w:val="0"/>
    <w:pPr>
      <w:ind w:firstLine="200" w:firstLineChars="200"/>
      <w:jc w:val="center"/>
    </w:pPr>
    <w:rPr>
      <w:rFonts w:ascii="宋体" w:hAnsi="宋体" w:cs="宋体"/>
      <w:kern w:val="0"/>
      <w:sz w:val="18"/>
      <w:szCs w:val="20"/>
    </w:rPr>
  </w:style>
  <w:style w:type="paragraph" w:customStyle="1" w:styleId="212">
    <w:name w:val="标题1q"/>
    <w:basedOn w:val="1"/>
    <w:next w:val="1"/>
    <w:uiPriority w:val="0"/>
    <w:pPr>
      <w:spacing w:line="360" w:lineRule="auto"/>
      <w:ind w:left="431" w:firstLine="200" w:firstLineChars="200"/>
      <w:jc w:val="center"/>
    </w:pPr>
    <w:rPr>
      <w:szCs w:val="20"/>
    </w:rPr>
  </w:style>
  <w:style w:type="paragraph" w:customStyle="1" w:styleId="213">
    <w:name w:val="表格内容-巴"/>
    <w:qFormat/>
    <w:uiPriority w:val="0"/>
    <w:pPr>
      <w:adjustRightInd w:val="0"/>
      <w:snapToGrid w:val="0"/>
      <w:spacing w:line="0" w:lineRule="atLeast"/>
      <w:jc w:val="center"/>
    </w:pPr>
    <w:rPr>
      <w:rFonts w:cs="黑体"/>
      <w:color w:val="000000"/>
      <w:kern w:val="2"/>
      <w:sz w:val="21"/>
      <w:szCs w:val="22"/>
      <w:lang w:val="en-US" w:eastAsia="zh-CN" w:bidi="ar-SA"/>
    </w:rPr>
  </w:style>
  <w:style w:type="paragraph" w:customStyle="1" w:styleId="214">
    <w:name w:val="正文排版"/>
    <w:basedOn w:val="1"/>
    <w:uiPriority w:val="0"/>
    <w:pPr>
      <w:spacing w:line="500" w:lineRule="exact"/>
      <w:ind w:firstLine="560" w:firstLineChars="200"/>
    </w:pPr>
    <w:rPr>
      <w:rFonts w:ascii="宋体" w:hAnsi="宋体"/>
      <w:color w:val="000000"/>
      <w:sz w:val="28"/>
      <w:szCs w:val="28"/>
    </w:rPr>
  </w:style>
  <w:style w:type="paragraph" w:customStyle="1" w:styleId="215">
    <w:name w:val="样式 样式 样式 样式 首行缩进:  0.99 厘米 行距: 固定值 26 磅 + 首行缩进:  2 字符1 + 首行缩进:  ..."/>
    <w:basedOn w:val="216"/>
    <w:uiPriority w:val="0"/>
  </w:style>
  <w:style w:type="paragraph" w:customStyle="1" w:styleId="216">
    <w:name w:val="样式 样式 样式 首行缩进:  0.99 厘米 行距: 固定值 26 磅 + 首行缩进:  2 字符1 + 首行缩进:  2 字符"/>
    <w:basedOn w:val="1"/>
    <w:uiPriority w:val="0"/>
    <w:pPr>
      <w:widowControl/>
      <w:spacing w:line="560" w:lineRule="exact"/>
      <w:ind w:firstLine="560" w:firstLineChars="200"/>
    </w:pPr>
    <w:rPr>
      <w:rFonts w:eastAsia="仿宋_GB2312" w:cs="宋体"/>
      <w:kern w:val="0"/>
      <w:sz w:val="28"/>
      <w:szCs w:val="20"/>
    </w:rPr>
  </w:style>
  <w:style w:type="paragraph" w:customStyle="1" w:styleId="217">
    <w:name w:val="Char Char Char Char"/>
    <w:basedOn w:val="1"/>
    <w:uiPriority w:val="0"/>
  </w:style>
  <w:style w:type="paragraph" w:customStyle="1" w:styleId="218">
    <w:name w:val="样式 标题 1 + 宋体 四号 居中"/>
    <w:basedOn w:val="3"/>
    <w:uiPriority w:val="0"/>
    <w:pPr>
      <w:keepLines/>
      <w:numPr>
        <w:ilvl w:val="0"/>
        <w:numId w:val="0"/>
      </w:numPr>
      <w:spacing w:line="600" w:lineRule="exact"/>
      <w:jc w:val="center"/>
    </w:pPr>
    <w:rPr>
      <w:rFonts w:eastAsia="宋体"/>
      <w:b/>
      <w:color w:val="FF0000"/>
      <w:kern w:val="44"/>
      <w:sz w:val="32"/>
      <w:szCs w:val="28"/>
    </w:rPr>
  </w:style>
  <w:style w:type="paragraph" w:customStyle="1" w:styleId="219">
    <w:name w:val="蒲标题2"/>
    <w:basedOn w:val="4"/>
    <w:uiPriority w:val="0"/>
    <w:pPr>
      <w:keepLines/>
      <w:numPr>
        <w:ilvl w:val="0"/>
        <w:numId w:val="0"/>
      </w:numPr>
      <w:autoSpaceDE w:val="0"/>
      <w:autoSpaceDN w:val="0"/>
      <w:adjustRightInd w:val="0"/>
      <w:snapToGrid w:val="0"/>
      <w:spacing w:line="360" w:lineRule="auto"/>
      <w:jc w:val="both"/>
      <w:outlineLvl w:val="0"/>
    </w:pPr>
    <w:rPr>
      <w:color w:val="000000"/>
      <w:kern w:val="0"/>
      <w:sz w:val="24"/>
    </w:rPr>
  </w:style>
  <w:style w:type="paragraph" w:customStyle="1" w:styleId="220">
    <w:name w:val="样式 样式 标题 2 + 首行缩进:  2 字符 + 首行缩进:  2 字符"/>
    <w:basedOn w:val="155"/>
    <w:uiPriority w:val="0"/>
    <w:pPr>
      <w:tabs>
        <w:tab w:val="clear" w:pos="360"/>
      </w:tabs>
      <w:spacing w:before="0" w:after="0" w:line="560" w:lineRule="exact"/>
      <w:ind w:left="0" w:firstLine="200"/>
      <w:jc w:val="both"/>
    </w:pPr>
    <w:rPr>
      <w:rFonts w:ascii="楷体_GB2312"/>
      <w:sz w:val="28"/>
    </w:rPr>
  </w:style>
  <w:style w:type="paragraph" w:customStyle="1" w:styleId="221">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222">
    <w:name w:val="xl83"/>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23">
    <w:name w:val=" Char Char Char Char Char Char Char Char Char Char"/>
    <w:basedOn w:val="1"/>
    <w:uiPriority w:val="0"/>
    <w:pPr>
      <w:widowControl/>
      <w:spacing w:after="160" w:line="240" w:lineRule="exact"/>
      <w:jc w:val="left"/>
    </w:pPr>
    <w:rPr>
      <w:szCs w:val="20"/>
    </w:rPr>
  </w:style>
  <w:style w:type="paragraph" w:customStyle="1" w:styleId="224">
    <w:name w:val="xl62"/>
    <w:basedOn w:val="1"/>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225">
    <w:name w:val="正文缩进 Char Char"/>
    <w:basedOn w:val="1"/>
    <w:next w:val="19"/>
    <w:uiPriority w:val="0"/>
    <w:pPr>
      <w:adjustRightInd w:val="0"/>
      <w:spacing w:after="120" w:line="336" w:lineRule="auto"/>
      <w:ind w:firstLine="480" w:firstLineChars="200"/>
      <w:textAlignment w:val="baseline"/>
    </w:pPr>
    <w:rPr>
      <w:rFonts w:eastAsia="华康简宋"/>
      <w:sz w:val="24"/>
      <w:szCs w:val="20"/>
    </w:rPr>
  </w:style>
  <w:style w:type="paragraph" w:customStyle="1" w:styleId="226">
    <w:name w:val="xl33"/>
    <w:basedOn w:val="1"/>
    <w:uiPriority w:val="0"/>
    <w:pPr>
      <w:widowControl/>
      <w:spacing w:before="100" w:beforeAutospacing="1" w:after="100" w:afterAutospacing="1"/>
      <w:jc w:val="center"/>
    </w:pPr>
    <w:rPr>
      <w:rFonts w:hint="eastAsia" w:ascii="黑体" w:hAnsi="Arial Unicode MS" w:eastAsia="黑体"/>
      <w:kern w:val="0"/>
      <w:sz w:val="24"/>
    </w:rPr>
  </w:style>
  <w:style w:type="paragraph" w:customStyle="1" w:styleId="227">
    <w:name w:val="xl31"/>
    <w:basedOn w:val="1"/>
    <w:uiPriority w:val="0"/>
    <w:pPr>
      <w:widowControl/>
      <w:spacing w:before="100" w:beforeAutospacing="1" w:after="100" w:afterAutospacing="1"/>
      <w:jc w:val="left"/>
      <w:textAlignment w:val="center"/>
    </w:pPr>
    <w:rPr>
      <w:kern w:val="0"/>
      <w:sz w:val="28"/>
      <w:szCs w:val="28"/>
    </w:rPr>
  </w:style>
  <w:style w:type="paragraph" w:customStyle="1" w:styleId="228">
    <w:name w:val="1.1.1.1"/>
    <w:basedOn w:val="1"/>
    <w:link w:val="578"/>
    <w:uiPriority w:val="0"/>
    <w:pPr>
      <w:adjustRightInd w:val="0"/>
      <w:snapToGrid w:val="0"/>
      <w:spacing w:before="40" w:after="40" w:line="288" w:lineRule="auto"/>
      <w:jc w:val="left"/>
      <w:textAlignment w:val="baseline"/>
    </w:pPr>
    <w:rPr>
      <w:rFonts w:ascii="黑体" w:hAnsi="华文仿宋" w:eastAsia="黑体"/>
      <w:spacing w:val="4"/>
      <w:kern w:val="0"/>
      <w:sz w:val="28"/>
      <w:szCs w:val="20"/>
    </w:rPr>
  </w:style>
  <w:style w:type="paragraph" w:customStyle="1" w:styleId="229">
    <w:name w:val="蒲标题3"/>
    <w:basedOn w:val="5"/>
    <w:link w:val="634"/>
    <w:uiPriority w:val="0"/>
    <w:pPr>
      <w:autoSpaceDE w:val="0"/>
      <w:autoSpaceDN w:val="0"/>
      <w:adjustRightInd w:val="0"/>
      <w:snapToGrid w:val="0"/>
      <w:spacing w:before="0" w:after="0" w:line="360" w:lineRule="auto"/>
      <w:outlineLvl w:val="0"/>
    </w:pPr>
    <w:rPr>
      <w:color w:val="000000"/>
      <w:sz w:val="24"/>
      <w:szCs w:val="24"/>
    </w:rPr>
  </w:style>
  <w:style w:type="paragraph" w:customStyle="1" w:styleId="230">
    <w:name w:val="设计著录宋2"/>
    <w:basedOn w:val="231"/>
    <w:next w:val="1"/>
    <w:uiPriority w:val="0"/>
    <w:pPr>
      <w:tabs>
        <w:tab w:val="left" w:pos="210"/>
      </w:tabs>
      <w:adjustRightInd w:val="0"/>
      <w:ind w:firstLine="300" w:firstLineChars="300"/>
      <w:jc w:val="both"/>
    </w:pPr>
    <w:rPr>
      <w:rFonts w:ascii="Times New Roman" w:hAnsi="Times New Roman" w:eastAsia="华文中宋"/>
      <w:kern w:val="4"/>
    </w:rPr>
  </w:style>
  <w:style w:type="paragraph" w:customStyle="1" w:styleId="231">
    <w:name w:val="设计封面日期中宋2"/>
    <w:basedOn w:val="1"/>
    <w:next w:val="1"/>
    <w:uiPriority w:val="0"/>
    <w:pPr>
      <w:tabs>
        <w:tab w:val="left" w:pos="210"/>
      </w:tabs>
      <w:snapToGrid w:val="0"/>
      <w:spacing w:line="360" w:lineRule="auto"/>
      <w:jc w:val="center"/>
    </w:pPr>
    <w:rPr>
      <w:rFonts w:ascii="宋体" w:hAnsi="宋体"/>
      <w:b/>
      <w:bCs/>
      <w:spacing w:val="60"/>
      <w:sz w:val="44"/>
      <w:szCs w:val="28"/>
    </w:rPr>
  </w:style>
  <w:style w:type="paragraph" w:customStyle="1" w:styleId="232">
    <w:name w:val="正文1"/>
    <w:uiPriority w:val="0"/>
    <w:pPr>
      <w:widowControl w:val="0"/>
      <w:adjustRightInd w:val="0"/>
      <w:spacing w:line="315" w:lineRule="atLeast"/>
      <w:jc w:val="both"/>
      <w:textAlignment w:val="baseline"/>
    </w:pPr>
    <w:rPr>
      <w:rFonts w:ascii="宋体"/>
      <w:sz w:val="21"/>
      <w:lang w:val="en-US" w:eastAsia="zh-CN" w:bidi="ar-SA"/>
    </w:rPr>
  </w:style>
  <w:style w:type="paragraph" w:customStyle="1" w:styleId="233">
    <w:name w:val="样式 宋体 四号 行距: 1.5 倍行距"/>
    <w:basedOn w:val="1"/>
    <w:uiPriority w:val="0"/>
    <w:pPr>
      <w:tabs>
        <w:tab w:val="left" w:pos="840"/>
      </w:tabs>
      <w:snapToGrid w:val="0"/>
      <w:spacing w:line="360" w:lineRule="auto"/>
      <w:ind w:right="-170" w:firstLine="480" w:firstLineChars="200"/>
    </w:pPr>
    <w:rPr>
      <w:rFonts w:ascii="宋体" w:hAnsi="宋体"/>
      <w:sz w:val="24"/>
    </w:rPr>
  </w:style>
  <w:style w:type="paragraph" w:customStyle="1" w:styleId="234">
    <w:name w:val="xl38"/>
    <w:basedOn w:val="1"/>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kern w:val="0"/>
      <w:sz w:val="24"/>
    </w:rPr>
  </w:style>
  <w:style w:type="paragraph" w:customStyle="1" w:styleId="235">
    <w:name w:val="表格1"/>
    <w:basedOn w:val="1"/>
    <w:uiPriority w:val="0"/>
    <w:pPr>
      <w:adjustRightInd w:val="0"/>
      <w:spacing w:line="400" w:lineRule="atLeast"/>
      <w:jc w:val="center"/>
    </w:pPr>
    <w:rPr>
      <w:kern w:val="0"/>
      <w:sz w:val="24"/>
    </w:rPr>
  </w:style>
  <w:style w:type="paragraph" w:customStyle="1" w:styleId="236">
    <w:name w:val="标题 1红4号1"/>
    <w:basedOn w:val="3"/>
    <w:uiPriority w:val="0"/>
    <w:pPr>
      <w:keepLines/>
      <w:numPr>
        <w:ilvl w:val="0"/>
        <w:numId w:val="0"/>
      </w:numPr>
      <w:shd w:val="clear" w:color="auto" w:fill="FFFFFF"/>
      <w:tabs>
        <w:tab w:val="left" w:pos="210"/>
      </w:tabs>
      <w:kinsoku w:val="0"/>
      <w:overflowPunct w:val="0"/>
      <w:autoSpaceDE w:val="0"/>
      <w:autoSpaceDN w:val="0"/>
      <w:ind w:firstLine="200" w:firstLineChars="200"/>
      <w:jc w:val="center"/>
    </w:pPr>
    <w:rPr>
      <w:rFonts w:ascii="宋体" w:hAnsi="宋体" w:eastAsia="宋体"/>
      <w:b/>
      <w:color w:val="FF6600"/>
      <w:kern w:val="44"/>
      <w:szCs w:val="28"/>
    </w:rPr>
  </w:style>
  <w:style w:type="paragraph" w:customStyle="1" w:styleId="237">
    <w:name w:val="xl84"/>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kern w:val="0"/>
      <w:sz w:val="20"/>
      <w:szCs w:val="20"/>
    </w:rPr>
  </w:style>
  <w:style w:type="paragraph" w:customStyle="1" w:styleId="238">
    <w:name w:val="xl53"/>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9">
    <w:name w:val="A-z正文"/>
    <w:basedOn w:val="1"/>
    <w:qFormat/>
    <w:uiPriority w:val="0"/>
    <w:pPr>
      <w:widowControl w:val="0"/>
      <w:spacing w:line="360" w:lineRule="auto"/>
      <w:ind w:firstLine="200"/>
      <w:jc w:val="both"/>
    </w:pPr>
    <w:rPr>
      <w:rFonts w:cs="宋体"/>
      <w:szCs w:val="20"/>
    </w:rPr>
  </w:style>
  <w:style w:type="paragraph" w:customStyle="1" w:styleId="240">
    <w:name w:val="表1"/>
    <w:next w:val="1"/>
    <w:uiPriority w:val="0"/>
    <w:pPr>
      <w:adjustRightInd w:val="0"/>
      <w:snapToGrid w:val="0"/>
      <w:jc w:val="center"/>
    </w:pPr>
    <w:rPr>
      <w:rFonts w:ascii="宋体"/>
      <w:sz w:val="21"/>
      <w:lang w:val="en-US" w:eastAsia="zh-CN" w:bidi="ar-SA"/>
    </w:rPr>
  </w:style>
  <w:style w:type="paragraph" w:customStyle="1" w:styleId="241">
    <w:name w:val="表"/>
    <w:basedOn w:val="1"/>
    <w:link w:val="522"/>
    <w:uiPriority w:val="0"/>
    <w:pPr>
      <w:keepNext/>
      <w:spacing w:line="240" w:lineRule="atLeast"/>
    </w:pPr>
    <w:rPr>
      <w:rFonts w:eastAsia="仿宋_GB2312"/>
      <w:szCs w:val="20"/>
    </w:rPr>
  </w:style>
  <w:style w:type="paragraph" w:customStyle="1" w:styleId="242">
    <w:name w:val="hb4"/>
    <w:basedOn w:val="6"/>
    <w:link w:val="643"/>
    <w:uiPriority w:val="0"/>
    <w:pPr>
      <w:keepNext/>
      <w:keepLines/>
      <w:tabs>
        <w:tab w:val="clear" w:pos="1440"/>
      </w:tabs>
      <w:topLinePunct/>
      <w:snapToGrid/>
      <w:spacing w:before="360" w:after="360"/>
      <w:ind w:left="0" w:firstLine="0"/>
    </w:pPr>
    <w:rPr>
      <w:rFonts w:ascii="宋体" w:hAnsi="宋体"/>
      <w:b/>
      <w:kern w:val="0"/>
      <w:sz w:val="24"/>
    </w:rPr>
  </w:style>
  <w:style w:type="paragraph" w:customStyle="1" w:styleId="243">
    <w:name w:val="xl32"/>
    <w:basedOn w:val="1"/>
    <w:uiPriority w:val="0"/>
    <w:pPr>
      <w:widowControl/>
      <w:spacing w:before="100" w:beforeAutospacing="1" w:after="100" w:afterAutospacing="1"/>
      <w:jc w:val="left"/>
    </w:pPr>
    <w:rPr>
      <w:rFonts w:ascii="宋体" w:hAnsi="宋体" w:cs="宋体"/>
      <w:kern w:val="0"/>
      <w:sz w:val="24"/>
    </w:rPr>
  </w:style>
  <w:style w:type="paragraph" w:customStyle="1" w:styleId="244">
    <w:name w:val="正文01"/>
    <w:basedOn w:val="1"/>
    <w:link w:val="577"/>
    <w:uiPriority w:val="0"/>
    <w:pPr>
      <w:spacing w:before="60" w:line="460" w:lineRule="exact"/>
      <w:ind w:firstLine="200" w:firstLineChars="200"/>
    </w:pPr>
    <w:rPr>
      <w:bCs/>
      <w:sz w:val="24"/>
    </w:rPr>
  </w:style>
  <w:style w:type="paragraph" w:customStyle="1" w:styleId="245">
    <w:name w:val="小标题"/>
    <w:basedOn w:val="1"/>
    <w:uiPriority w:val="0"/>
    <w:pPr>
      <w:spacing w:line="500" w:lineRule="exact"/>
      <w:ind w:firstLine="567"/>
    </w:pPr>
    <w:rPr>
      <w:sz w:val="28"/>
      <w:szCs w:val="28"/>
    </w:rPr>
  </w:style>
  <w:style w:type="paragraph" w:customStyle="1" w:styleId="246">
    <w:name w:val="样式 正文00 + 首行缩进:  2 字符"/>
    <w:basedOn w:val="1"/>
    <w:uiPriority w:val="0"/>
    <w:pPr>
      <w:ind w:firstLine="200" w:firstLineChars="200"/>
      <w:jc w:val="left"/>
    </w:pPr>
    <w:rPr>
      <w:rFonts w:ascii="宋体" w:hAnsi="宋体" w:cs="宋体"/>
      <w:szCs w:val="20"/>
    </w:rPr>
  </w:style>
  <w:style w:type="paragraph" w:customStyle="1" w:styleId="247">
    <w:name w:val="表格文字小四号"/>
    <w:uiPriority w:val="0"/>
    <w:pPr>
      <w:widowControl w:val="0"/>
      <w:spacing w:line="480" w:lineRule="exact"/>
      <w:jc w:val="center"/>
    </w:pPr>
    <w:rPr>
      <w:rFonts w:ascii="宋体"/>
      <w:sz w:val="28"/>
      <w:szCs w:val="24"/>
      <w:lang w:val="en-US" w:eastAsia="zh-CN" w:bidi="ar-SA"/>
    </w:rPr>
  </w:style>
  <w:style w:type="paragraph" w:customStyle="1" w:styleId="248">
    <w:name w:val="正文位子1"/>
    <w:basedOn w:val="31"/>
    <w:uiPriority w:val="0"/>
    <w:pPr>
      <w:wordWrap w:val="0"/>
      <w:topLinePunct/>
      <w:autoSpaceDN w:val="0"/>
      <w:spacing w:after="0"/>
      <w:jc w:val="center"/>
    </w:pPr>
    <w:rPr>
      <w:rFonts w:eastAsia="楷体_GB2312"/>
      <w:w w:val="90"/>
    </w:rPr>
  </w:style>
  <w:style w:type="paragraph" w:customStyle="1" w:styleId="249">
    <w:name w:val="xl61"/>
    <w:basedOn w:val="1"/>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250">
    <w:name w:val="蒲标题1"/>
    <w:basedOn w:val="3"/>
    <w:uiPriority w:val="0"/>
    <w:pPr>
      <w:keepLines/>
      <w:numPr>
        <w:ilvl w:val="0"/>
        <w:numId w:val="0"/>
      </w:numPr>
      <w:spacing w:before="100" w:after="100" w:line="360" w:lineRule="auto"/>
    </w:pPr>
    <w:rPr>
      <w:rFonts w:eastAsia="宋体"/>
      <w:b/>
      <w:bCs/>
      <w:sz w:val="32"/>
      <w:szCs w:val="32"/>
    </w:rPr>
  </w:style>
  <w:style w:type="paragraph" w:customStyle="1" w:styleId="251">
    <w:name w:val="样式 加粗 左侧:  0.32 厘米"/>
    <w:basedOn w:val="1"/>
    <w:uiPriority w:val="0"/>
    <w:pPr>
      <w:spacing w:line="500" w:lineRule="exact"/>
      <w:ind w:left="180"/>
    </w:pPr>
    <w:rPr>
      <w:rFonts w:cs="宋体"/>
      <w:b/>
      <w:bCs/>
      <w:sz w:val="28"/>
      <w:szCs w:val="20"/>
    </w:rPr>
  </w:style>
  <w:style w:type="paragraph" w:customStyle="1" w:styleId="252">
    <w:name w:val="font11"/>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253">
    <w:name w:val="font5"/>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54">
    <w:name w:val="表格正文"/>
    <w:basedOn w:val="1"/>
    <w:uiPriority w:val="0"/>
    <w:pPr>
      <w:spacing w:line="360" w:lineRule="exact"/>
      <w:jc w:val="center"/>
    </w:pPr>
  </w:style>
  <w:style w:type="paragraph" w:customStyle="1" w:styleId="255">
    <w:name w:val="font13"/>
    <w:basedOn w:val="1"/>
    <w:semiHidden/>
    <w:uiPriority w:val="0"/>
    <w:pPr>
      <w:widowControl/>
      <w:spacing w:before="100" w:beforeAutospacing="1" w:after="100" w:afterAutospacing="1"/>
      <w:jc w:val="left"/>
    </w:pPr>
    <w:rPr>
      <w:kern w:val="0"/>
      <w:sz w:val="24"/>
    </w:rPr>
  </w:style>
  <w:style w:type="paragraph" w:customStyle="1" w:styleId="256">
    <w:name w:val="蒲表头"/>
    <w:basedOn w:val="1"/>
    <w:uiPriority w:val="0"/>
    <w:pPr>
      <w:adjustRightInd w:val="0"/>
      <w:snapToGrid w:val="0"/>
      <w:jc w:val="center"/>
    </w:pPr>
    <w:rPr>
      <w:color w:val="0000FF"/>
      <w:szCs w:val="21"/>
    </w:rPr>
  </w:style>
  <w:style w:type="paragraph" w:customStyle="1" w:styleId="257">
    <w:name w:val="Char11"/>
    <w:basedOn w:val="1"/>
    <w:uiPriority w:val="0"/>
  </w:style>
  <w:style w:type="paragraph" w:customStyle="1" w:styleId="258">
    <w:name w:val="图名"/>
    <w:link w:val="613"/>
    <w:uiPriority w:val="0"/>
    <w:pPr>
      <w:jc w:val="center"/>
    </w:pPr>
    <w:rPr>
      <w:rFonts w:eastAsia="黑体"/>
      <w:kern w:val="2"/>
      <w:sz w:val="24"/>
      <w:szCs w:val="48"/>
      <w:lang w:val="en-US" w:eastAsia="zh-CN" w:bidi="ar-SA"/>
    </w:rPr>
  </w:style>
  <w:style w:type="paragraph" w:customStyle="1" w:styleId="259">
    <w:name w:val="2设计单位"/>
    <w:basedOn w:val="1"/>
    <w:uiPriority w:val="0"/>
    <w:pPr>
      <w:spacing w:line="360" w:lineRule="auto"/>
      <w:jc w:val="center"/>
    </w:pPr>
    <w:rPr>
      <w:b/>
      <w:sz w:val="30"/>
    </w:rPr>
  </w:style>
  <w:style w:type="paragraph" w:customStyle="1" w:styleId="260">
    <w:name w:val="表格文字1"/>
    <w:basedOn w:val="1"/>
    <w:next w:val="1"/>
    <w:uiPriority w:val="0"/>
    <w:pPr>
      <w:ind w:firstLine="200" w:firstLineChars="200"/>
    </w:pPr>
    <w:rPr>
      <w:rFonts w:ascii="仿宋_GB2312" w:eastAsia="仿宋_GB2312"/>
      <w:sz w:val="24"/>
    </w:rPr>
  </w:style>
  <w:style w:type="paragraph" w:customStyle="1" w:styleId="261">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FF0000"/>
      <w:kern w:val="0"/>
      <w:sz w:val="20"/>
      <w:szCs w:val="20"/>
    </w:rPr>
  </w:style>
  <w:style w:type="paragraph" w:customStyle="1" w:styleId="262">
    <w:name w:val="正文样式暗暗"/>
    <w:basedOn w:val="1"/>
    <w:link w:val="687"/>
    <w:uiPriority w:val="0"/>
    <w:pPr>
      <w:widowControl/>
      <w:spacing w:line="360" w:lineRule="auto"/>
      <w:ind w:firstLine="420" w:firstLineChars="175"/>
    </w:pPr>
    <w:rPr>
      <w:rFonts w:ascii="宋体" w:hAnsi="宋体" w:cs="宋体"/>
      <w:sz w:val="24"/>
      <w:szCs w:val="20"/>
    </w:rPr>
  </w:style>
  <w:style w:type="paragraph" w:customStyle="1" w:styleId="263">
    <w:name w:val="样式 左侧:  0 厘米 首行缩进:  0.85 厘米"/>
    <w:basedOn w:val="1"/>
    <w:uiPriority w:val="0"/>
    <w:pPr>
      <w:ind w:firstLine="480" w:firstLineChars="200"/>
    </w:pPr>
    <w:rPr>
      <w:rFonts w:eastAsia="仿宋_GB2312"/>
      <w:sz w:val="24"/>
      <w:szCs w:val="20"/>
    </w:rPr>
  </w:style>
  <w:style w:type="paragraph" w:customStyle="1" w:styleId="264">
    <w:name w:val="样式 样式 标题 2 + 首行缩进:  2 字符 + 段前: 0 磅 段后: 0 磅"/>
    <w:basedOn w:val="155"/>
    <w:uiPriority w:val="0"/>
    <w:pPr>
      <w:tabs>
        <w:tab w:val="clear" w:pos="360"/>
      </w:tabs>
      <w:spacing w:before="0" w:after="0"/>
      <w:ind w:left="0" w:firstLine="562"/>
    </w:pPr>
    <w:rPr>
      <w:sz w:val="28"/>
    </w:rPr>
  </w:style>
  <w:style w:type="paragraph" w:customStyle="1" w:styleId="265">
    <w:name w:val="扉页落款"/>
    <w:basedOn w:val="1"/>
    <w:uiPriority w:val="0"/>
    <w:pPr>
      <w:spacing w:line="640" w:lineRule="exact"/>
      <w:jc w:val="center"/>
    </w:pPr>
    <w:rPr>
      <w:spacing w:val="20"/>
      <w:sz w:val="32"/>
    </w:rPr>
  </w:style>
  <w:style w:type="paragraph" w:customStyle="1" w:styleId="266">
    <w:name w:val="Char Char Char"/>
    <w:basedOn w:val="1"/>
    <w:uiPriority w:val="0"/>
    <w:rPr>
      <w:sz w:val="24"/>
    </w:rPr>
  </w:style>
  <w:style w:type="paragraph" w:customStyle="1" w:styleId="267">
    <w:name w:val=" Char2 Char Char Char"/>
    <w:basedOn w:val="1"/>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rPr>
  </w:style>
  <w:style w:type="paragraph" w:customStyle="1" w:styleId="268">
    <w:name w:val="xl65"/>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269">
    <w:name w:val="样式 表格 + 居中"/>
    <w:basedOn w:val="1"/>
    <w:uiPriority w:val="0"/>
    <w:pPr>
      <w:kinsoku w:val="0"/>
      <w:overflowPunct w:val="0"/>
      <w:adjustRightInd w:val="0"/>
      <w:snapToGrid w:val="0"/>
      <w:ind w:firstLine="200" w:firstLineChars="200"/>
      <w:jc w:val="center"/>
    </w:pPr>
    <w:rPr>
      <w:kern w:val="0"/>
      <w:sz w:val="24"/>
      <w:szCs w:val="28"/>
    </w:rPr>
  </w:style>
  <w:style w:type="paragraph" w:styleId="270">
    <w:name w:val=""/>
    <w:semiHidden/>
    <w:uiPriority w:val="0"/>
    <w:rPr>
      <w:kern w:val="2"/>
      <w:sz w:val="21"/>
      <w:szCs w:val="24"/>
      <w:lang w:val="en-US" w:eastAsia="zh-CN" w:bidi="ar-SA"/>
    </w:rPr>
  </w:style>
  <w:style w:type="paragraph" w:customStyle="1" w:styleId="271">
    <w:name w:val="CM23"/>
    <w:basedOn w:val="2"/>
    <w:next w:val="2"/>
    <w:uiPriority w:val="0"/>
    <w:pPr>
      <w:spacing w:line="480" w:lineRule="atLeast"/>
    </w:pPr>
    <w:rPr>
      <w:rFonts w:ascii="黑体" w:eastAsia="黑体" w:cs="Times New Roman"/>
      <w:color w:val="auto"/>
    </w:rPr>
  </w:style>
  <w:style w:type="paragraph" w:customStyle="1" w:styleId="272">
    <w:name w:val="font1"/>
    <w:basedOn w:val="1"/>
    <w:semiHidden/>
    <w:uiPriority w:val="0"/>
    <w:pPr>
      <w:widowControl/>
      <w:spacing w:before="100" w:beforeAutospacing="1" w:after="100" w:afterAutospacing="1"/>
      <w:jc w:val="left"/>
    </w:pPr>
    <w:rPr>
      <w:rFonts w:ascii="宋体" w:hAnsi="宋体"/>
      <w:kern w:val="0"/>
      <w:sz w:val="24"/>
    </w:rPr>
  </w:style>
  <w:style w:type="paragraph" w:customStyle="1" w:styleId="273">
    <w:name w:val="WPSOffice手动目录 1"/>
    <w:uiPriority w:val="0"/>
    <w:rPr>
      <w:lang w:val="en-US" w:eastAsia="zh-CN" w:bidi="ar-SA"/>
    </w:rPr>
  </w:style>
  <w:style w:type="paragraph" w:customStyle="1" w:styleId="274">
    <w:name w:val="附件名"/>
    <w:uiPriority w:val="0"/>
    <w:pPr>
      <w:jc w:val="center"/>
    </w:pPr>
    <w:rPr>
      <w:rFonts w:eastAsia="黑体"/>
      <w:sz w:val="36"/>
      <w:lang w:val="en-US" w:eastAsia="zh-CN" w:bidi="ar-SA"/>
    </w:rPr>
  </w:style>
  <w:style w:type="paragraph" w:customStyle="1" w:styleId="275">
    <w:name w:val="正文文本最新 Char Char Char Char1 Char"/>
    <w:basedOn w:val="1"/>
    <w:link w:val="620"/>
    <w:uiPriority w:val="0"/>
    <w:pPr>
      <w:spacing w:line="360" w:lineRule="auto"/>
      <w:ind w:firstLine="200" w:firstLineChars="200"/>
    </w:pPr>
    <w:rPr>
      <w:bCs/>
      <w:sz w:val="28"/>
    </w:rPr>
  </w:style>
  <w:style w:type="paragraph" w:customStyle="1" w:styleId="276">
    <w:name w:val="Plain Text"/>
    <w:basedOn w:val="1"/>
    <w:uiPriority w:val="0"/>
    <w:pPr>
      <w:adjustRightInd w:val="0"/>
    </w:pPr>
    <w:rPr>
      <w:rFonts w:ascii="宋体" w:hAnsi="Courier New"/>
      <w:sz w:val="28"/>
      <w:szCs w:val="20"/>
    </w:rPr>
  </w:style>
  <w:style w:type="paragraph" w:customStyle="1" w:styleId="277">
    <w:name w:val="表文"/>
    <w:basedOn w:val="1"/>
    <w:link w:val="706"/>
    <w:semiHidden/>
    <w:uiPriority w:val="0"/>
    <w:pPr>
      <w:adjustRightInd w:val="0"/>
      <w:snapToGrid w:val="0"/>
      <w:spacing w:beforeLines="30" w:afterLines="10"/>
      <w:jc w:val="center"/>
      <w:textAlignment w:val="baseline"/>
    </w:pPr>
    <w:rPr>
      <w:snapToGrid w:val="0"/>
      <w:kern w:val="0"/>
      <w:sz w:val="18"/>
      <w:szCs w:val="18"/>
    </w:rPr>
  </w:style>
  <w:style w:type="paragraph" w:customStyle="1" w:styleId="278">
    <w:name w:val="样式 表后正文 + 段前: 0.5 行 行距: 1.5 倍行距"/>
    <w:basedOn w:val="1"/>
    <w:link w:val="691"/>
    <w:uiPriority w:val="0"/>
    <w:pPr>
      <w:widowControl/>
      <w:spacing w:beforeLines="50" w:line="360" w:lineRule="auto"/>
      <w:ind w:firstLine="493"/>
      <w:jc w:val="left"/>
    </w:pPr>
    <w:rPr>
      <w:rFonts w:cs="宋体"/>
      <w:sz w:val="24"/>
      <w:szCs w:val="20"/>
    </w:rPr>
  </w:style>
  <w:style w:type="paragraph" w:customStyle="1" w:styleId="279">
    <w:name w:val="表格文字"/>
    <w:basedOn w:val="1"/>
    <w:uiPriority w:val="0"/>
    <w:pPr>
      <w:adjustRightInd w:val="0"/>
      <w:snapToGrid w:val="0"/>
      <w:jc w:val="center"/>
    </w:pPr>
    <w:rPr>
      <w:rFonts w:ascii="宋体"/>
      <w:sz w:val="24"/>
      <w:szCs w:val="20"/>
    </w:rPr>
  </w:style>
  <w:style w:type="paragraph" w:customStyle="1" w:styleId="280">
    <w:name w:val="样式 标题 2 + 宋体 小二 首行缩进:  2 字符"/>
    <w:basedOn w:val="4"/>
    <w:link w:val="662"/>
    <w:uiPriority w:val="0"/>
    <w:pPr>
      <w:keepLines/>
      <w:numPr>
        <w:ilvl w:val="0"/>
        <w:numId w:val="0"/>
      </w:numPr>
      <w:spacing w:before="260" w:beforeLines="50" w:after="260" w:afterLines="50"/>
      <w:jc w:val="both"/>
    </w:pPr>
    <w:rPr>
      <w:rFonts w:ascii="宋体" w:hAnsi="宋体" w:cs="宋体"/>
      <w:sz w:val="32"/>
      <w:szCs w:val="20"/>
    </w:rPr>
  </w:style>
  <w:style w:type="paragraph" w:customStyle="1" w:styleId="281">
    <w:name w:val="Char Char Char1 Char"/>
    <w:basedOn w:val="1"/>
    <w:uiPriority w:val="0"/>
    <w:rPr>
      <w:rFonts w:ascii="宋体" w:hAnsi="Tahoma" w:cs="Tahoma"/>
      <w:sz w:val="20"/>
      <w:szCs w:val="21"/>
    </w:rPr>
  </w:style>
  <w:style w:type="paragraph" w:customStyle="1" w:styleId="282">
    <w:name w:val="0007小四 居中"/>
    <w:basedOn w:val="108"/>
    <w:uiPriority w:val="0"/>
    <w:pPr>
      <w:jc w:val="center"/>
    </w:pPr>
    <w:rPr>
      <w:sz w:val="24"/>
      <w:szCs w:val="24"/>
    </w:rPr>
  </w:style>
  <w:style w:type="paragraph" w:customStyle="1" w:styleId="283">
    <w:name w:val="表、图名"/>
    <w:basedOn w:val="1"/>
    <w:uiPriority w:val="0"/>
    <w:pPr>
      <w:adjustRightInd w:val="0"/>
      <w:snapToGrid w:val="0"/>
      <w:jc w:val="center"/>
    </w:pPr>
    <w:rPr>
      <w:rFonts w:eastAsia="黑体"/>
      <w:b/>
      <w:spacing w:val="-3"/>
      <w:szCs w:val="20"/>
    </w:rPr>
  </w:style>
  <w:style w:type="paragraph" w:customStyle="1" w:styleId="284">
    <w:name w:val="Char2 Char Char Char"/>
    <w:basedOn w:val="1"/>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rPr>
  </w:style>
  <w:style w:type="paragraph" w:customStyle="1" w:styleId="285">
    <w:name w:val="正文 小四 行距: 1.5 倍行距"/>
    <w:basedOn w:val="1"/>
    <w:qFormat/>
    <w:uiPriority w:val="0"/>
    <w:pPr>
      <w:spacing w:line="360" w:lineRule="auto"/>
      <w:ind w:firstLine="480" w:firstLineChars="200"/>
    </w:pPr>
    <w:rPr>
      <w:sz w:val="24"/>
      <w:szCs w:val="20"/>
    </w:rPr>
  </w:style>
  <w:style w:type="paragraph" w:customStyle="1" w:styleId="286">
    <w:name w:val="样式 标题 1 + 首行缩进:  2 字符"/>
    <w:basedOn w:val="3"/>
    <w:uiPriority w:val="0"/>
    <w:pPr>
      <w:keepLines/>
      <w:numPr>
        <w:ilvl w:val="0"/>
        <w:numId w:val="0"/>
      </w:numPr>
      <w:spacing w:before="120" w:after="120" w:line="360" w:lineRule="auto"/>
    </w:pPr>
    <w:rPr>
      <w:rFonts w:ascii="宋体" w:hAnsi="宋体" w:eastAsia="宋体" w:cs="宋体"/>
      <w:b/>
      <w:bCs/>
      <w:color w:val="FF0000"/>
      <w:kern w:val="44"/>
      <w:sz w:val="36"/>
      <w:szCs w:val="20"/>
    </w:rPr>
  </w:style>
  <w:style w:type="paragraph" w:customStyle="1" w:styleId="287">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88">
    <w:name w:val="样式 0005左缩2 + 首行缩进:  2 字符 段后: 0.3 行"/>
    <w:basedOn w:val="289"/>
    <w:uiPriority w:val="0"/>
    <w:pPr>
      <w:ind w:firstLine="560"/>
    </w:pPr>
    <w:rPr>
      <w:rFonts w:cs="宋体"/>
      <w:szCs w:val="20"/>
    </w:rPr>
  </w:style>
  <w:style w:type="paragraph" w:customStyle="1" w:styleId="289">
    <w:name w:val="0005左缩2"/>
    <w:basedOn w:val="1"/>
    <w:qFormat/>
    <w:uiPriority w:val="0"/>
    <w:pPr>
      <w:widowControl/>
      <w:autoSpaceDE w:val="0"/>
      <w:autoSpaceDN w:val="0"/>
      <w:adjustRightInd w:val="0"/>
      <w:spacing w:afterLines="30" w:line="500" w:lineRule="exact"/>
      <w:ind w:firstLine="200" w:firstLineChars="200"/>
    </w:pPr>
    <w:rPr>
      <w:rFonts w:ascii="宋体" w:hAnsi="宋体"/>
      <w:sz w:val="28"/>
      <w:szCs w:val="28"/>
    </w:rPr>
  </w:style>
  <w:style w:type="paragraph" w:customStyle="1" w:styleId="290">
    <w:name w:val="xl48"/>
    <w:basedOn w:val="1"/>
    <w:uiPriority w:val="0"/>
    <w:pPr>
      <w:widowControl/>
      <w:pBdr>
        <w:bottom w:val="single" w:color="auto" w:sz="4" w:space="0"/>
        <w:right w:val="single" w:color="auto" w:sz="4" w:space="0"/>
      </w:pBdr>
      <w:spacing w:before="100" w:beforeAutospacing="1" w:after="100" w:afterAutospacing="1"/>
      <w:jc w:val="center"/>
    </w:pPr>
    <w:rPr>
      <w:rFonts w:ascii="宋体" w:hAnsi="宋体" w:cs="Tahoma"/>
      <w:kern w:val="0"/>
      <w:sz w:val="20"/>
      <w:szCs w:val="21"/>
    </w:rPr>
  </w:style>
  <w:style w:type="paragraph" w:customStyle="1" w:styleId="291">
    <w:name w:val="Char1 Char Char Char Char Char Char"/>
    <w:basedOn w:val="1"/>
    <w:uiPriority w:val="0"/>
    <w:pPr>
      <w:keepNext/>
      <w:keepLines/>
      <w:spacing w:after="160" w:line="240" w:lineRule="exact"/>
      <w:jc w:val="left"/>
    </w:pPr>
    <w:rPr>
      <w:rFonts w:ascii="宋体" w:hAnsi="宋体"/>
      <w:b/>
      <w:kern w:val="0"/>
      <w:sz w:val="44"/>
      <w:szCs w:val="44"/>
      <w:lang w:eastAsia="en-US"/>
    </w:rPr>
  </w:style>
  <w:style w:type="paragraph" w:customStyle="1" w:styleId="292">
    <w:name w:val="pic-info"/>
    <w:basedOn w:val="1"/>
    <w:uiPriority w:val="0"/>
    <w:pPr>
      <w:widowControl/>
      <w:spacing w:before="100" w:beforeAutospacing="1" w:after="100" w:afterAutospacing="1"/>
      <w:jc w:val="left"/>
    </w:pPr>
    <w:rPr>
      <w:rFonts w:ascii="宋体" w:hAnsi="宋体" w:cs="宋体"/>
      <w:kern w:val="0"/>
      <w:sz w:val="24"/>
    </w:rPr>
  </w:style>
  <w:style w:type="paragraph" w:customStyle="1" w:styleId="293">
    <w:name w:val="样式1"/>
    <w:basedOn w:val="1"/>
    <w:link w:val="666"/>
    <w:uiPriority w:val="0"/>
    <w:pPr>
      <w:spacing w:line="540" w:lineRule="atLeast"/>
    </w:pPr>
    <w:rPr>
      <w:rFonts w:eastAsia="方正黑体简体"/>
      <w:sz w:val="28"/>
      <w:szCs w:val="20"/>
    </w:rPr>
  </w:style>
  <w:style w:type="paragraph" w:customStyle="1" w:styleId="294">
    <w:name w:val="font12"/>
    <w:basedOn w:val="1"/>
    <w:semiHidden/>
    <w:uiPriority w:val="0"/>
    <w:pPr>
      <w:widowControl/>
      <w:spacing w:before="100" w:beforeAutospacing="1" w:after="100" w:afterAutospacing="1"/>
      <w:jc w:val="left"/>
    </w:pPr>
    <w:rPr>
      <w:color w:val="000000"/>
      <w:kern w:val="0"/>
      <w:sz w:val="24"/>
    </w:rPr>
  </w:style>
  <w:style w:type="paragraph" w:customStyle="1" w:styleId="295">
    <w:name w:val="xl25"/>
    <w:basedOn w:val="1"/>
    <w:uiPriority w:val="0"/>
    <w:pPr>
      <w:widowControl/>
      <w:spacing w:before="100" w:beforeAutospacing="1" w:after="100" w:afterAutospacing="1"/>
      <w:jc w:val="left"/>
    </w:pPr>
    <w:rPr>
      <w:rFonts w:ascii="宋体" w:hAnsi="宋体" w:cs="宋体"/>
      <w:kern w:val="0"/>
      <w:sz w:val="24"/>
    </w:rPr>
  </w:style>
  <w:style w:type="paragraph" w:customStyle="1" w:styleId="296">
    <w:name w:val="样式 1正文段落 + 黑色1"/>
    <w:basedOn w:val="1"/>
    <w:link w:val="644"/>
    <w:uiPriority w:val="0"/>
    <w:pPr>
      <w:spacing w:line="540" w:lineRule="exact"/>
      <w:ind w:firstLine="200" w:firstLineChars="200"/>
      <w:jc w:val="left"/>
    </w:pPr>
    <w:rPr>
      <w:rFonts w:ascii="宋体" w:hAnsi="宋体"/>
      <w:snapToGrid w:val="0"/>
      <w:color w:val="000000"/>
      <w:spacing w:val="2"/>
      <w:kern w:val="0"/>
      <w:sz w:val="24"/>
      <w:szCs w:val="21"/>
    </w:rPr>
  </w:style>
  <w:style w:type="paragraph" w:customStyle="1" w:styleId="297">
    <w:name w:val="缩进"/>
    <w:basedOn w:val="1"/>
    <w:uiPriority w:val="0"/>
    <w:pPr>
      <w:autoSpaceDE w:val="0"/>
      <w:autoSpaceDN w:val="0"/>
      <w:adjustRightInd w:val="0"/>
      <w:spacing w:line="400" w:lineRule="atLeast"/>
      <w:ind w:firstLine="200" w:firstLineChars="200"/>
      <w:textAlignment w:val="baseline"/>
    </w:pPr>
    <w:rPr>
      <w:kern w:val="0"/>
      <w:sz w:val="24"/>
      <w:szCs w:val="20"/>
    </w:rPr>
  </w:style>
  <w:style w:type="paragraph" w:customStyle="1" w:styleId="298">
    <w:name w:val="xl58"/>
    <w:basedOn w:val="1"/>
    <w:semiHidden/>
    <w:uiPriority w:val="0"/>
    <w:pPr>
      <w:widowControl/>
      <w:spacing w:before="100" w:beforeAutospacing="1" w:after="100" w:afterAutospacing="1"/>
      <w:jc w:val="center"/>
    </w:pPr>
    <w:rPr>
      <w:rFonts w:ascii="宋体" w:hAnsi="宋体"/>
      <w:kern w:val="0"/>
      <w:sz w:val="32"/>
      <w:szCs w:val="32"/>
    </w:rPr>
  </w:style>
  <w:style w:type="paragraph" w:customStyle="1" w:styleId="299">
    <w:name w:val="标题 2 蓝四号1"/>
    <w:basedOn w:val="4"/>
    <w:next w:val="1"/>
    <w:semiHidden/>
    <w:uiPriority w:val="0"/>
    <w:pPr>
      <w:keepLines/>
      <w:numPr>
        <w:ilvl w:val="0"/>
        <w:numId w:val="0"/>
      </w:numPr>
      <w:shd w:val="clear" w:color="auto" w:fill="FFFFFF"/>
      <w:tabs>
        <w:tab w:val="left" w:pos="210"/>
      </w:tabs>
      <w:kinsoku w:val="0"/>
      <w:overflowPunct w:val="0"/>
      <w:autoSpaceDE w:val="0"/>
      <w:autoSpaceDN w:val="0"/>
      <w:spacing w:before="120" w:after="120" w:line="300" w:lineRule="exact"/>
      <w:jc w:val="both"/>
    </w:pPr>
    <w:rPr>
      <w:rFonts w:ascii="宋体" w:hAnsi="宋体"/>
      <w:bCs w:val="0"/>
      <w:color w:val="0000FF"/>
      <w:sz w:val="24"/>
    </w:rPr>
  </w:style>
  <w:style w:type="paragraph" w:customStyle="1" w:styleId="300">
    <w:name w:val="正文11"/>
    <w:basedOn w:val="1"/>
    <w:next w:val="1"/>
    <w:semiHidden/>
    <w:uiPriority w:val="0"/>
    <w:pPr>
      <w:adjustRightInd w:val="0"/>
      <w:snapToGrid w:val="0"/>
      <w:spacing w:line="360" w:lineRule="auto"/>
      <w:ind w:firstLine="200" w:firstLineChars="200"/>
    </w:pPr>
    <w:rPr>
      <w:rFonts w:ascii="宋体" w:hAnsi="宋体" w:cs="宋体"/>
      <w:sz w:val="24"/>
    </w:rPr>
  </w:style>
  <w:style w:type="paragraph" w:customStyle="1" w:styleId="301">
    <w:name w:val="一级条标题"/>
    <w:basedOn w:val="95"/>
    <w:next w:val="1"/>
    <w:uiPriority w:val="0"/>
    <w:pPr>
      <w:spacing w:before="0" w:after="0" w:line="240" w:lineRule="auto"/>
      <w:ind w:left="525"/>
      <w:jc w:val="both"/>
      <w:textAlignment w:val="auto"/>
      <w:outlineLvl w:val="2"/>
    </w:pPr>
    <w:rPr>
      <w:rFonts w:ascii="黑体"/>
      <w:color w:val="auto"/>
      <w:sz w:val="21"/>
    </w:rPr>
  </w:style>
  <w:style w:type="paragraph" w:customStyle="1" w:styleId="302">
    <w:name w:val="xl64"/>
    <w:basedOn w:val="1"/>
    <w:uiPriority w:val="0"/>
    <w:pPr>
      <w:widowControl/>
      <w:spacing w:before="100" w:beforeAutospacing="1" w:after="100" w:afterAutospacing="1"/>
      <w:jc w:val="center"/>
    </w:pPr>
    <w:rPr>
      <w:rFonts w:ascii="宋体" w:hAnsi="宋体" w:cs="宋体"/>
      <w:kern w:val="0"/>
      <w:sz w:val="24"/>
    </w:rPr>
  </w:style>
  <w:style w:type="paragraph" w:customStyle="1" w:styleId="303">
    <w:name w:val="样式12q"/>
    <w:basedOn w:val="1"/>
    <w:link w:val="714"/>
    <w:uiPriority w:val="0"/>
    <w:pPr>
      <w:spacing w:line="360" w:lineRule="auto"/>
      <w:ind w:firstLine="560" w:firstLineChars="200"/>
    </w:pPr>
    <w:rPr>
      <w:sz w:val="28"/>
      <w:szCs w:val="28"/>
    </w:rPr>
  </w:style>
  <w:style w:type="paragraph" w:customStyle="1" w:styleId="304">
    <w:name w:val="xl46"/>
    <w:basedOn w:val="1"/>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305">
    <w:name w:val="line20"/>
    <w:basedOn w:val="1"/>
    <w:uiPriority w:val="0"/>
    <w:pPr>
      <w:widowControl/>
      <w:spacing w:before="100" w:beforeAutospacing="1" w:after="100" w:afterAutospacing="1" w:line="315" w:lineRule="atLeast"/>
      <w:ind w:firstLine="200" w:firstLineChars="200"/>
      <w:jc w:val="left"/>
    </w:pPr>
    <w:rPr>
      <w:rFonts w:ascii="仿宋_GB2312" w:hAnsi="宋体" w:eastAsia="仿宋_GB2312" w:cs="宋体"/>
      <w:kern w:val="0"/>
      <w:sz w:val="24"/>
    </w:rPr>
  </w:style>
  <w:style w:type="paragraph" w:customStyle="1" w:styleId="306">
    <w:name w:val="正文文字缩进 21"/>
    <w:basedOn w:val="1"/>
    <w:next w:val="28"/>
    <w:uiPriority w:val="0"/>
    <w:pPr>
      <w:spacing w:after="120"/>
    </w:pPr>
    <w:rPr>
      <w:sz w:val="16"/>
      <w:szCs w:val="20"/>
    </w:rPr>
  </w:style>
  <w:style w:type="paragraph" w:customStyle="1" w:styleId="307">
    <w:name w:val="xl60"/>
    <w:basedOn w:val="1"/>
    <w:uiPriority w:val="0"/>
    <w:pPr>
      <w:widowControl/>
      <w:shd w:val="clear" w:color="auto" w:fill="CCFFCC"/>
      <w:spacing w:before="100" w:beforeAutospacing="1" w:after="100" w:afterAutospacing="1"/>
      <w:jc w:val="left"/>
    </w:pPr>
    <w:rPr>
      <w:rFonts w:ascii="宋体" w:hAnsi="宋体" w:cs="宋体"/>
      <w:kern w:val="0"/>
      <w:sz w:val="24"/>
    </w:rPr>
  </w:style>
  <w:style w:type="paragraph" w:customStyle="1" w:styleId="308">
    <w:name w:val=" Char Char Char Char Char Char Char Char Char Char Char Char Char Char Char Char Char Char Char Char Char Char Char Char"/>
    <w:basedOn w:val="1"/>
    <w:uiPriority w:val="0"/>
    <w:pPr>
      <w:widowControl/>
      <w:spacing w:line="360" w:lineRule="auto"/>
      <w:jc w:val="left"/>
    </w:pPr>
    <w:rPr>
      <w:szCs w:val="21"/>
    </w:rPr>
  </w:style>
  <w:style w:type="paragraph" w:customStyle="1" w:styleId="309">
    <w:name w:val="0表标题"/>
    <w:basedOn w:val="283"/>
    <w:next w:val="1"/>
    <w:qFormat/>
    <w:uiPriority w:val="0"/>
    <w:pPr>
      <w:tabs>
        <w:tab w:val="left" w:pos="3600"/>
      </w:tabs>
      <w:snapToGrid/>
      <w:spacing w:line="240" w:lineRule="auto"/>
      <w:ind w:firstLine="0"/>
    </w:pPr>
    <w:rPr>
      <w:rFonts w:ascii="Times New Roman" w:hAnsi="Times New Roman"/>
      <w:szCs w:val="16"/>
    </w:rPr>
  </w:style>
  <w:style w:type="paragraph" w:customStyle="1" w:styleId="310">
    <w:name w:val="正文小四缩"/>
    <w:basedOn w:val="1"/>
    <w:uiPriority w:val="0"/>
    <w:pPr>
      <w:widowControl/>
      <w:adjustRightInd w:val="0"/>
      <w:spacing w:before="120" w:line="420" w:lineRule="atLeast"/>
      <w:ind w:firstLine="510"/>
      <w:jc w:val="left"/>
    </w:pPr>
    <w:rPr>
      <w:rFonts w:ascii="宋体"/>
      <w:bCs/>
      <w:kern w:val="0"/>
      <w:sz w:val="24"/>
      <w:szCs w:val="20"/>
      <w:lang w:eastAsia="en-US" w:bidi="en-US"/>
    </w:rPr>
  </w:style>
  <w:style w:type="paragraph" w:customStyle="1" w:styleId="311">
    <w:name w:val="样式 标题 21.1标题 2 + 首行缩进:  2 字符"/>
    <w:basedOn w:val="4"/>
    <w:uiPriority w:val="0"/>
    <w:pPr>
      <w:keepLines/>
      <w:numPr>
        <w:ilvl w:val="0"/>
        <w:numId w:val="0"/>
      </w:numPr>
      <w:adjustRightInd w:val="0"/>
      <w:snapToGrid w:val="0"/>
      <w:spacing w:line="500" w:lineRule="exact"/>
      <w:ind w:firstLine="602" w:firstLineChars="200"/>
      <w:jc w:val="left"/>
    </w:pPr>
    <w:rPr>
      <w:rFonts w:ascii="宋体" w:hAnsi="宋体" w:cs="宋体"/>
      <w:kern w:val="44"/>
      <w:sz w:val="30"/>
      <w:szCs w:val="30"/>
    </w:rPr>
  </w:style>
  <w:style w:type="paragraph" w:customStyle="1" w:styleId="312">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color w:val="FF0000"/>
      <w:kern w:val="0"/>
      <w:sz w:val="24"/>
      <w:szCs w:val="20"/>
    </w:rPr>
  </w:style>
  <w:style w:type="paragraph" w:customStyle="1" w:styleId="313">
    <w:name w:val="正文：段落格式"/>
    <w:basedOn w:val="1"/>
    <w:link w:val="537"/>
    <w:uiPriority w:val="0"/>
    <w:pPr>
      <w:tabs>
        <w:tab w:val="left" w:pos="1440"/>
      </w:tabs>
      <w:adjustRightInd w:val="0"/>
      <w:snapToGrid w:val="0"/>
      <w:spacing w:line="440" w:lineRule="atLeast"/>
      <w:ind w:left="1440" w:hanging="360"/>
    </w:pPr>
    <w:rPr>
      <w:rFonts w:ascii="宋体" w:hAnsi="宋体"/>
      <w:color w:val="000000"/>
      <w:kern w:val="15"/>
      <w:sz w:val="24"/>
    </w:rPr>
  </w:style>
  <w:style w:type="paragraph" w:customStyle="1" w:styleId="314">
    <w:name w:val="xl57"/>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315">
    <w:name w:val="标准正文"/>
    <w:basedOn w:val="1"/>
    <w:qFormat/>
    <w:uiPriority w:val="0"/>
    <w:pPr>
      <w:spacing w:line="360" w:lineRule="auto"/>
      <w:ind w:firstLine="480" w:firstLineChars="200"/>
      <w:jc w:val="left"/>
    </w:pPr>
    <w:rPr>
      <w:rFonts w:ascii="宋体"/>
      <w:sz w:val="28"/>
      <w:szCs w:val="22"/>
    </w:rPr>
  </w:style>
  <w:style w:type="paragraph" w:customStyle="1" w:styleId="316">
    <w:name w:val="报告正文小四"/>
    <w:basedOn w:val="1"/>
    <w:link w:val="628"/>
    <w:uiPriority w:val="0"/>
    <w:pPr>
      <w:adjustRightInd w:val="0"/>
      <w:snapToGrid w:val="0"/>
      <w:spacing w:before="120" w:line="360" w:lineRule="atLeast"/>
      <w:ind w:firstLine="750"/>
    </w:pPr>
    <w:rPr>
      <w:rFonts w:ascii="宋体" w:hAnsi="宋体"/>
      <w:sz w:val="24"/>
      <w:szCs w:val="20"/>
    </w:rPr>
  </w:style>
  <w:style w:type="paragraph" w:customStyle="1" w:styleId="317">
    <w:name w:val="xl59"/>
    <w:basedOn w:val="1"/>
    <w:uiPriority w:val="0"/>
    <w:pPr>
      <w:widowControl/>
      <w:shd w:val="clear" w:color="auto" w:fill="CCFFCC"/>
      <w:spacing w:before="100" w:beforeAutospacing="1" w:after="100" w:afterAutospacing="1"/>
      <w:jc w:val="left"/>
    </w:pPr>
    <w:rPr>
      <w:rFonts w:ascii="宋体" w:hAnsi="宋体" w:cs="宋体"/>
      <w:color w:val="808080"/>
      <w:kern w:val="0"/>
      <w:sz w:val="24"/>
    </w:rPr>
  </w:style>
  <w:style w:type="paragraph" w:customStyle="1" w:styleId="318">
    <w:name w:val="4项目负责人"/>
    <w:basedOn w:val="1"/>
    <w:uiPriority w:val="0"/>
    <w:pPr>
      <w:spacing w:line="360" w:lineRule="auto"/>
      <w:jc w:val="center"/>
    </w:pPr>
    <w:rPr>
      <w:b/>
      <w:sz w:val="28"/>
    </w:rPr>
  </w:style>
  <w:style w:type="paragraph" w:customStyle="1" w:styleId="319">
    <w:name w:val="表中文字"/>
    <w:basedOn w:val="1"/>
    <w:uiPriority w:val="0"/>
    <w:pPr>
      <w:widowControl/>
      <w:jc w:val="center"/>
    </w:pPr>
    <w:rPr>
      <w:kern w:val="0"/>
      <w:szCs w:val="20"/>
      <w:lang/>
    </w:rPr>
  </w:style>
  <w:style w:type="paragraph" w:customStyle="1" w:styleId="320">
    <w:name w:val="标题 3，BSH-3条标题1.1.1"/>
    <w:basedOn w:val="5"/>
    <w:link w:val="541"/>
    <w:uiPriority w:val="0"/>
    <w:pPr>
      <w:spacing w:before="0" w:after="0" w:line="360" w:lineRule="auto"/>
      <w:jc w:val="left"/>
      <w:outlineLvl w:val="9"/>
    </w:pPr>
    <w:rPr>
      <w:rFonts w:ascii="宋体" w:hAnsi="宋体"/>
      <w:b w:val="0"/>
      <w:bCs w:val="0"/>
      <w:caps/>
      <w:kern w:val="0"/>
      <w:sz w:val="24"/>
      <w:szCs w:val="24"/>
    </w:rPr>
  </w:style>
  <w:style w:type="paragraph" w:customStyle="1" w:styleId="321">
    <w:name w:val="样式 样式 表格 + 居中 + 首行缩进:  2 字符"/>
    <w:basedOn w:val="269"/>
    <w:uiPriority w:val="0"/>
    <w:pPr>
      <w:ind w:firstLine="0" w:firstLineChars="0"/>
    </w:pPr>
    <w:rPr>
      <w:rFonts w:cs="宋体"/>
      <w:szCs w:val="20"/>
    </w:rPr>
  </w:style>
  <w:style w:type="paragraph" w:customStyle="1" w:styleId="322">
    <w:name w:val="报告正文"/>
    <w:basedOn w:val="1"/>
    <w:link w:val="693"/>
    <w:uiPriority w:val="0"/>
    <w:pPr>
      <w:spacing w:line="360" w:lineRule="auto"/>
      <w:ind w:firstLine="526" w:firstLineChars="200"/>
    </w:pPr>
    <w:rPr>
      <w:rFonts w:eastAsia="仿宋_GB2312"/>
      <w:kern w:val="0"/>
      <w:sz w:val="28"/>
      <w:szCs w:val="20"/>
    </w:rPr>
  </w:style>
  <w:style w:type="paragraph" w:customStyle="1" w:styleId="323">
    <w:name w:val="样式 小四 行距: 1.5 倍行距"/>
    <w:basedOn w:val="1"/>
    <w:uiPriority w:val="0"/>
    <w:pPr>
      <w:spacing w:line="360" w:lineRule="auto"/>
      <w:ind w:firstLine="480" w:firstLineChars="200"/>
    </w:pPr>
    <w:rPr>
      <w:kern w:val="0"/>
      <w:sz w:val="28"/>
      <w:szCs w:val="20"/>
    </w:rPr>
  </w:style>
  <w:style w:type="paragraph" w:customStyle="1" w:styleId="324">
    <w:name w:val="样式 标题 2H2节标题 1.1节标题 1.1 Char + 非加粗 首行缩进:  0 厘米"/>
    <w:basedOn w:val="4"/>
    <w:uiPriority w:val="0"/>
    <w:pPr>
      <w:keepLines/>
      <w:numPr>
        <w:ilvl w:val="0"/>
        <w:numId w:val="0"/>
      </w:numPr>
      <w:tabs>
        <w:tab w:val="left" w:pos="720"/>
      </w:tabs>
      <w:adjustRightInd w:val="0"/>
      <w:spacing w:line="560" w:lineRule="exact"/>
      <w:jc w:val="both"/>
      <w:textAlignment w:val="baseline"/>
    </w:pPr>
    <w:rPr>
      <w:rFonts w:cs="宋体"/>
      <w:b w:val="0"/>
      <w:bCs w:val="0"/>
      <w:kern w:val="0"/>
      <w:sz w:val="28"/>
      <w:szCs w:val="28"/>
    </w:rPr>
  </w:style>
  <w:style w:type="paragraph" w:customStyle="1" w:styleId="325">
    <w:name w:val="表格文字0"/>
    <w:basedOn w:val="1"/>
    <w:next w:val="1"/>
    <w:uiPriority w:val="0"/>
    <w:pPr>
      <w:framePr w:hSpace="180" w:wrap="around" w:vAnchor="text" w:hAnchor="margin" w:xAlign="center" w:y="94"/>
      <w:jc w:val="center"/>
    </w:pPr>
    <w:rPr>
      <w:rFonts w:hAnsi="宋体"/>
      <w:szCs w:val="21"/>
    </w:rPr>
  </w:style>
  <w:style w:type="paragraph" w:customStyle="1" w:styleId="326">
    <w:name w:val="样式6 正文"/>
    <w:uiPriority w:val="0"/>
    <w:pPr>
      <w:widowControl w:val="0"/>
      <w:spacing w:beforeLines="50" w:line="500" w:lineRule="exact"/>
      <w:ind w:firstLine="560" w:firstLineChars="200"/>
      <w:jc w:val="both"/>
    </w:pPr>
    <w:rPr>
      <w:rFonts w:ascii="仿宋_GB2312" w:eastAsia="仿宋_GB2312"/>
      <w:sz w:val="28"/>
      <w:szCs w:val="28"/>
      <w:lang w:val="en-US" w:eastAsia="zh-CN" w:bidi="ar-SA"/>
    </w:rPr>
  </w:style>
  <w:style w:type="paragraph" w:customStyle="1" w:styleId="327">
    <w:name w:val="表格文字：灌溉制度"/>
    <w:basedOn w:val="279"/>
    <w:uiPriority w:val="0"/>
    <w:pPr>
      <w:adjustRightInd/>
      <w:snapToGrid/>
      <w:spacing w:line="240" w:lineRule="exact"/>
    </w:pPr>
    <w:rPr>
      <w:rFonts w:ascii="仿宋_GB2312" w:hAnsi="宋体" w:eastAsia="仿宋_GB2312"/>
      <w:szCs w:val="24"/>
    </w:rPr>
  </w:style>
  <w:style w:type="paragraph" w:customStyle="1" w:styleId="328">
    <w:name w:val="封面首行"/>
    <w:basedOn w:val="1"/>
    <w:uiPriority w:val="0"/>
    <w:pPr>
      <w:spacing w:beforeLines="700" w:line="700" w:lineRule="exact"/>
      <w:jc w:val="center"/>
    </w:pPr>
    <w:rPr>
      <w:b/>
      <w:sz w:val="52"/>
    </w:rPr>
  </w:style>
  <w:style w:type="paragraph" w:customStyle="1" w:styleId="329">
    <w:name w:val="xl30"/>
    <w:basedOn w:val="1"/>
    <w:uiPriority w:val="0"/>
    <w:pPr>
      <w:widowControl/>
      <w:spacing w:before="100" w:beforeAutospacing="1" w:after="100" w:afterAutospacing="1"/>
      <w:jc w:val="left"/>
      <w:textAlignment w:val="bottom"/>
    </w:pPr>
    <w:rPr>
      <w:rFonts w:ascii="宋体" w:hAnsi="宋体" w:cs="宋体"/>
      <w:kern w:val="0"/>
      <w:sz w:val="24"/>
    </w:rPr>
  </w:style>
  <w:style w:type="paragraph" w:customStyle="1" w:styleId="330">
    <w:name w:val=" Char3 Char Char Char"/>
    <w:basedOn w:val="1"/>
    <w:next w:val="1"/>
    <w:qFormat/>
    <w:uiPriority w:val="0"/>
    <w:pPr>
      <w:spacing w:line="360" w:lineRule="auto"/>
      <w:ind w:firstLine="200" w:firstLineChars="200"/>
    </w:pPr>
    <w:rPr>
      <w:rFonts w:ascii="宋体" w:hAnsi="宋体" w:cs="宋体"/>
      <w:sz w:val="24"/>
      <w:szCs w:val="24"/>
    </w:rPr>
  </w:style>
  <w:style w:type="paragraph" w:customStyle="1" w:styleId="331">
    <w:name w:val="正文表"/>
    <w:basedOn w:val="1"/>
    <w:uiPriority w:val="0"/>
    <w:pPr>
      <w:spacing w:line="240" w:lineRule="exact"/>
      <w:jc w:val="center"/>
    </w:pPr>
    <w:rPr>
      <w:rFonts w:ascii="Times" w:hAnsi="Times" w:eastAsia="仿宋_GB2312"/>
      <w:szCs w:val="20"/>
    </w:rPr>
  </w:style>
  <w:style w:type="paragraph" w:customStyle="1" w:styleId="332">
    <w:name w:val="Char3"/>
    <w:basedOn w:val="1"/>
    <w:uiPriority w:val="0"/>
    <w:rPr>
      <w:rFonts w:ascii="宋体" w:hAnsi="Tahoma" w:cs="Tahoma"/>
      <w:sz w:val="20"/>
      <w:szCs w:val="20"/>
    </w:rPr>
  </w:style>
  <w:style w:type="paragraph" w:customStyle="1" w:styleId="333">
    <w:name w:val="a9"/>
    <w:basedOn w:val="1"/>
    <w:uiPriority w:val="0"/>
    <w:pPr>
      <w:widowControl/>
      <w:adjustRightInd w:val="0"/>
      <w:spacing w:before="100" w:beforeAutospacing="1" w:after="100" w:afterAutospacing="1" w:line="360" w:lineRule="atLeast"/>
      <w:jc w:val="left"/>
      <w:textAlignment w:val="baseline"/>
    </w:pPr>
    <w:rPr>
      <w:rFonts w:ascii="宋体" w:hAnsi="宋体"/>
      <w:color w:val="000000"/>
      <w:kern w:val="0"/>
      <w:sz w:val="24"/>
      <w:szCs w:val="20"/>
    </w:rPr>
  </w:style>
  <w:style w:type="paragraph" w:customStyle="1" w:styleId="334">
    <w:name w:val="正文 宋体 小四"/>
    <w:basedOn w:val="1"/>
    <w:link w:val="583"/>
    <w:uiPriority w:val="0"/>
    <w:pPr>
      <w:spacing w:line="360" w:lineRule="auto"/>
      <w:ind w:firstLine="480"/>
    </w:pPr>
    <w:rPr>
      <w:rFonts w:ascii="宋体" w:hAnsi="宋体"/>
      <w:sz w:val="24"/>
      <w:szCs w:val="20"/>
    </w:rPr>
  </w:style>
  <w:style w:type="paragraph" w:customStyle="1" w:styleId="335">
    <w:name w:val="5文章(治)"/>
    <w:basedOn w:val="1"/>
    <w:uiPriority w:val="0"/>
    <w:pPr>
      <w:spacing w:line="360" w:lineRule="auto"/>
      <w:ind w:firstLine="560" w:firstLineChars="200"/>
      <w:jc w:val="left"/>
    </w:pPr>
    <w:rPr>
      <w:rFonts w:eastAsia="楷体_GB2312"/>
      <w:sz w:val="28"/>
      <w:szCs w:val="20"/>
    </w:rPr>
  </w:style>
  <w:style w:type="paragraph" w:customStyle="1" w:styleId="336">
    <w:name w:val="1.1.1"/>
    <w:basedOn w:val="1"/>
    <w:next w:val="1"/>
    <w:uiPriority w:val="0"/>
    <w:pPr>
      <w:widowControl/>
    </w:pPr>
    <w:rPr>
      <w:rFonts w:hint="eastAsia" w:ascii="黑体" w:hAnsi="黑体"/>
      <w:color w:val="000000"/>
      <w:sz w:val="24"/>
      <w:szCs w:val="20"/>
    </w:rPr>
  </w:style>
  <w:style w:type="paragraph" w:customStyle="1" w:styleId="337">
    <w:name w:val="0001"/>
    <w:basedOn w:val="3"/>
    <w:uiPriority w:val="0"/>
    <w:pPr>
      <w:keepLines/>
      <w:pageBreakBefore/>
      <w:widowControl/>
      <w:numPr>
        <w:ilvl w:val="0"/>
        <w:numId w:val="0"/>
      </w:numPr>
      <w:spacing w:before="340" w:beforeLines="200" w:line="360" w:lineRule="auto"/>
      <w:jc w:val="center"/>
    </w:pPr>
    <w:rPr>
      <w:rFonts w:ascii="宋体" w:eastAsia="宋体"/>
      <w:b/>
      <w:kern w:val="0"/>
      <w:sz w:val="36"/>
      <w:szCs w:val="20"/>
    </w:rPr>
  </w:style>
  <w:style w:type="paragraph" w:styleId="338">
    <w:name w:val="No Spacing"/>
    <w:basedOn w:val="1"/>
    <w:link w:val="700"/>
    <w:qFormat/>
    <w:uiPriority w:val="0"/>
    <w:pPr>
      <w:widowControl/>
      <w:jc w:val="left"/>
    </w:pPr>
    <w:rPr>
      <w:rFonts w:ascii="Calibri" w:hAnsi="Calibri"/>
      <w:kern w:val="0"/>
      <w:sz w:val="24"/>
      <w:szCs w:val="32"/>
      <w:lang w:eastAsia="en-US" w:bidi="en-US"/>
    </w:rPr>
  </w:style>
  <w:style w:type="paragraph" w:customStyle="1" w:styleId="339">
    <w:name w:val="设计正文"/>
    <w:basedOn w:val="1"/>
    <w:uiPriority w:val="0"/>
    <w:pPr>
      <w:spacing w:line="400" w:lineRule="exact"/>
      <w:ind w:firstLine="480" w:firstLineChars="200"/>
    </w:pPr>
    <w:rPr>
      <w:rFonts w:ascii="宋体" w:hAnsi="宋体"/>
      <w:color w:val="FF0000"/>
      <w:sz w:val="24"/>
    </w:rPr>
  </w:style>
  <w:style w:type="paragraph" w:customStyle="1" w:styleId="340">
    <w:name w:val="报告书正文"/>
    <w:basedOn w:val="1"/>
    <w:link w:val="590"/>
    <w:qFormat/>
    <w:uiPriority w:val="0"/>
    <w:pPr>
      <w:autoSpaceDE w:val="0"/>
      <w:autoSpaceDN w:val="0"/>
      <w:spacing w:line="520" w:lineRule="exact"/>
      <w:ind w:firstLine="200" w:firstLineChars="200"/>
    </w:pPr>
    <w:rPr>
      <w:sz w:val="28"/>
      <w:szCs w:val="28"/>
    </w:rPr>
  </w:style>
  <w:style w:type="paragraph" w:customStyle="1" w:styleId="341">
    <w:name w:val="标题  2"/>
    <w:basedOn w:val="1"/>
    <w:uiPriority w:val="0"/>
    <w:pPr>
      <w:spacing w:before="120" w:after="120" w:line="360" w:lineRule="auto"/>
    </w:pPr>
    <w:rPr>
      <w:rFonts w:eastAsia="黑体"/>
      <w:b/>
      <w:kern w:val="24"/>
      <w:sz w:val="32"/>
      <w:lang/>
    </w:rPr>
  </w:style>
  <w:style w:type="paragraph" w:customStyle="1" w:styleId="342">
    <w:name w:val="报告书"/>
    <w:basedOn w:val="1"/>
    <w:uiPriority w:val="0"/>
    <w:pPr>
      <w:autoSpaceDE w:val="0"/>
      <w:autoSpaceDN w:val="0"/>
      <w:adjustRightInd w:val="0"/>
      <w:spacing w:line="360" w:lineRule="auto"/>
      <w:ind w:firstLine="505"/>
      <w:jc w:val="left"/>
      <w:textAlignment w:val="bottom"/>
    </w:pPr>
    <w:rPr>
      <w:kern w:val="0"/>
      <w:sz w:val="24"/>
      <w:szCs w:val="20"/>
    </w:rPr>
  </w:style>
  <w:style w:type="paragraph" w:customStyle="1" w:styleId="343">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44">
    <w:name w:val="word"/>
    <w:basedOn w:val="1"/>
    <w:uiPriority w:val="0"/>
    <w:pPr>
      <w:spacing w:beforeLines="50" w:line="360" w:lineRule="auto"/>
      <w:ind w:firstLine="480" w:firstLineChars="200"/>
    </w:pPr>
    <w:rPr>
      <w:rFonts w:ascii="宋体" w:hAnsi="宋体"/>
      <w:color w:val="0000FF"/>
      <w:sz w:val="24"/>
    </w:rPr>
  </w:style>
  <w:style w:type="paragraph" w:customStyle="1" w:styleId="345">
    <w:name w:val="样式 标题 4 + 首行缩进:  28 磅"/>
    <w:basedOn w:val="6"/>
    <w:uiPriority w:val="0"/>
    <w:pPr>
      <w:tabs>
        <w:tab w:val="clear" w:pos="1440"/>
      </w:tabs>
      <w:snapToGrid/>
      <w:ind w:left="0" w:firstLine="0"/>
    </w:pPr>
    <w:rPr>
      <w:rFonts w:ascii="仿宋_GB2312" w:hAnsi="Arial" w:eastAsia="仿宋_GB2312" w:cs="宋体"/>
      <w:sz w:val="28"/>
    </w:rPr>
  </w:style>
  <w:style w:type="paragraph" w:customStyle="1" w:styleId="346">
    <w:name w:val="样式 表格文字 + (符号) 宋体 五号 首行缩进:  0.74 厘米"/>
    <w:basedOn w:val="279"/>
    <w:uiPriority w:val="0"/>
    <w:pPr>
      <w:widowControl/>
      <w:adjustRightInd/>
      <w:snapToGrid/>
      <w:spacing w:line="340" w:lineRule="exact"/>
    </w:pPr>
    <w:rPr>
      <w:rFonts w:ascii="仿宋_GB2312" w:hAnsi="宋体" w:eastAsia="仿宋_GB2312" w:cs="宋体"/>
      <w:kern w:val="0"/>
      <w:sz w:val="21"/>
    </w:rPr>
  </w:style>
  <w:style w:type="paragraph" w:customStyle="1" w:styleId="347">
    <w:name w:val="简单回函地址"/>
    <w:basedOn w:val="1"/>
    <w:uiPriority w:val="0"/>
    <w:pPr>
      <w:adjustRightInd w:val="0"/>
      <w:spacing w:line="312" w:lineRule="atLeast"/>
      <w:textAlignment w:val="baseline"/>
    </w:pPr>
    <w:rPr>
      <w:kern w:val="0"/>
      <w:szCs w:val="20"/>
    </w:rPr>
  </w:style>
  <w:style w:type="paragraph" w:customStyle="1" w:styleId="348">
    <w:name w:val="二级标题 Char Char Char"/>
    <w:basedOn w:val="1"/>
    <w:next w:val="1"/>
    <w:uiPriority w:val="0"/>
    <w:pPr>
      <w:spacing w:line="529" w:lineRule="exact"/>
      <w:ind w:firstLine="200" w:firstLineChars="200"/>
    </w:pPr>
    <w:rPr>
      <w:rFonts w:ascii="宋体" w:hAnsi="宋体" w:cs="宋体"/>
      <w:sz w:val="24"/>
    </w:rPr>
  </w:style>
  <w:style w:type="paragraph" w:customStyle="1" w:styleId="349">
    <w:name w:val="表格字"/>
    <w:basedOn w:val="59"/>
    <w:uiPriority w:val="0"/>
    <w:pPr>
      <w:spacing w:line="380" w:lineRule="exact"/>
      <w:ind w:left="0" w:firstLine="0" w:firstLineChars="0"/>
      <w:jc w:val="center"/>
    </w:pPr>
    <w:rPr>
      <w:rFonts w:ascii="宋体" w:hAnsi="宋体"/>
    </w:rPr>
  </w:style>
  <w:style w:type="paragraph" w:customStyle="1" w:styleId="350">
    <w:name w:val="默认段落"/>
    <w:basedOn w:val="1"/>
    <w:uiPriority w:val="0"/>
    <w:pPr>
      <w:spacing w:line="360" w:lineRule="auto"/>
      <w:ind w:firstLine="200" w:firstLineChars="200"/>
    </w:pPr>
    <w:rPr>
      <w:rFonts w:ascii="仿宋_GB2312" w:hAnsi="宋体" w:eastAsia="仿宋_GB2312"/>
      <w:sz w:val="28"/>
      <w:szCs w:val="20"/>
    </w:rPr>
  </w:style>
  <w:style w:type="paragraph" w:customStyle="1" w:styleId="351">
    <w:name w:val="1表格"/>
    <w:basedOn w:val="1"/>
    <w:uiPriority w:val="0"/>
    <w:pPr>
      <w:snapToGrid w:val="0"/>
      <w:spacing w:line="160" w:lineRule="atLeast"/>
      <w:jc w:val="center"/>
    </w:pPr>
    <w:rPr>
      <w:rFonts w:eastAsia="仿宋_GB2312"/>
      <w:szCs w:val="20"/>
    </w:rPr>
  </w:style>
  <w:style w:type="paragraph" w:customStyle="1" w:styleId="352">
    <w:name w:val="Char4"/>
    <w:basedOn w:val="1"/>
    <w:uiPriority w:val="0"/>
    <w:pPr>
      <w:spacing w:line="360" w:lineRule="auto"/>
      <w:ind w:firstLine="200" w:firstLineChars="200"/>
    </w:pPr>
  </w:style>
  <w:style w:type="paragraph" w:customStyle="1" w:styleId="353">
    <w:name w:val="Char Char Char Char Char Char Char Char Char1"/>
    <w:basedOn w:val="1"/>
    <w:uiPriority w:val="0"/>
  </w:style>
  <w:style w:type="paragraph" w:customStyle="1" w:styleId="354">
    <w:name w:val="xl41"/>
    <w:basedOn w:val="1"/>
    <w:uiPriority w:val="0"/>
    <w:pPr>
      <w:widowControl/>
      <w:pBdr>
        <w:bottom w:val="single" w:color="auto" w:sz="4" w:space="0"/>
      </w:pBdr>
      <w:spacing w:before="100" w:beforeAutospacing="1" w:after="100" w:afterAutospacing="1"/>
      <w:jc w:val="center"/>
    </w:pPr>
    <w:rPr>
      <w:kern w:val="0"/>
      <w:szCs w:val="21"/>
    </w:rPr>
  </w:style>
  <w:style w:type="paragraph" w:customStyle="1" w:styleId="355">
    <w:name w:val="_正文格式"/>
    <w:basedOn w:val="1"/>
    <w:uiPriority w:val="0"/>
    <w:pPr>
      <w:spacing w:line="480" w:lineRule="exact"/>
      <w:ind w:firstLine="567"/>
    </w:pPr>
    <w:rPr>
      <w:rFonts w:eastAsia="仿宋_GB2312"/>
      <w:sz w:val="28"/>
    </w:rPr>
  </w:style>
  <w:style w:type="paragraph" w:customStyle="1" w:styleId="356">
    <w:name w:val="xl29"/>
    <w:basedOn w:val="1"/>
    <w:uiPriority w:val="0"/>
    <w:pPr>
      <w:widowControl/>
      <w:pBdr>
        <w:right w:val="single" w:color="auto" w:sz="8" w:space="0"/>
      </w:pBdr>
      <w:spacing w:before="100" w:beforeAutospacing="1" w:after="100" w:afterAutospacing="1"/>
      <w:jc w:val="center"/>
    </w:pPr>
    <w:rPr>
      <w:kern w:val="0"/>
      <w:szCs w:val="21"/>
    </w:rPr>
  </w:style>
  <w:style w:type="paragraph" w:customStyle="1" w:styleId="357">
    <w:name w:val="正文（唐）"/>
    <w:basedOn w:val="1"/>
    <w:semiHidden/>
    <w:uiPriority w:val="0"/>
    <w:pPr>
      <w:autoSpaceDE w:val="0"/>
      <w:autoSpaceDN w:val="0"/>
      <w:adjustRightInd w:val="0"/>
      <w:spacing w:line="460" w:lineRule="exact"/>
      <w:ind w:left="-45" w:firstLine="480" w:firstLineChars="200"/>
    </w:pPr>
    <w:rPr>
      <w:rFonts w:ascii="宋体" w:hAnsi="宋体" w:eastAsia="Times New Roman" w:cs="宋体"/>
      <w:b/>
      <w:sz w:val="24"/>
    </w:rPr>
  </w:style>
  <w:style w:type="paragraph" w:customStyle="1" w:styleId="358">
    <w:name w:val="Normal"/>
    <w:link w:val="639"/>
    <w:uiPriority w:val="0"/>
    <w:pPr>
      <w:widowControl w:val="0"/>
      <w:adjustRightInd w:val="0"/>
      <w:spacing w:line="315" w:lineRule="atLeast"/>
      <w:textAlignment w:val="baseline"/>
    </w:pPr>
    <w:rPr>
      <w:rFonts w:ascii="宋体"/>
      <w:sz w:val="24"/>
      <w:lang w:val="en-US" w:eastAsia="zh-CN" w:bidi="ar-SA"/>
    </w:rPr>
  </w:style>
  <w:style w:type="paragraph" w:customStyle="1" w:styleId="359">
    <w:name w:val="xl67"/>
    <w:basedOn w:val="1"/>
    <w:link w:val="535"/>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FF0000"/>
      <w:kern w:val="0"/>
      <w:sz w:val="20"/>
      <w:szCs w:val="20"/>
    </w:rPr>
  </w:style>
  <w:style w:type="paragraph" w:customStyle="1" w:styleId="360">
    <w:name w:val="表号文字"/>
    <w:basedOn w:val="1"/>
    <w:uiPriority w:val="0"/>
    <w:pPr>
      <w:adjustRightInd w:val="0"/>
      <w:snapToGrid w:val="0"/>
      <w:spacing w:before="120" w:line="300" w:lineRule="auto"/>
      <w:jc w:val="left"/>
    </w:pPr>
    <w:rPr>
      <w:rFonts w:eastAsia="黑体"/>
    </w:rPr>
  </w:style>
  <w:style w:type="paragraph" w:customStyle="1" w:styleId="361">
    <w:name w:val="样式 标题 2电脑标志 + 首行缩进:  2 字符"/>
    <w:basedOn w:val="4"/>
    <w:uiPriority w:val="0"/>
    <w:pPr>
      <w:keepNext w:val="0"/>
      <w:numPr>
        <w:ilvl w:val="0"/>
        <w:numId w:val="0"/>
      </w:numPr>
      <w:jc w:val="both"/>
    </w:pPr>
    <w:rPr>
      <w:rFonts w:ascii="黑体" w:hAnsi="Arial" w:eastAsia="黑体" w:cs="宋体"/>
      <w:b w:val="0"/>
      <w:bCs w:val="0"/>
      <w:sz w:val="28"/>
      <w:szCs w:val="20"/>
    </w:rPr>
  </w:style>
  <w:style w:type="paragraph" w:customStyle="1" w:styleId="362">
    <w:name w:val="样式 样式 正文 小四 行距: 1.5 倍行距 + 宋体 五号 首行缩进:  2 字符 + 首行缩进:  2 字符"/>
    <w:basedOn w:val="363"/>
    <w:uiPriority w:val="0"/>
    <w:pPr>
      <w:ind w:firstLine="0" w:firstLineChars="0"/>
    </w:pPr>
  </w:style>
  <w:style w:type="paragraph" w:customStyle="1" w:styleId="363">
    <w:name w:val="样式 正文 小四 行距: 1.5 倍行距 + 宋体 五号 首行缩进:  2 字符"/>
    <w:basedOn w:val="1"/>
    <w:uiPriority w:val="0"/>
    <w:pPr>
      <w:widowControl/>
      <w:ind w:firstLine="200" w:firstLineChars="200"/>
      <w:jc w:val="center"/>
    </w:pPr>
    <w:rPr>
      <w:rFonts w:ascii="宋体" w:hAnsi="宋体" w:cs="宋体"/>
      <w:kern w:val="0"/>
      <w:szCs w:val="20"/>
    </w:rPr>
  </w:style>
  <w:style w:type="paragraph" w:customStyle="1" w:styleId="364">
    <w:name w:val="3字符"/>
    <w:basedOn w:val="1"/>
    <w:uiPriority w:val="0"/>
    <w:pPr>
      <w:spacing w:line="500" w:lineRule="exact"/>
      <w:ind w:left="561" w:firstLine="100" w:firstLineChars="100"/>
    </w:pPr>
    <w:rPr>
      <w:sz w:val="28"/>
      <w:szCs w:val="28"/>
    </w:rPr>
  </w:style>
  <w:style w:type="paragraph" w:customStyle="1" w:styleId="365">
    <w:name w:val="样式5"/>
    <w:basedOn w:val="1"/>
    <w:uiPriority w:val="0"/>
    <w:pPr>
      <w:snapToGrid w:val="0"/>
      <w:spacing w:line="360" w:lineRule="auto"/>
      <w:ind w:firstLine="510"/>
    </w:pPr>
    <w:rPr>
      <w:sz w:val="24"/>
    </w:rPr>
  </w:style>
  <w:style w:type="paragraph" w:customStyle="1" w:styleId="366">
    <w:name w:val="0项目名称"/>
    <w:basedOn w:val="1"/>
    <w:uiPriority w:val="0"/>
    <w:pPr>
      <w:spacing w:line="360" w:lineRule="auto"/>
      <w:jc w:val="center"/>
    </w:pPr>
    <w:rPr>
      <w:b/>
      <w:sz w:val="44"/>
      <w:lang/>
    </w:rPr>
  </w:style>
  <w:style w:type="paragraph" w:customStyle="1" w:styleId="367">
    <w:name w:val="xl23"/>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68">
    <w:name w:val="标准 Char"/>
    <w:basedOn w:val="1"/>
    <w:link w:val="556"/>
    <w:semiHidden/>
    <w:uiPriority w:val="0"/>
    <w:pPr>
      <w:adjustRightInd w:val="0"/>
      <w:spacing w:line="480" w:lineRule="exact"/>
      <w:textAlignment w:val="baseline"/>
    </w:pPr>
    <w:rPr>
      <w:kern w:val="0"/>
      <w:sz w:val="28"/>
      <w:szCs w:val="28"/>
      <w:lang w:val="en-GB"/>
    </w:rPr>
  </w:style>
  <w:style w:type="paragraph" w:customStyle="1" w:styleId="369">
    <w:name w:val="6"/>
    <w:basedOn w:val="1"/>
    <w:next w:val="32"/>
    <w:uiPriority w:val="0"/>
    <w:pPr>
      <w:spacing w:line="360" w:lineRule="auto"/>
      <w:ind w:firstLine="480" w:firstLineChars="200"/>
    </w:pPr>
    <w:rPr>
      <w:sz w:val="24"/>
    </w:rPr>
  </w:style>
  <w:style w:type="paragraph" w:customStyle="1" w:styleId="370">
    <w:name w:val="样式 样式 正文缩进s4 + 首行缩进:  2 字符 + 首行缩进:  2 字符"/>
    <w:basedOn w:val="1"/>
    <w:uiPriority w:val="0"/>
    <w:pPr>
      <w:adjustRightInd w:val="0"/>
      <w:snapToGrid w:val="0"/>
      <w:spacing w:line="336" w:lineRule="auto"/>
      <w:ind w:firstLine="545" w:firstLineChars="227"/>
    </w:pPr>
    <w:rPr>
      <w:rFonts w:ascii="宋体" w:hAnsi="宋体"/>
      <w:color w:val="000000"/>
      <w:sz w:val="28"/>
      <w:szCs w:val="20"/>
    </w:rPr>
  </w:style>
  <w:style w:type="paragraph" w:customStyle="1" w:styleId="371">
    <w:name w:val="初设正文"/>
    <w:basedOn w:val="1"/>
    <w:uiPriority w:val="0"/>
    <w:pPr>
      <w:spacing w:after="120" w:line="440" w:lineRule="exact"/>
      <w:ind w:left="425" w:firstLine="425"/>
    </w:pPr>
    <w:rPr>
      <w:rFonts w:ascii="Arial" w:hAnsi="Arial"/>
      <w:kern w:val="0"/>
      <w:sz w:val="24"/>
      <w:szCs w:val="20"/>
    </w:rPr>
  </w:style>
  <w:style w:type="paragraph" w:customStyle="1" w:styleId="372">
    <w:name w:val=" Char2"/>
    <w:basedOn w:val="1"/>
    <w:uiPriority w:val="0"/>
  </w:style>
  <w:style w:type="paragraph" w:customStyle="1" w:styleId="373">
    <w:name w:val="xl81"/>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b/>
      <w:kern w:val="0"/>
      <w:sz w:val="24"/>
      <w:szCs w:val="20"/>
    </w:rPr>
  </w:style>
  <w:style w:type="paragraph" w:customStyle="1" w:styleId="374">
    <w:name w:val="Char Char Char Char Char Char Char Char1 Char Char Char Char Char Char Char Char Char Char Char Char1 Char"/>
    <w:basedOn w:val="1"/>
    <w:uiPriority w:val="0"/>
    <w:rPr>
      <w:kern w:val="0"/>
      <w:sz w:val="20"/>
      <w:szCs w:val="20"/>
    </w:rPr>
  </w:style>
  <w:style w:type="paragraph" w:customStyle="1" w:styleId="375">
    <w:name w:val="xl24"/>
    <w:basedOn w:val="1"/>
    <w:uiPriority w:val="0"/>
    <w:pPr>
      <w:widowControl/>
      <w:spacing w:before="100" w:beforeAutospacing="1" w:after="100" w:afterAutospacing="1"/>
      <w:jc w:val="left"/>
    </w:pPr>
    <w:rPr>
      <w:rFonts w:ascii="宋体" w:hAnsi="宋体"/>
      <w:kern w:val="0"/>
      <w:sz w:val="24"/>
    </w:rPr>
  </w:style>
  <w:style w:type="paragraph" w:customStyle="1" w:styleId="376">
    <w:name w:val="标题符"/>
    <w:basedOn w:val="1"/>
    <w:uiPriority w:val="0"/>
    <w:pPr>
      <w:tabs>
        <w:tab w:val="left" w:pos="360"/>
      </w:tabs>
      <w:overflowPunct w:val="0"/>
      <w:snapToGrid w:val="0"/>
      <w:spacing w:line="480" w:lineRule="exact"/>
      <w:ind w:firstLine="560" w:firstLineChars="200"/>
    </w:pPr>
    <w:rPr>
      <w:rFonts w:ascii="Arial" w:hAnsi="Arial" w:eastAsia="仿宋_GB2312"/>
      <w:sz w:val="28"/>
      <w:szCs w:val="20"/>
      <w:lang/>
    </w:rPr>
  </w:style>
  <w:style w:type="paragraph" w:customStyle="1" w:styleId="377">
    <w:name w:val=" Char Char3 Char Char"/>
    <w:basedOn w:val="1"/>
    <w:uiPriority w:val="0"/>
    <w:rPr>
      <w:szCs w:val="20"/>
    </w:rPr>
  </w:style>
  <w:style w:type="paragraph" w:customStyle="1" w:styleId="378">
    <w:name w:val="正文(首行缩进)"/>
    <w:basedOn w:val="1"/>
    <w:next w:val="1"/>
    <w:link w:val="564"/>
    <w:qFormat/>
    <w:uiPriority w:val="0"/>
    <w:pPr>
      <w:adjustRightInd w:val="0"/>
      <w:spacing w:line="360" w:lineRule="auto"/>
      <w:ind w:firstLine="540" w:firstLineChars="225"/>
      <w:textAlignment w:val="baseline"/>
    </w:pPr>
    <w:rPr>
      <w:color w:val="000000"/>
      <w:kern w:val="0"/>
      <w:sz w:val="24"/>
    </w:rPr>
  </w:style>
  <w:style w:type="paragraph" w:customStyle="1" w:styleId="379">
    <w:name w:val="正文3"/>
    <w:basedOn w:val="1"/>
    <w:uiPriority w:val="0"/>
    <w:pPr>
      <w:widowControl/>
      <w:tabs>
        <w:tab w:val="left" w:pos="1620"/>
      </w:tabs>
      <w:spacing w:line="560" w:lineRule="exact"/>
      <w:ind w:firstLine="200" w:firstLineChars="200"/>
    </w:pPr>
    <w:rPr>
      <w:rFonts w:eastAsia="仿宋_GB2312" w:cs="宋体"/>
      <w:kern w:val="0"/>
      <w:sz w:val="28"/>
      <w:szCs w:val="28"/>
    </w:rPr>
  </w:style>
  <w:style w:type="paragraph" w:customStyle="1" w:styleId="380">
    <w:name w:val="reader-word-layer reader-word-s3-3"/>
    <w:basedOn w:val="1"/>
    <w:uiPriority w:val="0"/>
    <w:pPr>
      <w:widowControl/>
      <w:spacing w:before="100" w:beforeAutospacing="1" w:after="100" w:afterAutospacing="1"/>
      <w:jc w:val="left"/>
    </w:pPr>
    <w:rPr>
      <w:rFonts w:ascii="宋体" w:hAnsi="宋体" w:cs="宋体"/>
      <w:kern w:val="0"/>
      <w:sz w:val="24"/>
    </w:rPr>
  </w:style>
  <w:style w:type="paragraph" w:customStyle="1" w:styleId="381">
    <w:name w:val="WPSOffice手动目录 2"/>
    <w:uiPriority w:val="0"/>
    <w:pPr>
      <w:ind w:leftChars="200"/>
    </w:pPr>
    <w:rPr>
      <w:lang w:val="en-US" w:eastAsia="zh-CN" w:bidi="ar-SA"/>
    </w:rPr>
  </w:style>
  <w:style w:type="paragraph" w:customStyle="1" w:styleId="382">
    <w:name w:val="样式 表头 + 首行缩进:  0.97 厘米1"/>
    <w:basedOn w:val="59"/>
    <w:uiPriority w:val="0"/>
    <w:pPr>
      <w:keepNext/>
      <w:ind w:left="0" w:firstLine="0" w:firstLineChars="0"/>
      <w:jc w:val="center"/>
    </w:pPr>
    <w:rPr>
      <w:rFonts w:ascii="黑体" w:eastAsia="黑体" w:cs="宋体"/>
      <w:sz w:val="28"/>
      <w:szCs w:val="20"/>
    </w:rPr>
  </w:style>
  <w:style w:type="paragraph" w:customStyle="1" w:styleId="383">
    <w:name w:val="xl54"/>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384">
    <w:name w:val="表头文字"/>
    <w:basedOn w:val="31"/>
    <w:uiPriority w:val="0"/>
    <w:pPr>
      <w:keepNext/>
      <w:overflowPunct w:val="0"/>
      <w:adjustRightInd w:val="0"/>
      <w:snapToGrid w:val="0"/>
      <w:spacing w:after="0" w:line="180" w:lineRule="atLeast"/>
      <w:jc w:val="left"/>
      <w:outlineLvl w:val="2"/>
    </w:pPr>
    <w:rPr>
      <w:rFonts w:ascii="黑体" w:hAnsi="Courier New" w:eastAsia="黑体"/>
      <w:bCs/>
      <w:snapToGrid w:val="0"/>
      <w:color w:val="000000"/>
      <w:kern w:val="0"/>
      <w:sz w:val="28"/>
      <w:szCs w:val="20"/>
    </w:rPr>
  </w:style>
  <w:style w:type="paragraph" w:customStyle="1" w:styleId="385">
    <w:name w:val="Char Char Char Char Char Char Char Char Char Char Char Char Char"/>
    <w:basedOn w:val="1"/>
    <w:uiPriority w:val="0"/>
    <w:pPr>
      <w:spacing w:line="360" w:lineRule="auto"/>
      <w:ind w:firstLine="200" w:firstLineChars="200"/>
    </w:pPr>
    <w:rPr>
      <w:rFonts w:ascii="宋体" w:hAnsi="宋体" w:cs="宋体"/>
      <w:sz w:val="24"/>
    </w:rPr>
  </w:style>
  <w:style w:type="paragraph" w:styleId="386">
    <w:name w:val=""/>
    <w:basedOn w:val="3"/>
    <w:next w:val="1"/>
    <w:qFormat/>
    <w:uiPriority w:val="39"/>
    <w:pPr>
      <w:keepLines/>
      <w:widowControl/>
      <w:numPr>
        <w:ilvl w:val="0"/>
        <w:numId w:val="0"/>
      </w:numPr>
      <w:spacing w:before="480" w:line="276" w:lineRule="auto"/>
      <w:jc w:val="left"/>
      <w:outlineLvl w:val="9"/>
    </w:pPr>
    <w:rPr>
      <w:rFonts w:ascii="Cambria" w:hAnsi="Cambria" w:eastAsia="宋体"/>
      <w:b/>
      <w:bCs/>
      <w:color w:val="365F91"/>
      <w:kern w:val="0"/>
      <w:szCs w:val="28"/>
    </w:rPr>
  </w:style>
  <w:style w:type="paragraph" w:customStyle="1" w:styleId="387">
    <w:name w:val="二级条标题"/>
    <w:basedOn w:val="301"/>
    <w:next w:val="1"/>
    <w:uiPriority w:val="0"/>
    <w:pPr>
      <w:ind w:left="735"/>
      <w:outlineLvl w:val="3"/>
    </w:pPr>
  </w:style>
  <w:style w:type="paragraph" w:customStyle="1" w:styleId="388">
    <w:name w:val="二级无标题条"/>
    <w:basedOn w:val="1"/>
    <w:uiPriority w:val="0"/>
  </w:style>
  <w:style w:type="paragraph" w:customStyle="1" w:styleId="389">
    <w:name w:val="xl28"/>
    <w:basedOn w:val="1"/>
    <w:uiPriority w:val="0"/>
    <w:pPr>
      <w:widowControl/>
      <w:spacing w:before="100" w:beforeAutospacing="1" w:after="100" w:afterAutospacing="1"/>
      <w:jc w:val="left"/>
    </w:pPr>
    <w:rPr>
      <w:rFonts w:ascii="宋体" w:hAnsi="宋体" w:cs="宋体"/>
      <w:kern w:val="0"/>
      <w:sz w:val="24"/>
    </w:rPr>
  </w:style>
  <w:style w:type="paragraph" w:customStyle="1" w:styleId="390">
    <w:name w:val="font10"/>
    <w:basedOn w:val="1"/>
    <w:uiPriority w:val="0"/>
    <w:pPr>
      <w:widowControl/>
      <w:spacing w:before="100" w:beforeAutospacing="1" w:after="100" w:afterAutospacing="1"/>
      <w:jc w:val="left"/>
    </w:pPr>
    <w:rPr>
      <w:rFonts w:ascii="宋体" w:hAnsi="宋体" w:cs="宋体"/>
      <w:b/>
      <w:bCs/>
      <w:color w:val="000000"/>
      <w:kern w:val="0"/>
      <w:sz w:val="24"/>
    </w:rPr>
  </w:style>
  <w:style w:type="paragraph" w:customStyle="1" w:styleId="391">
    <w:name w:val="样式 居中 首行缩进:  0 厘米"/>
    <w:basedOn w:val="1"/>
    <w:uiPriority w:val="0"/>
    <w:pPr>
      <w:adjustRightInd w:val="0"/>
      <w:snapToGrid w:val="0"/>
      <w:spacing w:line="500" w:lineRule="exact"/>
      <w:jc w:val="center"/>
    </w:pPr>
    <w:rPr>
      <w:rFonts w:ascii="宋体" w:hAnsi="宋体" w:cs="宋体"/>
      <w:sz w:val="28"/>
      <w:szCs w:val="20"/>
    </w:rPr>
  </w:style>
  <w:style w:type="paragraph" w:customStyle="1" w:styleId="392">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393">
    <w:name w:val="样式 样式 标题 3 + 段前: 0.5 行 + 段前: 0.5 行"/>
    <w:basedOn w:val="1"/>
    <w:uiPriority w:val="0"/>
    <w:pPr>
      <w:keepNext/>
      <w:keepLines/>
      <w:spacing w:before="50" w:beforeLines="50" w:line="360" w:lineRule="auto"/>
      <w:jc w:val="left"/>
      <w:outlineLvl w:val="2"/>
    </w:pPr>
    <w:rPr>
      <w:rFonts w:ascii="Arial" w:hAnsi="Arial" w:cs="宋体"/>
      <w:b/>
      <w:bCs/>
      <w:kern w:val="44"/>
      <w:sz w:val="28"/>
      <w:szCs w:val="28"/>
    </w:rPr>
  </w:style>
  <w:style w:type="paragraph" w:customStyle="1" w:styleId="394">
    <w:name w:val="xl50"/>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95">
    <w:name w:val="表格文字5号"/>
    <w:basedOn w:val="1"/>
    <w:uiPriority w:val="0"/>
    <w:pPr>
      <w:spacing w:line="280" w:lineRule="exact"/>
      <w:ind w:firstLine="200" w:firstLineChars="200"/>
      <w:jc w:val="center"/>
    </w:pPr>
    <w:rPr>
      <w:rFonts w:ascii="仿宋_GB2312" w:eastAsia="仿宋_GB2312"/>
    </w:rPr>
  </w:style>
  <w:style w:type="paragraph" w:customStyle="1" w:styleId="396">
    <w:name w:val="样式4"/>
    <w:basedOn w:val="1"/>
    <w:uiPriority w:val="0"/>
    <w:pPr>
      <w:tabs>
        <w:tab w:val="left" w:pos="9128"/>
      </w:tabs>
      <w:adjustRightInd w:val="0"/>
      <w:snapToGrid w:val="0"/>
      <w:spacing w:line="500" w:lineRule="exact"/>
      <w:jc w:val="center"/>
    </w:pPr>
    <w:rPr>
      <w:szCs w:val="20"/>
    </w:rPr>
  </w:style>
  <w:style w:type="paragraph" w:customStyle="1" w:styleId="397">
    <w:name w:val="样式 样式 表格 + 居中 + 两端对齐 首行缩进:  2 字符"/>
    <w:basedOn w:val="269"/>
    <w:uiPriority w:val="0"/>
    <w:pPr>
      <w:ind w:firstLine="0" w:firstLineChars="0"/>
      <w:jc w:val="both"/>
    </w:pPr>
    <w:rPr>
      <w:rFonts w:cs="宋体"/>
      <w:szCs w:val="20"/>
    </w:rPr>
  </w:style>
  <w:style w:type="paragraph" w:customStyle="1" w:styleId="398">
    <w:name w:val="报告"/>
    <w:basedOn w:val="1"/>
    <w:uiPriority w:val="0"/>
    <w:pPr>
      <w:autoSpaceDE w:val="0"/>
      <w:autoSpaceDN w:val="0"/>
      <w:adjustRightInd w:val="0"/>
      <w:spacing w:line="360" w:lineRule="auto"/>
      <w:ind w:firstLine="505"/>
      <w:jc w:val="left"/>
      <w:textAlignment w:val="baseline"/>
    </w:pPr>
    <w:rPr>
      <w:kern w:val="0"/>
      <w:sz w:val="24"/>
      <w:szCs w:val="20"/>
    </w:rPr>
  </w:style>
  <w:style w:type="paragraph" w:customStyle="1" w:styleId="399">
    <w:name w:val="表格体"/>
    <w:basedOn w:val="1"/>
    <w:uiPriority w:val="0"/>
    <w:pPr>
      <w:adjustRightInd w:val="0"/>
      <w:snapToGrid w:val="0"/>
      <w:jc w:val="center"/>
    </w:pPr>
    <w:rPr>
      <w:bCs/>
    </w:rPr>
  </w:style>
  <w:style w:type="paragraph" w:customStyle="1" w:styleId="400">
    <w:name w:val="默认段落字体 Para Char Char Char Char"/>
    <w:basedOn w:val="1"/>
    <w:uiPriority w:val="0"/>
    <w:rPr>
      <w:spacing w:val="-2"/>
      <w:kern w:val="0"/>
      <w:sz w:val="24"/>
    </w:rPr>
  </w:style>
  <w:style w:type="paragraph" w:customStyle="1" w:styleId="401">
    <w:name w:val="样式 标题 4 + 黑色 首行缩进:  2 字符 段前: 7.5 磅 行距: 固定值 23 磅1"/>
    <w:basedOn w:val="6"/>
    <w:uiPriority w:val="0"/>
    <w:pPr>
      <w:keepNext/>
      <w:keepLines/>
      <w:tabs>
        <w:tab w:val="clear" w:pos="1440"/>
      </w:tabs>
      <w:autoSpaceDE w:val="0"/>
      <w:autoSpaceDN w:val="0"/>
      <w:adjustRightInd w:val="0"/>
      <w:snapToGrid/>
      <w:spacing w:before="100" w:beforeAutospacing="1" w:after="290" w:line="440" w:lineRule="exact"/>
      <w:ind w:left="0" w:firstLine="480" w:firstLineChars="200"/>
    </w:pPr>
    <w:rPr>
      <w:rFonts w:eastAsia="黑体"/>
      <w:bCs/>
      <w:sz w:val="24"/>
    </w:rPr>
  </w:style>
  <w:style w:type="paragraph" w:customStyle="1" w:styleId="402">
    <w:name w:val="样式 标题 2 + 宋体 四号 首行缩进:  0.99 厘米"/>
    <w:basedOn w:val="4"/>
    <w:next w:val="1"/>
    <w:semiHidden/>
    <w:uiPriority w:val="0"/>
    <w:pPr>
      <w:keepLines/>
      <w:numPr>
        <w:ilvl w:val="0"/>
        <w:numId w:val="0"/>
      </w:numPr>
      <w:tabs>
        <w:tab w:val="left" w:pos="210"/>
      </w:tabs>
      <w:spacing w:before="120" w:after="120" w:line="500" w:lineRule="exact"/>
      <w:ind w:firstLine="561" w:firstLineChars="200"/>
      <w:jc w:val="both"/>
    </w:pPr>
    <w:rPr>
      <w:rFonts w:ascii="宋体" w:hAnsi="宋体"/>
      <w:bCs w:val="0"/>
      <w:sz w:val="28"/>
      <w:szCs w:val="28"/>
    </w:rPr>
  </w:style>
  <w:style w:type="paragraph" w:customStyle="1" w:styleId="403">
    <w:name w:val="样式"/>
    <w:basedOn w:val="1"/>
    <w:next w:val="41"/>
    <w:uiPriority w:val="0"/>
    <w:rPr>
      <w:rFonts w:ascii="宋体" w:hAnsi="Courier New" w:cs="宋体"/>
      <w:szCs w:val="21"/>
    </w:rPr>
  </w:style>
  <w:style w:type="paragraph" w:customStyle="1" w:styleId="404">
    <w:name w:val="默认段落字体 Para"/>
    <w:basedOn w:val="1"/>
    <w:uiPriority w:val="0"/>
  </w:style>
  <w:style w:type="paragraph" w:customStyle="1" w:styleId="405">
    <w:name w:val="表中"/>
    <w:uiPriority w:val="0"/>
    <w:pPr>
      <w:spacing w:line="280" w:lineRule="exact"/>
      <w:jc w:val="center"/>
    </w:pPr>
    <w:rPr>
      <w:rFonts w:ascii="宋体" w:hAnsi="Batang"/>
      <w:sz w:val="18"/>
      <w:lang w:val="en-US" w:eastAsia="zh-CN" w:bidi="ar-SA"/>
    </w:rPr>
  </w:style>
  <w:style w:type="paragraph" w:customStyle="1" w:styleId="406">
    <w:name w:val="样式 表头 + 首行缩进:  0.97 厘米"/>
    <w:basedOn w:val="59"/>
    <w:uiPriority w:val="0"/>
    <w:pPr>
      <w:keepNext/>
      <w:ind w:left="0" w:firstLine="0" w:firstLineChars="0"/>
      <w:jc w:val="center"/>
    </w:pPr>
    <w:rPr>
      <w:rFonts w:ascii="黑体" w:eastAsia="黑体" w:cs="宋体"/>
      <w:sz w:val="28"/>
      <w:szCs w:val="20"/>
    </w:rPr>
  </w:style>
  <w:style w:type="paragraph" w:customStyle="1" w:styleId="407">
    <w:name w:val="文本"/>
    <w:basedOn w:val="1"/>
    <w:uiPriority w:val="0"/>
    <w:pPr>
      <w:spacing w:before="20" w:beforeLines="20" w:line="460" w:lineRule="exact"/>
      <w:ind w:firstLine="561"/>
    </w:pPr>
    <w:rPr>
      <w:sz w:val="28"/>
      <w:szCs w:val="28"/>
    </w:rPr>
  </w:style>
  <w:style w:type="paragraph" w:customStyle="1" w:styleId="408">
    <w:name w:val="样式8"/>
    <w:basedOn w:val="1"/>
    <w:uiPriority w:val="0"/>
    <w:pPr>
      <w:ind w:firstLine="499"/>
    </w:pPr>
    <w:rPr>
      <w:rFonts w:ascii="宋体"/>
      <w:color w:val="000000"/>
      <w:sz w:val="28"/>
      <w:szCs w:val="20"/>
    </w:rPr>
  </w:style>
  <w:style w:type="paragraph" w:customStyle="1" w:styleId="409">
    <w:name w:val="日期1"/>
    <w:basedOn w:val="1"/>
    <w:next w:val="1"/>
    <w:uiPriority w:val="0"/>
    <w:pPr>
      <w:adjustRightInd w:val="0"/>
      <w:textAlignment w:val="baseline"/>
    </w:pPr>
    <w:rPr>
      <w:szCs w:val="20"/>
    </w:rPr>
  </w:style>
  <w:style w:type="paragraph" w:customStyle="1" w:styleId="410">
    <w:name w:val="xl39"/>
    <w:basedOn w:val="1"/>
    <w:uiPriority w:val="0"/>
    <w:pPr>
      <w:widowControl/>
      <w:spacing w:before="100" w:beforeAutospacing="1" w:after="100" w:afterAutospacing="1"/>
      <w:jc w:val="left"/>
    </w:pPr>
    <w:rPr>
      <w:rFonts w:ascii="宋体" w:hAnsi="宋体" w:cs="宋体"/>
      <w:color w:val="808080"/>
      <w:kern w:val="0"/>
      <w:sz w:val="24"/>
    </w:rPr>
  </w:style>
  <w:style w:type="paragraph" w:customStyle="1" w:styleId="411">
    <w:name w:val="1 Char Char Char Char Char Char Char"/>
    <w:basedOn w:val="1"/>
    <w:uiPriority w:val="0"/>
  </w:style>
  <w:style w:type="paragraph" w:customStyle="1" w:styleId="412">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413">
    <w:name w:val="大标题"/>
    <w:basedOn w:val="1"/>
    <w:uiPriority w:val="0"/>
    <w:pPr>
      <w:spacing w:line="500" w:lineRule="exact"/>
      <w:jc w:val="left"/>
    </w:pPr>
    <w:rPr>
      <w:sz w:val="28"/>
      <w:szCs w:val="28"/>
    </w:rPr>
  </w:style>
  <w:style w:type="paragraph" w:customStyle="1" w:styleId="41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szCs w:val="20"/>
    </w:rPr>
  </w:style>
  <w:style w:type="paragraph" w:customStyle="1" w:styleId="415">
    <w:name w:val="样式 表头 + 首行缩进:  2 字符"/>
    <w:basedOn w:val="59"/>
    <w:uiPriority w:val="0"/>
    <w:pPr>
      <w:keepNext/>
      <w:ind w:left="0" w:firstLine="0" w:firstLineChars="0"/>
      <w:jc w:val="center"/>
    </w:pPr>
    <w:rPr>
      <w:rFonts w:ascii="黑体" w:eastAsia="黑体" w:cs="宋体"/>
      <w:sz w:val="28"/>
      <w:szCs w:val="20"/>
    </w:rPr>
  </w:style>
  <w:style w:type="paragraph" w:customStyle="1" w:styleId="416">
    <w:name w:val="1表格头"/>
    <w:basedOn w:val="351"/>
    <w:uiPriority w:val="0"/>
    <w:pPr>
      <w:jc w:val="both"/>
    </w:pPr>
    <w:rPr>
      <w:rFonts w:eastAsia="宋体"/>
      <w:b/>
      <w:color w:val="000000"/>
      <w:sz w:val="24"/>
      <w:szCs w:val="24"/>
    </w:rPr>
  </w:style>
  <w:style w:type="paragraph" w:customStyle="1" w:styleId="417">
    <w:name w:val="正"/>
    <w:basedOn w:val="19"/>
    <w:link w:val="708"/>
    <w:uiPriority w:val="0"/>
    <w:pPr>
      <w:topLinePunct/>
      <w:autoSpaceDE w:val="0"/>
      <w:autoSpaceDN w:val="0"/>
      <w:adjustRightInd w:val="0"/>
      <w:snapToGrid w:val="0"/>
      <w:spacing w:line="500" w:lineRule="exact"/>
      <w:ind w:firstLine="560"/>
    </w:pPr>
    <w:rPr>
      <w:szCs w:val="28"/>
      <w:lang w:val="zh-CN"/>
    </w:rPr>
  </w:style>
  <w:style w:type="paragraph" w:customStyle="1" w:styleId="418">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4"/>
      <w:szCs w:val="20"/>
    </w:rPr>
  </w:style>
  <w:style w:type="paragraph" w:customStyle="1" w:styleId="419">
    <w:name w:val="前言、引言标题"/>
    <w:next w:val="1"/>
    <w:uiPriority w:val="0"/>
    <w:pPr>
      <w:shd w:val="clear" w:color="FFFFFF" w:fill="FFFFFF"/>
      <w:tabs>
        <w:tab w:val="left" w:pos="360"/>
        <w:tab w:val="left" w:pos="476"/>
      </w:tabs>
      <w:spacing w:before="640" w:after="560"/>
      <w:ind w:firstLine="476"/>
      <w:jc w:val="center"/>
      <w:outlineLvl w:val="0"/>
    </w:pPr>
    <w:rPr>
      <w:rFonts w:ascii="黑体" w:eastAsia="黑体"/>
      <w:sz w:val="32"/>
      <w:lang w:val="en-US" w:eastAsia="zh-CN" w:bidi="ar-SA"/>
    </w:rPr>
  </w:style>
  <w:style w:type="paragraph" w:customStyle="1" w:styleId="420">
    <w:name w:val="目录4"/>
    <w:basedOn w:val="1"/>
    <w:next w:val="1"/>
    <w:uiPriority w:val="0"/>
    <w:pPr>
      <w:widowControl/>
      <w:tabs>
        <w:tab w:val="left" w:leader="dot" w:pos="8503"/>
      </w:tabs>
      <w:spacing w:line="317" w:lineRule="atLeast"/>
      <w:ind w:firstLine="629"/>
      <w:textAlignment w:val="baseline"/>
    </w:pPr>
    <w:rPr>
      <w:color w:val="000000"/>
      <w:kern w:val="0"/>
      <w:szCs w:val="20"/>
      <w:u w:val="none" w:color="000000"/>
    </w:rPr>
  </w:style>
  <w:style w:type="paragraph" w:customStyle="1" w:styleId="421">
    <w:name w:val="标题  3"/>
    <w:basedOn w:val="5"/>
    <w:uiPriority w:val="0"/>
    <w:pPr>
      <w:keepNext w:val="0"/>
      <w:keepLines w:val="0"/>
      <w:tabs>
        <w:tab w:val="left" w:pos="0"/>
      </w:tabs>
      <w:adjustRightInd w:val="0"/>
      <w:snapToGrid w:val="0"/>
      <w:spacing w:before="0" w:after="0" w:line="360" w:lineRule="auto"/>
      <w:ind w:firstLine="564" w:firstLineChars="200"/>
      <w:jc w:val="left"/>
    </w:pPr>
    <w:rPr>
      <w:rFonts w:eastAsia="黑体" w:cs="宋体"/>
      <w:kern w:val="0"/>
      <w:sz w:val="28"/>
      <w:szCs w:val="20"/>
    </w:rPr>
  </w:style>
  <w:style w:type="paragraph" w:customStyle="1" w:styleId="422">
    <w:name w:val="目录标题"/>
    <w:basedOn w:val="1"/>
    <w:next w:val="1"/>
    <w:uiPriority w:val="0"/>
    <w:pPr>
      <w:widowControl/>
      <w:spacing w:before="566" w:after="544" w:line="566" w:lineRule="atLeast"/>
      <w:ind w:firstLine="419"/>
      <w:jc w:val="center"/>
      <w:textAlignment w:val="baseline"/>
    </w:pPr>
    <w:rPr>
      <w:rFonts w:ascii="Arial" w:eastAsia="黑体"/>
      <w:color w:val="000000"/>
      <w:spacing w:val="566"/>
      <w:kern w:val="0"/>
      <w:sz w:val="54"/>
      <w:szCs w:val="20"/>
      <w:u w:val="none" w:color="000000"/>
    </w:rPr>
  </w:style>
  <w:style w:type="paragraph" w:customStyle="1" w:styleId="423">
    <w:name w:val="Char Char Char Char Char Char Char Char Char"/>
    <w:basedOn w:val="1"/>
    <w:uiPriority w:val="0"/>
    <w:rPr>
      <w:rFonts w:ascii="宋体" w:hAnsi="Tahoma" w:cs="Tahoma"/>
      <w:sz w:val="20"/>
      <w:szCs w:val="20"/>
    </w:rPr>
  </w:style>
  <w:style w:type="paragraph" w:customStyle="1" w:styleId="424">
    <w:name w:val="5设计人员"/>
    <w:basedOn w:val="1"/>
    <w:uiPriority w:val="0"/>
    <w:pPr>
      <w:spacing w:line="480" w:lineRule="exact"/>
      <w:jc w:val="center"/>
    </w:pPr>
    <w:rPr>
      <w:sz w:val="28"/>
    </w:rPr>
  </w:style>
  <w:style w:type="paragraph" w:customStyle="1" w:styleId="425">
    <w:name w:val="表小5"/>
    <w:basedOn w:val="1"/>
    <w:uiPriority w:val="0"/>
    <w:pPr>
      <w:tabs>
        <w:tab w:val="left" w:pos="0"/>
        <w:tab w:val="left" w:pos="2619"/>
      </w:tabs>
      <w:snapToGrid w:val="0"/>
      <w:jc w:val="center"/>
    </w:pPr>
    <w:rPr>
      <w:rFonts w:hAnsi="宋体"/>
      <w:spacing w:val="6"/>
      <w:szCs w:val="20"/>
    </w:rPr>
  </w:style>
  <w:style w:type="paragraph" w:customStyle="1" w:styleId="426">
    <w:name w:val="默认段落字体 Para Char Char Char Char Char"/>
    <w:basedOn w:val="1"/>
    <w:uiPriority w:val="0"/>
    <w:rPr>
      <w:szCs w:val="20"/>
    </w:rPr>
  </w:style>
  <w:style w:type="paragraph" w:customStyle="1" w:styleId="427">
    <w:name w:val="样式 目录 1 级别1"/>
    <w:basedOn w:val="1"/>
    <w:next w:val="1"/>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cs="宋体"/>
      <w:b/>
      <w:bCs/>
      <w:sz w:val="24"/>
      <w:szCs w:val="28"/>
    </w:rPr>
  </w:style>
  <w:style w:type="paragraph" w:customStyle="1" w:styleId="428">
    <w:name w:val="环保篇"/>
    <w:basedOn w:val="1"/>
    <w:uiPriority w:val="0"/>
    <w:pPr>
      <w:tabs>
        <w:tab w:val="left" w:pos="360"/>
      </w:tabs>
      <w:adjustRightInd w:val="0"/>
      <w:spacing w:line="360" w:lineRule="auto"/>
      <w:textAlignment w:val="baseline"/>
    </w:pPr>
    <w:rPr>
      <w:sz w:val="28"/>
      <w:szCs w:val="20"/>
    </w:rPr>
  </w:style>
  <w:style w:type="paragraph" w:customStyle="1" w:styleId="429">
    <w:name w:val="样式 标题 1 + 小四"/>
    <w:basedOn w:val="3"/>
    <w:uiPriority w:val="0"/>
    <w:pPr>
      <w:keepNext w:val="0"/>
      <w:keepLines/>
      <w:pageBreakBefore/>
      <w:numPr>
        <w:ilvl w:val="0"/>
        <w:numId w:val="0"/>
      </w:numPr>
      <w:spacing w:before="120" w:after="120" w:line="360" w:lineRule="auto"/>
      <w:jc w:val="center"/>
    </w:pPr>
    <w:rPr>
      <w:rFonts w:eastAsia="宋体"/>
      <w:b/>
      <w:bCs/>
      <w:spacing w:val="20"/>
      <w:kern w:val="28"/>
      <w:szCs w:val="32"/>
    </w:rPr>
  </w:style>
  <w:style w:type="paragraph" w:customStyle="1" w:styleId="430">
    <w:name w:val="样式 标题 2节标题 1.11.1标题2SeBSH-2h2l22nd levelTitre22Header ..."/>
    <w:basedOn w:val="4"/>
    <w:link w:val="612"/>
    <w:uiPriority w:val="0"/>
    <w:pPr>
      <w:keepLines/>
      <w:numPr>
        <w:ilvl w:val="0"/>
        <w:numId w:val="0"/>
      </w:numPr>
      <w:spacing w:before="260" w:after="260" w:line="415" w:lineRule="auto"/>
      <w:jc w:val="both"/>
    </w:pPr>
    <w:rPr>
      <w:rFonts w:ascii="宋体" w:hAnsi="宋体" w:eastAsia="黑体"/>
      <w:b w:val="0"/>
      <w:sz w:val="24"/>
      <w:szCs w:val="32"/>
    </w:rPr>
  </w:style>
  <w:style w:type="paragraph" w:customStyle="1" w:styleId="431">
    <w:name w:val="表名"/>
    <w:basedOn w:val="1"/>
    <w:uiPriority w:val="0"/>
    <w:pPr>
      <w:overflowPunct w:val="0"/>
      <w:topLinePunct/>
      <w:adjustRightInd w:val="0"/>
      <w:snapToGrid w:val="0"/>
      <w:spacing w:beforeLines="50"/>
      <w:ind w:firstLine="413" w:firstLineChars="196"/>
      <w:outlineLvl w:val="4"/>
    </w:pPr>
    <w:rPr>
      <w:rFonts w:ascii="宋体" w:hAnsi="宋体"/>
      <w:b/>
      <w:color w:val="0000FF"/>
      <w:kern w:val="10"/>
      <w:szCs w:val="21"/>
      <w:lang w:val="zh-CN"/>
    </w:rPr>
  </w:style>
  <w:style w:type="paragraph" w:customStyle="1" w:styleId="432">
    <w:name w:val="报告表格"/>
    <w:basedOn w:val="1"/>
    <w:uiPriority w:val="0"/>
    <w:pPr>
      <w:autoSpaceDE w:val="0"/>
      <w:autoSpaceDN w:val="0"/>
      <w:adjustRightInd w:val="0"/>
      <w:spacing w:before="40" w:after="40"/>
      <w:jc w:val="center"/>
      <w:textAlignment w:val="baseline"/>
    </w:pPr>
    <w:rPr>
      <w:kern w:val="0"/>
      <w:szCs w:val="20"/>
    </w:rPr>
  </w:style>
  <w:style w:type="paragraph" w:customStyle="1" w:styleId="433">
    <w:name w:val="Char Char Char Char Char Char Char Char Char Char Char Char Char Char Char Char Char Char Char Char Char"/>
    <w:basedOn w:val="1"/>
    <w:uiPriority w:val="0"/>
  </w:style>
  <w:style w:type="paragraph" w:customStyle="1" w:styleId="434">
    <w:name w:val="表头-"/>
    <w:basedOn w:val="1"/>
    <w:qFormat/>
    <w:uiPriority w:val="0"/>
    <w:pPr>
      <w:jc w:val="center"/>
    </w:pPr>
    <w:rPr>
      <w:rFonts w:ascii="Cambria" w:hAnsi="Cambria" w:eastAsia="仿宋"/>
      <w:b/>
      <w:szCs w:val="20"/>
    </w:rPr>
  </w:style>
  <w:style w:type="paragraph" w:customStyle="1" w:styleId="435">
    <w:name w:val="样式 引文目录标题 + 宋体 段前: 0 磅"/>
    <w:basedOn w:val="25"/>
    <w:uiPriority w:val="0"/>
    <w:pPr>
      <w:spacing w:before="0"/>
    </w:pPr>
    <w:rPr>
      <w:rFonts w:ascii="宋体" w:hAnsi="宋体" w:cs="宋体"/>
      <w:szCs w:val="20"/>
    </w:rPr>
  </w:style>
  <w:style w:type="paragraph" w:customStyle="1" w:styleId="436">
    <w:name w:val="方程式"/>
    <w:basedOn w:val="1"/>
    <w:uiPriority w:val="0"/>
    <w:pPr>
      <w:overflowPunct w:val="0"/>
      <w:autoSpaceDE w:val="0"/>
      <w:autoSpaceDN w:val="0"/>
      <w:adjustRightInd w:val="0"/>
      <w:spacing w:before="60" w:after="60" w:line="340" w:lineRule="exact"/>
      <w:jc w:val="left"/>
      <w:textAlignment w:val="bottom"/>
    </w:pPr>
    <w:rPr>
      <w:rFonts w:ascii="宋体"/>
      <w:kern w:val="0"/>
      <w:sz w:val="24"/>
      <w:szCs w:val="20"/>
    </w:rPr>
  </w:style>
  <w:style w:type="paragraph" w:customStyle="1" w:styleId="437">
    <w:name w:val="正文缩进2222"/>
    <w:basedOn w:val="1"/>
    <w:link w:val="561"/>
    <w:uiPriority w:val="0"/>
    <w:pPr>
      <w:spacing w:line="360" w:lineRule="auto"/>
      <w:ind w:firstLine="480" w:firstLineChars="200"/>
    </w:pPr>
    <w:rPr>
      <w:rFonts w:cs="宋体"/>
      <w:sz w:val="24"/>
      <w:szCs w:val="20"/>
    </w:rPr>
  </w:style>
  <w:style w:type="paragraph" w:styleId="438">
    <w:name w:val="Quote"/>
    <w:basedOn w:val="1"/>
    <w:next w:val="1"/>
    <w:link w:val="629"/>
    <w:qFormat/>
    <w:uiPriority w:val="0"/>
    <w:pPr>
      <w:widowControl/>
      <w:jc w:val="left"/>
    </w:pPr>
    <w:rPr>
      <w:rFonts w:ascii="Calibri" w:hAnsi="Calibri"/>
      <w:i/>
      <w:kern w:val="0"/>
      <w:sz w:val="24"/>
      <w:lang w:eastAsia="en-US" w:bidi="en-US"/>
    </w:rPr>
  </w:style>
  <w:style w:type="paragraph" w:customStyle="1" w:styleId="439">
    <w:name w:val="xl3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40">
    <w:name w:val="小四表文左齐"/>
    <w:basedOn w:val="1"/>
    <w:uiPriority w:val="0"/>
    <w:pPr>
      <w:jc w:val="center"/>
    </w:pPr>
    <w:rPr>
      <w:rFonts w:ascii="宋体" w:hAnsi="宋体"/>
      <w:sz w:val="15"/>
      <w:szCs w:val="20"/>
    </w:rPr>
  </w:style>
  <w:style w:type="paragraph" w:customStyle="1" w:styleId="441">
    <w:name w:val="参考文献"/>
    <w:basedOn w:val="1"/>
    <w:uiPriority w:val="0"/>
    <w:pPr>
      <w:widowControl/>
      <w:autoSpaceDE w:val="0"/>
      <w:autoSpaceDN w:val="0"/>
      <w:adjustRightInd w:val="0"/>
      <w:spacing w:line="318" w:lineRule="atLeast"/>
      <w:ind w:firstLine="200" w:firstLineChars="200"/>
      <w:textAlignment w:val="bottom"/>
    </w:pPr>
    <w:rPr>
      <w:rFonts w:eastAsia="仿宋_GB2312"/>
      <w:kern w:val="0"/>
      <w:szCs w:val="20"/>
    </w:rPr>
  </w:style>
  <w:style w:type="paragraph" w:customStyle="1" w:styleId="442">
    <w:name w:val="1文章"/>
    <w:basedOn w:val="1"/>
    <w:uiPriority w:val="0"/>
    <w:pPr>
      <w:snapToGrid w:val="0"/>
      <w:spacing w:line="360" w:lineRule="auto"/>
      <w:ind w:firstLine="573"/>
    </w:pPr>
    <w:rPr>
      <w:rFonts w:eastAsia="仿宋_GB2312"/>
      <w:sz w:val="28"/>
      <w:szCs w:val="20"/>
    </w:rPr>
  </w:style>
  <w:style w:type="paragraph" w:customStyle="1" w:styleId="443">
    <w:name w:val=" Char Char Char Char Char Char"/>
    <w:basedOn w:val="1"/>
    <w:unhideWhenUsed/>
    <w:uiPriority w:val="0"/>
    <w:rPr>
      <w:rFonts w:hint="eastAsia"/>
      <w:szCs w:val="20"/>
    </w:rPr>
  </w:style>
  <w:style w:type="paragraph" w:customStyle="1" w:styleId="444">
    <w:name w:val="111"/>
    <w:basedOn w:val="6"/>
    <w:next w:val="1"/>
    <w:uiPriority w:val="0"/>
    <w:pPr>
      <w:keepNext/>
      <w:keepLines/>
      <w:tabs>
        <w:tab w:val="left" w:pos="2880"/>
        <w:tab w:val="clear" w:pos="1440"/>
      </w:tabs>
      <w:snapToGrid/>
      <w:spacing w:before="280" w:after="290" w:line="376" w:lineRule="auto"/>
      <w:ind w:left="2880" w:hanging="360"/>
    </w:pPr>
    <w:rPr>
      <w:rFonts w:ascii="Arial" w:hAnsi="Arial" w:eastAsia="黑体"/>
      <w:b/>
      <w:sz w:val="28"/>
    </w:rPr>
  </w:style>
  <w:style w:type="paragraph" w:customStyle="1" w:styleId="445">
    <w:name w:val="样式 标题 1 + 仿宋 加粗 居中 行距: 1.5 倍行距"/>
    <w:basedOn w:val="3"/>
    <w:uiPriority w:val="0"/>
    <w:pPr>
      <w:keepNext w:val="0"/>
      <w:numPr>
        <w:ilvl w:val="0"/>
        <w:numId w:val="0"/>
      </w:numPr>
      <w:autoSpaceDE w:val="0"/>
      <w:autoSpaceDN w:val="0"/>
      <w:adjustRightInd w:val="0"/>
      <w:spacing w:line="360" w:lineRule="auto"/>
      <w:jc w:val="center"/>
    </w:pPr>
    <w:rPr>
      <w:rFonts w:ascii="仿宋" w:hAnsi="仿宋" w:eastAsia="仿宋" w:cs="仿宋"/>
      <w:b/>
      <w:bCs/>
      <w:kern w:val="0"/>
      <w:sz w:val="36"/>
      <w:szCs w:val="36"/>
      <w:lang w:val="zh-CN"/>
    </w:rPr>
  </w:style>
  <w:style w:type="paragraph" w:customStyle="1" w:styleId="446">
    <w:name w:val="样式 样式 仿宋_GB2312 小四 行距: 1.5 倍行距 + 首行缩进:  2 字符"/>
    <w:basedOn w:val="1"/>
    <w:qFormat/>
    <w:uiPriority w:val="0"/>
    <w:pPr>
      <w:spacing w:line="360" w:lineRule="auto"/>
      <w:ind w:firstLine="200" w:firstLineChars="200"/>
      <w:jc w:val="left"/>
    </w:pPr>
    <w:rPr>
      <w:rFonts w:ascii="仿宋_GB2312"/>
      <w:sz w:val="28"/>
      <w:szCs w:val="20"/>
    </w:rPr>
  </w:style>
  <w:style w:type="paragraph" w:styleId="447">
    <w:name w:val="List Paragraph"/>
    <w:basedOn w:val="1"/>
    <w:qFormat/>
    <w:uiPriority w:val="34"/>
    <w:pPr>
      <w:ind w:firstLine="200" w:firstLineChars="200"/>
      <w:contextualSpacing/>
    </w:pPr>
    <w:rPr>
      <w:rFonts w:ascii="Arial" w:hAnsi="Arial"/>
      <w:color w:val="000000"/>
      <w:sz w:val="28"/>
      <w:szCs w:val="32"/>
    </w:rPr>
  </w:style>
  <w:style w:type="paragraph" w:customStyle="1" w:styleId="448">
    <w:name w:val="xl40"/>
    <w:basedOn w:val="1"/>
    <w:uiPriority w:val="0"/>
    <w:pPr>
      <w:widowControl/>
      <w:spacing w:before="100" w:beforeAutospacing="1" w:after="100" w:afterAutospacing="1"/>
      <w:jc w:val="left"/>
    </w:pPr>
    <w:rPr>
      <w:rFonts w:ascii="宋体" w:hAnsi="宋体" w:cs="宋体"/>
      <w:color w:val="808080"/>
      <w:kern w:val="0"/>
      <w:sz w:val="24"/>
    </w:rPr>
  </w:style>
  <w:style w:type="paragraph" w:customStyle="1" w:styleId="449">
    <w:name w:val=" Char1 Char Char Char"/>
    <w:basedOn w:val="1"/>
    <w:uiPriority w:val="0"/>
    <w:pPr>
      <w:widowControl/>
      <w:jc w:val="left"/>
    </w:pPr>
    <w:rPr>
      <w:kern w:val="0"/>
      <w:sz w:val="20"/>
      <w:szCs w:val="20"/>
      <w:lang/>
    </w:rPr>
  </w:style>
  <w:style w:type="paragraph" w:customStyle="1" w:styleId="450">
    <w:name w:val="Body Text 22"/>
    <w:basedOn w:val="1"/>
    <w:qFormat/>
    <w:uiPriority w:val="0"/>
    <w:pPr>
      <w:widowControl w:val="0"/>
      <w:adjustRightInd w:val="0"/>
      <w:spacing w:line="440" w:lineRule="atLeast"/>
      <w:ind w:firstLine="480" w:firstLineChars="0"/>
      <w:jc w:val="both"/>
      <w:textAlignment w:val="baseline"/>
    </w:pPr>
    <w:rPr>
      <w:rFonts w:eastAsia="仿宋_GB2312"/>
      <w:szCs w:val="20"/>
    </w:rPr>
  </w:style>
  <w:style w:type="paragraph" w:customStyle="1" w:styleId="451">
    <w:name w:val="样式2"/>
    <w:basedOn w:val="19"/>
    <w:next w:val="25"/>
    <w:uiPriority w:val="0"/>
    <w:pPr>
      <w:tabs>
        <w:tab w:val="left" w:pos="1960"/>
      </w:tabs>
      <w:spacing w:line="360" w:lineRule="auto"/>
      <w:ind w:firstLine="0" w:firstLineChars="0"/>
      <w:outlineLvl w:val="0"/>
    </w:pPr>
    <w:rPr>
      <w:rFonts w:ascii="Times New Roman" w:hAnsi="Times New Roman"/>
    </w:rPr>
  </w:style>
  <w:style w:type="paragraph" w:customStyle="1" w:styleId="452">
    <w:name w:val="样式 标题 3标题3小标题1.1.1标题 3 + 段后: 4 磅"/>
    <w:basedOn w:val="5"/>
    <w:uiPriority w:val="0"/>
    <w:pPr>
      <w:widowControl/>
      <w:numPr>
        <w:ilvl w:val="2"/>
        <w:numId w:val="0"/>
      </w:numPr>
      <w:spacing w:before="0" w:after="80" w:line="360" w:lineRule="auto"/>
      <w:jc w:val="left"/>
    </w:pPr>
    <w:rPr>
      <w:rFonts w:eastAsia="黑体" w:cs="宋体"/>
      <w:b w:val="0"/>
      <w:bCs w:val="0"/>
      <w:spacing w:val="-5"/>
      <w:kern w:val="28"/>
      <w:sz w:val="24"/>
      <w:szCs w:val="20"/>
    </w:rPr>
  </w:style>
  <w:style w:type="paragraph" w:customStyle="1" w:styleId="453">
    <w:name w:val="Char Char Char Char Char Char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454">
    <w:name w:val="样式 标题 3 + 段前: 0.5 行 段后: 0.5 行"/>
    <w:basedOn w:val="5"/>
    <w:uiPriority w:val="0"/>
    <w:pPr>
      <w:spacing w:before="0" w:after="0" w:line="360" w:lineRule="auto"/>
    </w:pPr>
    <w:rPr>
      <w:rFonts w:ascii="宋体" w:hAnsi="宋体" w:cs="宋体"/>
      <w:b w:val="0"/>
      <w:sz w:val="30"/>
      <w:szCs w:val="20"/>
    </w:rPr>
  </w:style>
  <w:style w:type="paragraph" w:customStyle="1" w:styleId="455">
    <w:name w:val="0003"/>
    <w:basedOn w:val="5"/>
    <w:uiPriority w:val="0"/>
    <w:pPr>
      <w:keepNext w:val="0"/>
      <w:keepLines w:val="0"/>
      <w:spacing w:beforeLines="100" w:after="0" w:line="360" w:lineRule="auto"/>
      <w:jc w:val="left"/>
    </w:pPr>
    <w:rPr>
      <w:rFonts w:ascii="宋体"/>
      <w:kern w:val="0"/>
      <w:sz w:val="28"/>
    </w:rPr>
  </w:style>
  <w:style w:type="paragraph" w:customStyle="1" w:styleId="456">
    <w:name w:val="正文四号"/>
    <w:basedOn w:val="1"/>
    <w:uiPriority w:val="0"/>
    <w:pPr>
      <w:adjustRightInd w:val="0"/>
      <w:spacing w:before="120" w:line="420" w:lineRule="atLeast"/>
      <w:ind w:firstLine="595"/>
      <w:textAlignment w:val="baseline"/>
    </w:pPr>
    <w:rPr>
      <w:kern w:val="0"/>
      <w:sz w:val="28"/>
      <w:szCs w:val="20"/>
    </w:rPr>
  </w:style>
  <w:style w:type="paragraph" w:customStyle="1" w:styleId="457">
    <w:name w:val="样式 居中 首行缩进:  0 字符 Char Char"/>
    <w:basedOn w:val="1"/>
    <w:next w:val="1"/>
    <w:link w:val="633"/>
    <w:uiPriority w:val="0"/>
    <w:pPr>
      <w:tabs>
        <w:tab w:val="left" w:pos="9128"/>
      </w:tabs>
      <w:snapToGrid w:val="0"/>
      <w:jc w:val="center"/>
    </w:pPr>
    <w:rPr>
      <w:rFonts w:ascii="宋体" w:hAnsi="宋体"/>
      <w:color w:val="FF0000"/>
      <w:sz w:val="18"/>
      <w:szCs w:val="18"/>
    </w:rPr>
  </w:style>
  <w:style w:type="paragraph" w:customStyle="1" w:styleId="458">
    <w:name w:val="4 Char"/>
    <w:basedOn w:val="1"/>
    <w:uiPriority w:val="0"/>
  </w:style>
  <w:style w:type="paragraph" w:customStyle="1" w:styleId="459">
    <w:name w:val="样式 标题 4 + 首行缩进:  2 字符"/>
    <w:basedOn w:val="6"/>
    <w:uiPriority w:val="0"/>
    <w:pPr>
      <w:tabs>
        <w:tab w:val="clear" w:pos="1440"/>
      </w:tabs>
      <w:snapToGrid/>
      <w:ind w:left="0" w:firstLine="0"/>
    </w:pPr>
    <w:rPr>
      <w:rFonts w:ascii="仿宋_GB2312" w:hAnsi="Arial" w:eastAsia="仿宋_GB2312" w:cs="宋体"/>
      <w:sz w:val="28"/>
    </w:rPr>
  </w:style>
  <w:style w:type="paragraph" w:customStyle="1" w:styleId="460">
    <w:name w:val="样式 5号表"/>
    <w:basedOn w:val="1"/>
    <w:uiPriority w:val="0"/>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461">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462">
    <w:name w:val="Char Char Char Char Char"/>
    <w:basedOn w:val="1"/>
    <w:uiPriority w:val="0"/>
  </w:style>
  <w:style w:type="paragraph" w:customStyle="1" w:styleId="463">
    <w:name w:val="样式 图格式"/>
    <w:basedOn w:val="4"/>
    <w:semiHidden/>
    <w:uiPriority w:val="0"/>
    <w:pPr>
      <w:keepLines/>
      <w:numPr>
        <w:ilvl w:val="0"/>
        <w:numId w:val="0"/>
      </w:numPr>
      <w:shd w:val="clear" w:color="auto" w:fill="FFFFFF"/>
      <w:kinsoku w:val="0"/>
      <w:overflowPunct w:val="0"/>
      <w:autoSpaceDE w:val="0"/>
      <w:autoSpaceDN w:val="0"/>
      <w:snapToGrid w:val="0"/>
      <w:spacing w:line="300" w:lineRule="atLeast"/>
      <w:jc w:val="left"/>
      <w:outlineLvl w:val="9"/>
    </w:pPr>
    <w:rPr>
      <w:rFonts w:ascii="Arial" w:hAnsi="Arial" w:cs="宋体"/>
      <w:color w:val="0000FF"/>
      <w:kern w:val="0"/>
      <w:sz w:val="24"/>
    </w:rPr>
  </w:style>
  <w:style w:type="paragraph" w:customStyle="1" w:styleId="464">
    <w:name w:val="p0"/>
    <w:basedOn w:val="1"/>
    <w:uiPriority w:val="0"/>
    <w:pPr>
      <w:widowControl/>
    </w:pPr>
    <w:rPr>
      <w:kern w:val="0"/>
      <w:szCs w:val="21"/>
    </w:rPr>
  </w:style>
  <w:style w:type="paragraph" w:customStyle="1" w:styleId="465">
    <w:name w:val="xl36"/>
    <w:basedOn w:val="1"/>
    <w:uiPriority w:val="0"/>
    <w:pPr>
      <w:widowControl/>
      <w:spacing w:before="100" w:beforeAutospacing="1" w:after="100" w:afterAutospacing="1"/>
      <w:jc w:val="left"/>
    </w:pPr>
    <w:rPr>
      <w:rFonts w:ascii="宋体" w:hAnsi="宋体" w:cs="宋体"/>
      <w:kern w:val="0"/>
      <w:sz w:val="24"/>
    </w:rPr>
  </w:style>
  <w:style w:type="paragraph" w:customStyle="1" w:styleId="466">
    <w:name w:val="标题 1红4号"/>
    <w:basedOn w:val="3"/>
    <w:uiPriority w:val="0"/>
    <w:pPr>
      <w:keepLines/>
      <w:numPr>
        <w:ilvl w:val="0"/>
        <w:numId w:val="0"/>
      </w:numPr>
      <w:shd w:val="clear" w:color="auto" w:fill="FFFFFF"/>
      <w:tabs>
        <w:tab w:val="left" w:pos="210"/>
      </w:tabs>
      <w:kinsoku w:val="0"/>
      <w:overflowPunct w:val="0"/>
      <w:autoSpaceDE w:val="0"/>
      <w:autoSpaceDN w:val="0"/>
      <w:ind w:firstLine="200" w:firstLineChars="200"/>
      <w:jc w:val="center"/>
    </w:pPr>
    <w:rPr>
      <w:rFonts w:ascii="宋体" w:hAnsi="宋体" w:eastAsia="宋体"/>
      <w:b/>
      <w:color w:val="FF6600"/>
      <w:kern w:val="44"/>
      <w:szCs w:val="28"/>
    </w:rPr>
  </w:style>
  <w:style w:type="paragraph" w:customStyle="1" w:styleId="467">
    <w:name w:val="正文 + 宋体"/>
    <w:basedOn w:val="1"/>
    <w:uiPriority w:val="0"/>
    <w:pPr>
      <w:adjustRightInd w:val="0"/>
      <w:spacing w:line="520" w:lineRule="exact"/>
      <w:ind w:firstLine="200" w:firstLineChars="200"/>
      <w:jc w:val="left"/>
      <w:textAlignment w:val="baseline"/>
    </w:pPr>
    <w:rPr>
      <w:rFonts w:ascii="宋体" w:hAnsi="宋体"/>
      <w:kern w:val="0"/>
      <w:sz w:val="24"/>
    </w:rPr>
  </w:style>
  <w:style w:type="paragraph" w:customStyle="1" w:styleId="468">
    <w:name w:val="样式 宋体 居中"/>
    <w:basedOn w:val="1"/>
    <w:uiPriority w:val="0"/>
    <w:pPr>
      <w:jc w:val="center"/>
    </w:pPr>
    <w:rPr>
      <w:rFonts w:ascii="宋体" w:hAnsi="宋体" w:cs="宋体"/>
      <w:szCs w:val="20"/>
    </w:rPr>
  </w:style>
  <w:style w:type="paragraph" w:customStyle="1" w:styleId="469">
    <w:name w:val="样式 表头 + 五号"/>
    <w:basedOn w:val="59"/>
    <w:link w:val="709"/>
    <w:uiPriority w:val="0"/>
    <w:pPr>
      <w:keepNext/>
      <w:ind w:left="0" w:firstLine="0" w:firstLineChars="0"/>
      <w:jc w:val="center"/>
    </w:pPr>
    <w:rPr>
      <w:rFonts w:ascii="黑体" w:eastAsia="黑体"/>
      <w:sz w:val="24"/>
      <w:szCs w:val="24"/>
    </w:rPr>
  </w:style>
  <w:style w:type="paragraph" w:customStyle="1" w:styleId="470">
    <w:name w:val="样式 3字符 + 首行缩进:  1 字符"/>
    <w:basedOn w:val="364"/>
    <w:uiPriority w:val="0"/>
    <w:pPr>
      <w:ind w:firstLine="280"/>
    </w:pPr>
    <w:rPr>
      <w:rFonts w:cs="宋体"/>
      <w:szCs w:val="20"/>
    </w:rPr>
  </w:style>
  <w:style w:type="paragraph" w:customStyle="1" w:styleId="471">
    <w:name w:val="样式 表头 + 首行缩进:  0.99 厘米"/>
    <w:basedOn w:val="59"/>
    <w:uiPriority w:val="0"/>
    <w:pPr>
      <w:keepNext/>
      <w:ind w:left="0" w:firstLine="0" w:firstLineChars="0"/>
      <w:jc w:val="center"/>
    </w:pPr>
    <w:rPr>
      <w:rFonts w:ascii="黑体" w:eastAsia="黑体" w:cs="宋体"/>
      <w:sz w:val="28"/>
      <w:szCs w:val="20"/>
    </w:rPr>
  </w:style>
  <w:style w:type="paragraph" w:customStyle="1" w:styleId="472">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473">
    <w:name w:val="表文字"/>
    <w:basedOn w:val="1"/>
    <w:link w:val="589"/>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474">
    <w:name w:val=" Char Char3 Char Char Char Char"/>
    <w:basedOn w:val="1"/>
    <w:uiPriority w:val="0"/>
    <w:rPr>
      <w:szCs w:val="20"/>
    </w:rPr>
  </w:style>
  <w:style w:type="paragraph" w:customStyle="1" w:styleId="475">
    <w:name w:val="样式 居中 首行缩进:  0 字符"/>
    <w:basedOn w:val="1"/>
    <w:next w:val="1"/>
    <w:link w:val="552"/>
    <w:uiPriority w:val="0"/>
    <w:pPr>
      <w:adjustRightInd w:val="0"/>
      <w:snapToGrid w:val="0"/>
      <w:jc w:val="center"/>
    </w:pPr>
    <w:rPr>
      <w:rFonts w:ascii="宋体"/>
    </w:rPr>
  </w:style>
  <w:style w:type="paragraph" w:customStyle="1" w:styleId="476">
    <w:name w:val="xl22"/>
    <w:basedOn w:val="1"/>
    <w:uiPriority w:val="0"/>
    <w:pPr>
      <w:widowControl/>
      <w:spacing w:before="100" w:beforeAutospacing="1" w:after="100" w:afterAutospacing="1"/>
      <w:jc w:val="left"/>
    </w:pPr>
    <w:rPr>
      <w:rFonts w:ascii="宋体" w:hAnsi="宋体" w:cs="宋体"/>
      <w:kern w:val="0"/>
      <w:sz w:val="24"/>
    </w:rPr>
  </w:style>
  <w:style w:type="paragraph" w:customStyle="1" w:styleId="477">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16"/>
      <w:szCs w:val="20"/>
    </w:rPr>
  </w:style>
  <w:style w:type="paragraph" w:customStyle="1" w:styleId="478">
    <w:name w:val="CC Char Char Char Char Char Char"/>
    <w:basedOn w:val="46"/>
    <w:next w:val="46"/>
    <w:semiHidden/>
    <w:uiPriority w:val="0"/>
    <w:pPr>
      <w:spacing w:after="120" w:line="480" w:lineRule="auto"/>
      <w:ind w:left="630" w:leftChars="100" w:right="100" w:rightChars="100" w:firstLine="0"/>
    </w:pPr>
    <w:rPr>
      <w:rFonts w:hint="default" w:ascii="Times New Roman" w:eastAsia="宋体"/>
      <w:szCs w:val="28"/>
    </w:rPr>
  </w:style>
  <w:style w:type="paragraph" w:customStyle="1" w:styleId="479">
    <w:name w:val="表格文字小5号"/>
    <w:uiPriority w:val="0"/>
    <w:pPr>
      <w:widowControl w:val="0"/>
      <w:spacing w:line="240" w:lineRule="exact"/>
      <w:jc w:val="center"/>
    </w:pPr>
    <w:rPr>
      <w:rFonts w:ascii="宋体" w:hAnsi="宋体"/>
      <w:kern w:val="2"/>
      <w:sz w:val="18"/>
      <w:szCs w:val="18"/>
      <w:lang w:val="en-US" w:eastAsia="zh-CN" w:bidi="ar-SA"/>
    </w:rPr>
  </w:style>
  <w:style w:type="paragraph" w:customStyle="1" w:styleId="480">
    <w:name w:val="样式 样式 黑色 首行缩进:  2 字符 行距: 固定值 25 磅 + Times New Roman 首行缩进:  2 字符"/>
    <w:basedOn w:val="1"/>
    <w:uiPriority w:val="0"/>
    <w:pPr>
      <w:spacing w:line="580" w:lineRule="exact"/>
      <w:ind w:firstLine="200" w:firstLineChars="200"/>
    </w:pPr>
    <w:rPr>
      <w:rFonts w:eastAsia="仿宋_GB2312" w:cs="宋体"/>
      <w:b/>
      <w:bCs/>
      <w:color w:val="000000"/>
      <w:sz w:val="28"/>
      <w:szCs w:val="20"/>
    </w:rPr>
  </w:style>
  <w:style w:type="paragraph" w:customStyle="1" w:styleId="481">
    <w:name w:val="p18"/>
    <w:basedOn w:val="1"/>
    <w:uiPriority w:val="0"/>
    <w:pPr>
      <w:widowControl/>
      <w:wordWrap w:val="0"/>
      <w:jc w:val="center"/>
    </w:pPr>
    <w:rPr>
      <w:kern w:val="0"/>
      <w:szCs w:val="21"/>
    </w:rPr>
  </w:style>
  <w:style w:type="paragraph" w:customStyle="1" w:styleId="482">
    <w:name w:val="reader-word-layer reader-word-s3-0"/>
    <w:basedOn w:val="1"/>
    <w:uiPriority w:val="0"/>
    <w:pPr>
      <w:widowControl/>
      <w:spacing w:before="100" w:beforeAutospacing="1" w:after="100" w:afterAutospacing="1"/>
      <w:jc w:val="left"/>
    </w:pPr>
    <w:rPr>
      <w:rFonts w:ascii="宋体" w:hAnsi="宋体" w:cs="宋体"/>
      <w:kern w:val="0"/>
      <w:sz w:val="24"/>
    </w:rPr>
  </w:style>
  <w:style w:type="paragraph" w:customStyle="1" w:styleId="483">
    <w:name w:val="xl82"/>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kern w:val="0"/>
      <w:sz w:val="24"/>
      <w:szCs w:val="20"/>
    </w:rPr>
  </w:style>
  <w:style w:type="paragraph" w:customStyle="1" w:styleId="484">
    <w:name w:val="font9"/>
    <w:basedOn w:val="1"/>
    <w:uiPriority w:val="0"/>
    <w:pPr>
      <w:widowControl/>
      <w:spacing w:before="100" w:beforeAutospacing="1" w:after="100" w:afterAutospacing="1"/>
      <w:jc w:val="left"/>
    </w:pPr>
    <w:rPr>
      <w:rFonts w:ascii="宋体" w:hAnsi="宋体" w:cs="宋体"/>
      <w:kern w:val="0"/>
      <w:sz w:val="24"/>
    </w:rPr>
  </w:style>
  <w:style w:type="paragraph" w:customStyle="1" w:styleId="485">
    <w:name w:val="Char Char Char Char1"/>
    <w:basedOn w:val="1"/>
    <w:uiPriority w:val="0"/>
    <w:rPr>
      <w:szCs w:val="21"/>
    </w:rPr>
  </w:style>
  <w:style w:type="paragraph" w:customStyle="1" w:styleId="486">
    <w:name w:val="样式 (中文) 仿宋_GB2312 四号 黑色 行距: 固定值 25 磅"/>
    <w:basedOn w:val="1"/>
    <w:uiPriority w:val="0"/>
    <w:pPr>
      <w:spacing w:line="560" w:lineRule="exact"/>
      <w:ind w:firstLine="200" w:firstLineChars="200"/>
    </w:pPr>
    <w:rPr>
      <w:rFonts w:eastAsia="仿宋_GB2312" w:cs="宋体"/>
      <w:color w:val="000000"/>
      <w:sz w:val="28"/>
      <w:szCs w:val="20"/>
    </w:rPr>
  </w:style>
  <w:style w:type="paragraph" w:customStyle="1" w:styleId="487">
    <w:name w:val="正文1 Char Char Char"/>
    <w:basedOn w:val="1"/>
    <w:uiPriority w:val="0"/>
    <w:pPr>
      <w:spacing w:line="560" w:lineRule="exact"/>
      <w:ind w:firstLine="200" w:firstLineChars="200"/>
    </w:pPr>
    <w:rPr>
      <w:rFonts w:ascii="宋体" w:hAnsi="宋体" w:cs="宋体"/>
      <w:sz w:val="24"/>
    </w:rPr>
  </w:style>
  <w:style w:type="paragraph" w:customStyle="1" w:styleId="488">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489">
    <w:name w:val="封面次行"/>
    <w:basedOn w:val="1"/>
    <w:uiPriority w:val="0"/>
    <w:pPr>
      <w:spacing w:beforeLines="100" w:line="700" w:lineRule="exact"/>
      <w:jc w:val="center"/>
    </w:pPr>
    <w:rPr>
      <w:b/>
      <w:spacing w:val="20"/>
      <w:sz w:val="52"/>
    </w:rPr>
  </w:style>
  <w:style w:type="paragraph" w:customStyle="1" w:styleId="490">
    <w:name w:val="正文-巴联"/>
    <w:basedOn w:val="1"/>
    <w:qFormat/>
    <w:uiPriority w:val="0"/>
    <w:pPr>
      <w:ind w:firstLine="200" w:firstLineChars="200"/>
    </w:pPr>
    <w:rPr>
      <w:rFonts w:ascii="Calibri" w:hAnsi="宋体" w:eastAsia="仿宋"/>
      <w:sz w:val="28"/>
      <w:szCs w:val="22"/>
    </w:rPr>
  </w:style>
  <w:style w:type="paragraph" w:customStyle="1" w:styleId="491">
    <w:name w:val="reader-word-layer reader-word-s3-5"/>
    <w:basedOn w:val="1"/>
    <w:uiPriority w:val="0"/>
    <w:pPr>
      <w:widowControl/>
      <w:spacing w:before="100" w:beforeAutospacing="1" w:after="100" w:afterAutospacing="1"/>
      <w:jc w:val="left"/>
    </w:pPr>
    <w:rPr>
      <w:rFonts w:ascii="宋体" w:hAnsi="宋体" w:cs="宋体"/>
      <w:kern w:val="0"/>
      <w:sz w:val="24"/>
    </w:rPr>
  </w:style>
  <w:style w:type="paragraph" w:customStyle="1" w:styleId="492">
    <w:name w:val="xl52"/>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493">
    <w:name w:val="设计封面矿名魏体1"/>
    <w:basedOn w:val="1"/>
    <w:uiPriority w:val="0"/>
    <w:pPr>
      <w:tabs>
        <w:tab w:val="left" w:pos="210"/>
      </w:tabs>
      <w:autoSpaceDE w:val="0"/>
      <w:autoSpaceDN w:val="0"/>
      <w:spacing w:line="500" w:lineRule="exact"/>
      <w:jc w:val="center"/>
    </w:pPr>
    <w:rPr>
      <w:rFonts w:eastAsia="华文新魏"/>
      <w:bCs/>
      <w:sz w:val="52"/>
      <w:szCs w:val="28"/>
    </w:rPr>
  </w:style>
  <w:style w:type="paragraph" w:customStyle="1" w:styleId="494">
    <w:name w:val="使用正文（孟）"/>
    <w:basedOn w:val="1"/>
    <w:uiPriority w:val="0"/>
    <w:pPr>
      <w:widowControl/>
      <w:adjustRightInd w:val="0"/>
      <w:spacing w:line="500" w:lineRule="exact"/>
      <w:ind w:firstLine="200" w:firstLineChars="200"/>
      <w:textAlignment w:val="baseline"/>
    </w:pPr>
    <w:rPr>
      <w:bCs/>
      <w:kern w:val="0"/>
      <w:sz w:val="24"/>
      <w:szCs w:val="20"/>
      <w:lang w:eastAsia="en-US" w:bidi="en-US"/>
    </w:rPr>
  </w:style>
  <w:style w:type="paragraph" w:customStyle="1" w:styleId="495">
    <w:name w:val="【表头】"/>
    <w:basedOn w:val="1"/>
    <w:qFormat/>
    <w:uiPriority w:val="0"/>
    <w:pPr>
      <w:snapToGrid w:val="0"/>
      <w:spacing w:before="60" w:after="60" w:line="420" w:lineRule="exact"/>
      <w:jc w:val="center"/>
    </w:pPr>
    <w:rPr>
      <w:rFonts w:eastAsia="黑体"/>
      <w:sz w:val="24"/>
      <w:szCs w:val="20"/>
    </w:rPr>
  </w:style>
  <w:style w:type="paragraph" w:customStyle="1" w:styleId="496">
    <w:name w:val="段落"/>
    <w:basedOn w:val="1"/>
    <w:uiPriority w:val="0"/>
    <w:pPr>
      <w:ind w:firstLine="560" w:firstLineChars="200"/>
    </w:pPr>
    <w:rPr>
      <w:sz w:val="28"/>
      <w:szCs w:val="20"/>
    </w:rPr>
  </w:style>
  <w:style w:type="paragraph" w:customStyle="1" w:styleId="497">
    <w:name w:val="设计封面编号宋2"/>
    <w:basedOn w:val="493"/>
    <w:next w:val="181"/>
    <w:uiPriority w:val="0"/>
    <w:rPr>
      <w:rFonts w:eastAsia="宋体"/>
      <w:sz w:val="44"/>
    </w:rPr>
  </w:style>
  <w:style w:type="paragraph" w:customStyle="1" w:styleId="498">
    <w:name w:val="文字"/>
    <w:basedOn w:val="1"/>
    <w:uiPriority w:val="0"/>
    <w:pPr>
      <w:spacing w:line="536" w:lineRule="exact"/>
      <w:ind w:firstLine="480" w:firstLineChars="200"/>
    </w:pPr>
    <w:rPr>
      <w:rFonts w:ascii="仿宋_GB2312" w:hAnsi="宋体" w:eastAsia="仿宋_GB2312"/>
      <w:sz w:val="24"/>
      <w:szCs w:val="20"/>
    </w:rPr>
  </w:style>
  <w:style w:type="paragraph" w:customStyle="1" w:styleId="499">
    <w:name w:val="。。。。。。表头"/>
    <w:basedOn w:val="1"/>
    <w:qFormat/>
    <w:uiPriority w:val="0"/>
    <w:pPr>
      <w:jc w:val="center"/>
    </w:pPr>
    <w:rPr>
      <w:b/>
      <w:bCs/>
    </w:rPr>
  </w:style>
  <w:style w:type="paragraph" w:customStyle="1" w:styleId="500">
    <w:name w:val="目录2"/>
    <w:basedOn w:val="1"/>
    <w:next w:val="1"/>
    <w:uiPriority w:val="0"/>
    <w:pPr>
      <w:widowControl/>
      <w:tabs>
        <w:tab w:val="left" w:leader="dot" w:pos="8503"/>
      </w:tabs>
      <w:spacing w:line="317" w:lineRule="atLeast"/>
      <w:ind w:firstLine="209"/>
      <w:textAlignment w:val="baseline"/>
    </w:pPr>
    <w:rPr>
      <w:color w:val="000000"/>
      <w:kern w:val="0"/>
      <w:szCs w:val="20"/>
      <w:u w:val="none" w:color="000000"/>
    </w:rPr>
  </w:style>
  <w:style w:type="paragraph" w:customStyle="1" w:styleId="501">
    <w:name w:val="正文xx"/>
    <w:basedOn w:val="1"/>
    <w:uiPriority w:val="0"/>
    <w:pPr>
      <w:spacing w:line="360" w:lineRule="auto"/>
      <w:ind w:firstLine="200" w:firstLineChars="200"/>
      <w:jc w:val="left"/>
    </w:pPr>
    <w:rPr>
      <w:rFonts w:cs="宋体"/>
      <w:sz w:val="24"/>
      <w:szCs w:val="28"/>
    </w:rPr>
  </w:style>
  <w:style w:type="paragraph" w:customStyle="1" w:styleId="502">
    <w:name w:val="表体"/>
    <w:basedOn w:val="1"/>
    <w:qFormat/>
    <w:uiPriority w:val="0"/>
    <w:pPr>
      <w:adjustRightInd w:val="0"/>
      <w:snapToGrid w:val="0"/>
      <w:spacing w:beforeLines="20" w:afterLines="20"/>
      <w:jc w:val="center"/>
    </w:pPr>
  </w:style>
  <w:style w:type="paragraph" w:customStyle="1" w:styleId="503">
    <w:name w:val="样式 (西文) 宋体 小四 黑色 行距: 多倍行距 1.6 字行 首行缩进:  2 字符"/>
    <w:basedOn w:val="1"/>
    <w:uiPriority w:val="0"/>
    <w:pPr>
      <w:spacing w:line="560" w:lineRule="exact"/>
      <w:ind w:firstLine="200" w:firstLineChars="200"/>
    </w:pPr>
    <w:rPr>
      <w:rFonts w:ascii="宋体" w:hAnsi="宋体" w:cs="宋体"/>
      <w:color w:val="000000"/>
      <w:sz w:val="24"/>
      <w:szCs w:val="20"/>
    </w:rPr>
  </w:style>
  <w:style w:type="paragraph" w:customStyle="1" w:styleId="504">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505">
    <w:name w:val="5号字表"/>
    <w:basedOn w:val="1"/>
    <w:uiPriority w:val="0"/>
    <w:pPr>
      <w:tabs>
        <w:tab w:val="left" w:pos="210"/>
      </w:tabs>
      <w:spacing w:line="500" w:lineRule="exact"/>
      <w:ind w:firstLine="200" w:firstLineChars="200"/>
      <w:jc w:val="left"/>
    </w:pPr>
    <w:rPr>
      <w:rFonts w:ascii="宋体" w:hAnsi="宋体" w:cs="宋体"/>
      <w:bCs/>
      <w:sz w:val="28"/>
      <w:szCs w:val="20"/>
    </w:rPr>
  </w:style>
  <w:style w:type="paragraph" w:customStyle="1" w:styleId="506">
    <w:name w:val="样式 标题 3 + 段前: 6 磅"/>
    <w:basedOn w:val="5"/>
    <w:uiPriority w:val="0"/>
    <w:pPr>
      <w:spacing w:before="0" w:after="0" w:line="415" w:lineRule="auto"/>
    </w:pPr>
    <w:rPr>
      <w:sz w:val="28"/>
      <w:szCs w:val="20"/>
    </w:rPr>
  </w:style>
  <w:style w:type="paragraph" w:customStyle="1" w:styleId="507">
    <w:name w:val="样式 样式 首行缩进:  2 字符 + 居中"/>
    <w:basedOn w:val="116"/>
    <w:uiPriority w:val="0"/>
    <w:pPr>
      <w:ind w:firstLine="0" w:firstLineChars="0"/>
      <w:jc w:val="center"/>
    </w:pPr>
    <w:rPr>
      <w:rFonts w:cs="宋体"/>
      <w:sz w:val="28"/>
    </w:rPr>
  </w:style>
  <w:style w:type="paragraph" w:customStyle="1" w:styleId="508">
    <w:name w:val="6表(图)头(治)"/>
    <w:next w:val="1"/>
    <w:uiPriority w:val="0"/>
    <w:pPr>
      <w:widowControl w:val="0"/>
      <w:adjustRightInd w:val="0"/>
      <w:snapToGrid w:val="0"/>
      <w:jc w:val="center"/>
    </w:pPr>
    <w:rPr>
      <w:rFonts w:hAnsi="宋体"/>
      <w:sz w:val="21"/>
      <w:szCs w:val="21"/>
      <w:lang w:val="en-US" w:eastAsia="zh-CN" w:bidi="ar-SA"/>
    </w:rPr>
  </w:style>
  <w:style w:type="paragraph" w:customStyle="1" w:styleId="509">
    <w:name w:val="图号"/>
    <w:basedOn w:val="31"/>
    <w:uiPriority w:val="0"/>
    <w:pPr>
      <w:autoSpaceDE w:val="0"/>
      <w:autoSpaceDN w:val="0"/>
      <w:adjustRightInd w:val="0"/>
      <w:spacing w:after="0" w:line="400" w:lineRule="atLeast"/>
      <w:jc w:val="center"/>
      <w:textAlignment w:val="baseline"/>
    </w:pPr>
    <w:rPr>
      <w:kern w:val="0"/>
      <w:sz w:val="24"/>
      <w:szCs w:val="20"/>
    </w:rPr>
  </w:style>
  <w:style w:type="paragraph" w:customStyle="1" w:styleId="510">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511">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FF0000"/>
      <w:kern w:val="0"/>
      <w:sz w:val="20"/>
      <w:szCs w:val="20"/>
    </w:rPr>
  </w:style>
  <w:style w:type="paragraph" w:customStyle="1" w:styleId="512">
    <w:name w:val="xl56"/>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513">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514">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515">
    <w:name w:val="。。。。。。。。四级标题"/>
    <w:basedOn w:val="6"/>
    <w:qFormat/>
    <w:uiPriority w:val="0"/>
    <w:pPr>
      <w:jc w:val="both"/>
    </w:pPr>
    <w:rPr>
      <w:rFonts w:ascii="Times New Roman" w:hAnsi="Times New Roman"/>
      <w:b/>
    </w:rPr>
  </w:style>
  <w:style w:type="paragraph" w:customStyle="1" w:styleId="516">
    <w:name w:val="正文-报告书"/>
    <w:qFormat/>
    <w:uiPriority w:val="0"/>
    <w:pPr>
      <w:widowControl w:val="0"/>
      <w:adjustRightInd w:val="0"/>
      <w:snapToGrid w:val="0"/>
      <w:spacing w:line="500" w:lineRule="exact"/>
      <w:ind w:firstLine="482" w:firstLineChars="200"/>
    </w:pPr>
    <w:rPr>
      <w:rFonts w:ascii="宋体" w:hAnsi="宋体" w:eastAsia="宋体" w:cs="宋体"/>
      <w:bCs/>
      <w:sz w:val="24"/>
      <w:szCs w:val="24"/>
      <w:lang w:val="en-US" w:eastAsia="zh-CN" w:bidi="ar-SA"/>
    </w:rPr>
  </w:style>
  <w:style w:type="character" w:customStyle="1" w:styleId="517">
    <w:name w:val="tpc_content1"/>
    <w:basedOn w:val="84"/>
    <w:uiPriority w:val="0"/>
    <w:rPr>
      <w:sz w:val="17"/>
    </w:rPr>
  </w:style>
  <w:style w:type="character" w:customStyle="1" w:styleId="518">
    <w:name w:val="纯文本 Char Char"/>
    <w:aliases w:val="表格内容 Char1,Plain Text Char,纯文本 Char Char Char Char Char Char,纯文本1 Char,纯文本 Char1 Char Char,纯文本 Char Char Char Char Char Char Char Char Char,纯文本 Char Char Char Char Char Char Char Char Char Char Char Char Char Char,普通文字 Char Char1,正 Char"/>
    <w:basedOn w:val="84"/>
    <w:uiPriority w:val="0"/>
    <w:rPr>
      <w:rFonts w:eastAsia="宋体"/>
      <w:spacing w:val="8"/>
      <w:kern w:val="2"/>
      <w:sz w:val="24"/>
      <w:lang w:val="en-US" w:eastAsia="zh-CN" w:bidi="ar-SA"/>
    </w:rPr>
  </w:style>
  <w:style w:type="character" w:customStyle="1" w:styleId="519">
    <w:name w:val="title"/>
    <w:basedOn w:val="84"/>
    <w:uiPriority w:val="0"/>
    <w:rPr>
      <w:rFonts w:hint="eastAsia" w:ascii="微软雅黑" w:hAnsi="微软雅黑" w:eastAsia="微软雅黑"/>
      <w:sz w:val="18"/>
      <w:szCs w:val="18"/>
    </w:rPr>
  </w:style>
  <w:style w:type="character" w:customStyle="1" w:styleId="520">
    <w:name w:val="正文文本 Char Char Char"/>
    <w:aliases w:val="标题7 Char,表中文字 Char,bt Char Char"/>
    <w:basedOn w:val="84"/>
    <w:locked/>
    <w:uiPriority w:val="0"/>
    <w:rPr>
      <w:rFonts w:eastAsia="宋体"/>
      <w:kern w:val="2"/>
      <w:sz w:val="21"/>
      <w:szCs w:val="24"/>
      <w:lang w:val="en-US" w:eastAsia="zh-CN" w:bidi="ar-SA"/>
    </w:rPr>
  </w:style>
  <w:style w:type="character" w:customStyle="1" w:styleId="521">
    <w:name w:val="四号仿宋左空1格行距1倍 Char Char"/>
    <w:basedOn w:val="84"/>
    <w:locked/>
    <w:uiPriority w:val="0"/>
    <w:rPr>
      <w:rFonts w:ascii="Arial" w:hAnsi="Arial" w:eastAsia="黑体"/>
      <w:b/>
      <w:kern w:val="2"/>
      <w:sz w:val="28"/>
      <w:lang w:val="en-US" w:eastAsia="zh-CN" w:bidi="ar-SA"/>
    </w:rPr>
  </w:style>
  <w:style w:type="character" w:customStyle="1" w:styleId="522">
    <w:name w:val="表 Char"/>
    <w:basedOn w:val="84"/>
    <w:link w:val="241"/>
    <w:uiPriority w:val="0"/>
    <w:rPr>
      <w:rFonts w:eastAsia="仿宋_GB2312"/>
      <w:kern w:val="2"/>
      <w:sz w:val="21"/>
      <w:lang w:val="en-US" w:eastAsia="zh-CN" w:bidi="ar-SA"/>
    </w:rPr>
  </w:style>
  <w:style w:type="character" w:customStyle="1" w:styleId="523">
    <w:name w:val="Char Char181"/>
    <w:basedOn w:val="84"/>
    <w:uiPriority w:val="0"/>
    <w:rPr>
      <w:b/>
      <w:bCs/>
      <w:color w:val="auto"/>
    </w:rPr>
  </w:style>
  <w:style w:type="character" w:customStyle="1" w:styleId="524">
    <w:name w:val="ft183"/>
    <w:basedOn w:val="84"/>
    <w:uiPriority w:val="0"/>
    <w:rPr>
      <w:rFonts w:hint="default" w:ascii="Times" w:hAnsi="Times" w:cs="Times"/>
      <w:color w:val="000000"/>
      <w:spacing w:val="345"/>
      <w:sz w:val="24"/>
      <w:szCs w:val="24"/>
    </w:rPr>
  </w:style>
  <w:style w:type="character" w:customStyle="1" w:styleId="525">
    <w:name w:val="Char Char21"/>
    <w:basedOn w:val="84"/>
    <w:uiPriority w:val="0"/>
    <w:rPr>
      <w:rFonts w:hint="eastAsia" w:ascii="黑体" w:hAnsi="Times New Roman" w:eastAsia="黑体"/>
      <w:bCs/>
      <w:kern w:val="44"/>
      <w:sz w:val="30"/>
      <w:szCs w:val="44"/>
    </w:rPr>
  </w:style>
  <w:style w:type="character" w:customStyle="1" w:styleId="526">
    <w:name w:val="上标"/>
    <w:uiPriority w:val="0"/>
    <w:rPr>
      <w:vertAlign w:val="superscript"/>
    </w:rPr>
  </w:style>
  <w:style w:type="character" w:customStyle="1" w:styleId="527">
    <w:name w:val="标题 6 Char"/>
    <w:basedOn w:val="84"/>
    <w:link w:val="8"/>
    <w:uiPriority w:val="0"/>
    <w:rPr>
      <w:rFonts w:ascii="Arial" w:hAnsi="Arial" w:eastAsia="黑体"/>
      <w:b/>
    </w:rPr>
  </w:style>
  <w:style w:type="character" w:customStyle="1" w:styleId="528">
    <w:name w:val="标题 7 Char"/>
    <w:basedOn w:val="84"/>
    <w:link w:val="9"/>
    <w:uiPriority w:val="0"/>
    <w:rPr>
      <w:b/>
    </w:rPr>
  </w:style>
  <w:style w:type="character" w:customStyle="1" w:styleId="529">
    <w:name w:val="节 Char1"/>
    <w:aliases w:val="H2 Char1,节标题 1.1 Char1,标题 2 Char1 Char,标题 2 Char Char Char,标题 2 Char Char1,1 Char1,1.1标题 2 Char1,1.1 Char1,标题2 Char1,Se Char1,Head wsa2 Char1,标题节 Char1,第一层条 Char1,Heading 2 Hidden Char1,Heading 2 CCBS Char1,PIM2 Char1,2nd level Char1,h2 Char1"/>
    <w:basedOn w:val="84"/>
    <w:locked/>
    <w:uiPriority w:val="0"/>
    <w:rPr>
      <w:rFonts w:ascii="Arial" w:hAnsi="Arial" w:eastAsia="黑体"/>
      <w:b/>
      <w:bCs/>
      <w:kern w:val="2"/>
      <w:sz w:val="32"/>
      <w:szCs w:val="32"/>
      <w:lang w:val="en-US" w:eastAsia="zh-CN" w:bidi="ar-SA"/>
    </w:rPr>
  </w:style>
  <w:style w:type="character" w:customStyle="1" w:styleId="530">
    <w:name w:val="段落1 Char1"/>
    <w:basedOn w:val="84"/>
    <w:link w:val="130"/>
    <w:uiPriority w:val="0"/>
    <w:rPr>
      <w:rFonts w:ascii="宋体" w:hAnsi="宋体" w:eastAsia="宋体"/>
      <w:kern w:val="2"/>
      <w:sz w:val="24"/>
      <w:szCs w:val="24"/>
      <w:lang w:val="en-AU" w:eastAsia="zh-CN" w:bidi="ar-SA"/>
    </w:rPr>
  </w:style>
  <w:style w:type="character" w:customStyle="1" w:styleId="531">
    <w:name w:val="三级标题 Char1"/>
    <w:aliases w:val="标题3 Char1,H3 Char2,h3 Char2,3rd level Char1,第二层条 Char1,Re Char2,Head 3 WSA Char2,标题03 Char1,三级标题 3 Char1,3 Char2,heading 3- body Char1,h3b Char1,h3a Char1,h3 sub heading Char1,条 Char1,3 bullet Char1,head:3# Char1,Head 3 Char1,título 3 Char1"/>
    <w:basedOn w:val="84"/>
    <w:link w:val="5"/>
    <w:uiPriority w:val="0"/>
    <w:rPr>
      <w:rFonts w:eastAsia="宋体"/>
      <w:b/>
      <w:bCs/>
      <w:kern w:val="2"/>
      <w:sz w:val="32"/>
      <w:szCs w:val="32"/>
      <w:lang w:val="en-US" w:eastAsia="zh-CN" w:bidi="ar-SA"/>
    </w:rPr>
  </w:style>
  <w:style w:type="character" w:customStyle="1" w:styleId="532">
    <w:name w:val="三级标题 Char"/>
    <w:aliases w:val="标题3 Char,H3 Char,h3 Char,3rd level Char,第二层条 Char,Re Char,Head 3 WSA Char,标题03 Char,三级标题 3 Char,3 Char,heading 3- body Char,h3b Char,h3a Char,h3 sub heading Char,条 Char,3 bullet Char,head:3# Char,Head 3 Char,título 3 Char,列表编号3 Char,第三层 Char"/>
    <w:basedOn w:val="84"/>
    <w:uiPriority w:val="0"/>
    <w:rPr>
      <w:rFonts w:eastAsia="宋体"/>
      <w:b/>
      <w:bCs/>
      <w:kern w:val="2"/>
      <w:sz w:val="32"/>
      <w:szCs w:val="32"/>
      <w:lang w:val="en-US" w:eastAsia="zh-CN" w:bidi="ar-SA"/>
    </w:rPr>
  </w:style>
  <w:style w:type="character" w:customStyle="1" w:styleId="533">
    <w:name w:val="页眉小5号 Char"/>
    <w:aliases w:val="even Char,页眉1 Char,页眉2 Char Char,页眉2 Char,页眉zxl Char,g Char,页眉2. Char,页眉 Char Char1,页眉18 Char,无页眉 Char,页眉zxl Char Char Char Char"/>
    <w:basedOn w:val="84"/>
    <w:uiPriority w:val="0"/>
    <w:rPr>
      <w:rFonts w:eastAsia="宋体"/>
      <w:kern w:val="2"/>
      <w:sz w:val="18"/>
      <w:szCs w:val="18"/>
      <w:lang w:val="en-US" w:eastAsia="zh-CN" w:bidi="ar-SA"/>
    </w:rPr>
  </w:style>
  <w:style w:type="character" w:customStyle="1" w:styleId="534">
    <w:name w:val="正文文本缩进 Char"/>
    <w:basedOn w:val="84"/>
    <w:uiPriority w:val="0"/>
    <w:rPr>
      <w:rFonts w:ascii="仿宋_GB2312" w:eastAsia="仿宋_GB2312"/>
      <w:kern w:val="2"/>
      <w:sz w:val="28"/>
      <w:lang w:val="en-US" w:eastAsia="zh-CN" w:bidi="ar-SA"/>
    </w:rPr>
  </w:style>
  <w:style w:type="character" w:customStyle="1" w:styleId="535">
    <w:name w:val="xl67 Char"/>
    <w:basedOn w:val="84"/>
    <w:link w:val="359"/>
    <w:uiPriority w:val="0"/>
    <w:rPr>
      <w:rFonts w:ascii="宋体" w:hAnsi="宋体" w:eastAsia="宋体"/>
      <w:color w:val="FF0000"/>
      <w:lang w:val="en-US" w:eastAsia="zh-CN" w:bidi="ar-SA"/>
    </w:rPr>
  </w:style>
  <w:style w:type="character" w:customStyle="1" w:styleId="536">
    <w:name w:val="表格 Char"/>
    <w:aliases w:val="正文2 Char,表正文 Char1,正文非缩进 Char1,四号 Char1,特点 Char1,段1 Char1,Body Text(ch) Char1,缩进 Char1,ALT+Z Char1,正文标准 Char1,s4 Char1,首行缩进 Char1,标题4 Char Char,正文缩进1 Char,正文（首行缩进两字） Char Char Char Char Char Char Char Char Char Char Char Char Char Char Char1 Cha"/>
    <w:basedOn w:val="84"/>
    <w:link w:val="136"/>
    <w:uiPriority w:val="0"/>
    <w:rPr>
      <w:rFonts w:eastAsia="宋体"/>
      <w:kern w:val="2"/>
      <w:sz w:val="21"/>
      <w:szCs w:val="21"/>
      <w:lang w:val="en-US" w:eastAsia="zh-CN" w:bidi="ar-SA"/>
    </w:rPr>
  </w:style>
  <w:style w:type="character" w:customStyle="1" w:styleId="537">
    <w:name w:val="正文：段落格式 Char"/>
    <w:basedOn w:val="84"/>
    <w:link w:val="313"/>
    <w:uiPriority w:val="0"/>
    <w:rPr>
      <w:rFonts w:ascii="宋体" w:hAnsi="宋体" w:eastAsia="宋体"/>
      <w:color w:val="000000"/>
      <w:kern w:val="15"/>
      <w:sz w:val="24"/>
      <w:szCs w:val="24"/>
      <w:lang w:val="en-US" w:eastAsia="zh-CN" w:bidi="ar-SA"/>
    </w:rPr>
  </w:style>
  <w:style w:type="character" w:customStyle="1" w:styleId="538">
    <w:name w:val="纯文本 Char"/>
    <w:aliases w:val="普通文字 Char,纯文本* Char1,普通文字1 Char1,文字缩进 Char1,普通文字 Char Char Char Char Char Char Char Char Char1,普通文字 Char Char Char Char Char Char Char Char2,孙普文字 Char1,纯文本 Char Char Char Char Char Char Char Char"/>
    <w:basedOn w:val="84"/>
    <w:link w:val="41"/>
    <w:uiPriority w:val="0"/>
    <w:rPr>
      <w:rFonts w:ascii="宋体" w:hAnsi="Courier New" w:eastAsia="宋体"/>
      <w:kern w:val="2"/>
      <w:sz w:val="28"/>
      <w:lang w:val="en-US" w:eastAsia="zh-CN" w:bidi="ar-SA"/>
    </w:rPr>
  </w:style>
  <w:style w:type="character" w:styleId="539">
    <w:name w:val=""/>
    <w:basedOn w:val="84"/>
    <w:qFormat/>
    <w:uiPriority w:val="0"/>
    <w:rPr>
      <w:sz w:val="24"/>
      <w:szCs w:val="24"/>
      <w:u w:val="single"/>
    </w:rPr>
  </w:style>
  <w:style w:type="character" w:customStyle="1" w:styleId="540">
    <w:name w:val="图表名 Char"/>
    <w:basedOn w:val="84"/>
    <w:link w:val="138"/>
    <w:uiPriority w:val="0"/>
    <w:rPr>
      <w:rFonts w:eastAsia="黑体"/>
      <w:sz w:val="28"/>
      <w:szCs w:val="28"/>
      <w:lang w:val="en-US" w:eastAsia="zh-CN" w:bidi="ar-SA"/>
    </w:rPr>
  </w:style>
  <w:style w:type="character" w:customStyle="1" w:styleId="541">
    <w:name w:val="标题 3，BSH-3条标题1.1.1 Char Char"/>
    <w:basedOn w:val="84"/>
    <w:link w:val="320"/>
    <w:uiPriority w:val="0"/>
    <w:rPr>
      <w:rFonts w:ascii="宋体" w:hAnsi="宋体" w:eastAsia="宋体"/>
      <w:caps/>
      <w:sz w:val="24"/>
      <w:szCs w:val="24"/>
      <w:lang w:val="en-US" w:eastAsia="zh-CN" w:bidi="ar-SA"/>
    </w:rPr>
  </w:style>
  <w:style w:type="character" w:customStyle="1" w:styleId="542">
    <w:name w:val="Plain Text Char1 Char2"/>
    <w:aliases w:val="Plain Text Char Char Char3,Plain Text Char Char3,Plain Text Char2 Char Char2,Plain Text Char Char Char Char2,Plain Text Char1 Char Char Char2,普通文字 Char2,文字缩进 Char Char2,普通文字 Char Char2,普通文字 Char Char Char1,表格内容 Char,加粗正文 Char1"/>
    <w:basedOn w:val="84"/>
    <w:uiPriority w:val="0"/>
    <w:rPr>
      <w:rFonts w:ascii="宋体" w:hAnsi="Courier New" w:eastAsia="宋体"/>
      <w:kern w:val="2"/>
      <w:sz w:val="21"/>
      <w:lang w:val="en-US" w:eastAsia="zh-CN"/>
    </w:rPr>
  </w:style>
  <w:style w:type="character" w:customStyle="1" w:styleId="543">
    <w:name w:val="Re Char1"/>
    <w:aliases w:val="Head 3 WSA Char1,h3 Char1,H3 Char1,level_3 Char1,PIM 3 Char1,Level 3 Head Char1,Heading 3 - old Char1,sect1.2.3 Char1,sect1.2.31 Char1,sect1.2.32 Char1,sect1.2.311 Char1,sect1.2.33 Char1,sect1.2.312 Char1,Bold Head Char1,bh Char1,3 Char1,头 Char"/>
    <w:basedOn w:val="84"/>
    <w:uiPriority w:val="0"/>
    <w:rPr>
      <w:rFonts w:eastAsia="宋体"/>
      <w:b/>
      <w:bCs/>
      <w:kern w:val="2"/>
      <w:sz w:val="32"/>
      <w:szCs w:val="32"/>
      <w:lang w:val="en-US" w:eastAsia="zh-CN" w:bidi="ar-SA"/>
    </w:rPr>
  </w:style>
  <w:style w:type="character" w:customStyle="1" w:styleId="544">
    <w:name w:val="fontstyle01"/>
    <w:basedOn w:val="84"/>
    <w:uiPriority w:val="0"/>
    <w:rPr>
      <w:rFonts w:hint="eastAsia" w:eastAsia="宋体"/>
      <w:color w:val="FF0000"/>
    </w:rPr>
  </w:style>
  <w:style w:type="character" w:customStyle="1" w:styleId="545">
    <w:name w:val="fo Char"/>
    <w:aliases w:val="footer odd Char,odd Char,footer Final Char,even footer Char,feature op Char,Odd Footer Char Char"/>
    <w:basedOn w:val="84"/>
    <w:uiPriority w:val="0"/>
    <w:rPr>
      <w:rFonts w:eastAsia="宋体"/>
      <w:kern w:val="2"/>
      <w:sz w:val="18"/>
      <w:szCs w:val="18"/>
      <w:lang w:val="en-US" w:eastAsia="zh-CN" w:bidi="ar-SA"/>
    </w:rPr>
  </w:style>
  <w:style w:type="character" w:customStyle="1" w:styleId="546">
    <w:name w:val="样式 首行缩进:  2 字符 Char"/>
    <w:basedOn w:val="84"/>
    <w:link w:val="116"/>
    <w:locked/>
    <w:uiPriority w:val="0"/>
    <w:rPr>
      <w:rFonts w:ascii="宋体" w:hAnsi="宋体" w:eastAsia="宋体"/>
      <w:kern w:val="2"/>
      <w:sz w:val="24"/>
      <w:lang w:val="en-US" w:eastAsia="zh-CN" w:bidi="ar-SA"/>
    </w:rPr>
  </w:style>
  <w:style w:type="character" w:customStyle="1" w:styleId="547">
    <w:name w:val="表内文字 Char1"/>
    <w:aliases w:val="普通文字 Char Char Char Char Char Char Char Char,普通文字 Char Char Char Char Char Char Char Char Char Char Char Char Char Char1,普通文字 Char Char Char Char Char Char Char Char Char Char Char Char C Char1,普通文字 Char3,普通文字 Char Char Char Char1,123 Char1"/>
    <w:basedOn w:val="84"/>
    <w:uiPriority w:val="0"/>
    <w:rPr>
      <w:rFonts w:ascii="宋体" w:hAnsi="Courier New" w:eastAsia="宋体"/>
      <w:kern w:val="2"/>
      <w:sz w:val="28"/>
      <w:lang w:val="en-US" w:eastAsia="zh-CN" w:bidi="ar-SA"/>
    </w:rPr>
  </w:style>
  <w:style w:type="character" w:customStyle="1" w:styleId="548">
    <w:name w:val="Char Char15"/>
    <w:basedOn w:val="84"/>
    <w:uiPriority w:val="0"/>
    <w:rPr>
      <w:rFonts w:eastAsia="宋体"/>
      <w:b/>
      <w:kern w:val="2"/>
      <w:sz w:val="24"/>
      <w:lang w:val="en-US" w:eastAsia="zh-CN" w:bidi="ar-SA"/>
    </w:rPr>
  </w:style>
  <w:style w:type="character" w:customStyle="1" w:styleId="549">
    <w:name w:val="正文文字缩进 Char Char"/>
    <w:basedOn w:val="84"/>
    <w:uiPriority w:val="0"/>
    <w:rPr>
      <w:rFonts w:ascii="宋体" w:hAnsi="宋体" w:eastAsia="宋体"/>
      <w:sz w:val="24"/>
      <w:lang w:val="en-US" w:eastAsia="zh-CN" w:bidi="ar-SA"/>
    </w:rPr>
  </w:style>
  <w:style w:type="character" w:customStyle="1" w:styleId="550">
    <w:name w:val="标题 9 Char"/>
    <w:basedOn w:val="84"/>
    <w:link w:val="11"/>
    <w:locked/>
    <w:uiPriority w:val="0"/>
    <w:rPr>
      <w:rFonts w:ascii="Arial" w:hAnsi="Arial" w:eastAsia="黑体"/>
      <w:sz w:val="28"/>
    </w:rPr>
  </w:style>
  <w:style w:type="character" w:customStyle="1" w:styleId="551">
    <w:name w:val="Char Char4"/>
    <w:basedOn w:val="84"/>
    <w:semiHidden/>
    <w:locked/>
    <w:uiPriority w:val="0"/>
    <w:rPr>
      <w:rFonts w:eastAsia="宋体"/>
      <w:kern w:val="2"/>
      <w:sz w:val="21"/>
      <w:szCs w:val="24"/>
      <w:lang w:val="en-US" w:eastAsia="zh-CN" w:bidi="ar-SA"/>
    </w:rPr>
  </w:style>
  <w:style w:type="character" w:customStyle="1" w:styleId="552">
    <w:name w:val="样式 居中 首行缩进:  0 字符 Char"/>
    <w:basedOn w:val="84"/>
    <w:link w:val="475"/>
    <w:locked/>
    <w:uiPriority w:val="0"/>
    <w:rPr>
      <w:rFonts w:ascii="宋体" w:eastAsia="宋体"/>
      <w:kern w:val="2"/>
      <w:sz w:val="21"/>
      <w:szCs w:val="24"/>
      <w:lang w:val="en-US" w:eastAsia="zh-CN" w:bidi="ar-SA"/>
    </w:rPr>
  </w:style>
  <w:style w:type="character" w:customStyle="1" w:styleId="553">
    <w:name w:val="Char Char13"/>
    <w:basedOn w:val="84"/>
    <w:uiPriority w:val="0"/>
    <w:rPr>
      <w:rFonts w:hint="eastAsia" w:ascii="宋体" w:hAnsi="宋体" w:eastAsia="宋体"/>
      <w:b/>
      <w:kern w:val="2"/>
      <w:sz w:val="24"/>
      <w:szCs w:val="24"/>
    </w:rPr>
  </w:style>
  <w:style w:type="character" w:customStyle="1" w:styleId="554">
    <w:name w:val="Char Char5"/>
    <w:basedOn w:val="84"/>
    <w:uiPriority w:val="0"/>
    <w:rPr>
      <w:rFonts w:eastAsia="宋体"/>
      <w:kern w:val="2"/>
      <w:sz w:val="21"/>
      <w:szCs w:val="24"/>
      <w:lang w:val="en-US" w:eastAsia="zh-CN" w:bidi="ar-SA"/>
    </w:rPr>
  </w:style>
  <w:style w:type="character" w:customStyle="1" w:styleId="555">
    <w:name w:val="正文文本 Char1"/>
    <w:basedOn w:val="84"/>
    <w:link w:val="31"/>
    <w:uiPriority w:val="0"/>
    <w:rPr>
      <w:rFonts w:eastAsia="宋体"/>
      <w:kern w:val="2"/>
      <w:sz w:val="21"/>
      <w:szCs w:val="24"/>
      <w:lang w:val="en-US" w:eastAsia="zh-CN" w:bidi="ar-SA"/>
    </w:rPr>
  </w:style>
  <w:style w:type="character" w:customStyle="1" w:styleId="556">
    <w:name w:val="标准 Char Char"/>
    <w:basedOn w:val="84"/>
    <w:link w:val="368"/>
    <w:uiPriority w:val="0"/>
    <w:rPr>
      <w:rFonts w:eastAsia="宋体"/>
      <w:sz w:val="28"/>
      <w:szCs w:val="28"/>
      <w:lang w:val="en-GB" w:eastAsia="zh-CN" w:bidi="ar-SA"/>
    </w:rPr>
  </w:style>
  <w:style w:type="character" w:customStyle="1" w:styleId="557">
    <w:name w:val="Char Char151"/>
    <w:basedOn w:val="84"/>
    <w:uiPriority w:val="0"/>
    <w:rPr>
      <w:rFonts w:hint="eastAsia" w:ascii="宋体" w:hAnsi="宋体" w:eastAsia="宋体"/>
      <w:b/>
      <w:kern w:val="2"/>
      <w:sz w:val="28"/>
      <w:szCs w:val="28"/>
      <w:lang w:val="en-US" w:eastAsia="zh-CN" w:bidi="ar-SA"/>
    </w:rPr>
  </w:style>
  <w:style w:type="character" w:customStyle="1" w:styleId="558">
    <w:name w:val="Char Char111"/>
    <w:basedOn w:val="84"/>
    <w:uiPriority w:val="0"/>
    <w:rPr>
      <w:rFonts w:hint="eastAsia" w:ascii="黑体" w:eastAsia="黑体"/>
      <w:bCs/>
      <w:kern w:val="2"/>
      <w:sz w:val="28"/>
      <w:szCs w:val="21"/>
    </w:rPr>
  </w:style>
  <w:style w:type="character" w:customStyle="1" w:styleId="559">
    <w:name w:val="p11"/>
    <w:basedOn w:val="84"/>
    <w:uiPriority w:val="0"/>
    <w:rPr>
      <w:rFonts w:hint="default"/>
      <w:spacing w:val="375"/>
      <w:sz w:val="18"/>
      <w:szCs w:val="18"/>
    </w:rPr>
  </w:style>
  <w:style w:type="character" w:customStyle="1" w:styleId="560">
    <w:name w:val="正文首行缩进 2 Char"/>
    <w:basedOn w:val="549"/>
    <w:link w:val="78"/>
    <w:uiPriority w:val="0"/>
    <w:rPr>
      <w:rFonts w:eastAsia="仿宋_GB2312"/>
      <w:kern w:val="2"/>
      <w:sz w:val="28"/>
      <w:szCs w:val="24"/>
    </w:rPr>
  </w:style>
  <w:style w:type="character" w:customStyle="1" w:styleId="561">
    <w:name w:val="正文缩进2222 Char"/>
    <w:basedOn w:val="84"/>
    <w:link w:val="437"/>
    <w:uiPriority w:val="0"/>
    <w:rPr>
      <w:rFonts w:cs="宋体"/>
      <w:kern w:val="2"/>
      <w:sz w:val="24"/>
    </w:rPr>
  </w:style>
  <w:style w:type="character" w:customStyle="1" w:styleId="562">
    <w:name w:val="style61"/>
    <w:basedOn w:val="84"/>
    <w:uiPriority w:val="0"/>
    <w:rPr>
      <w:b/>
      <w:bCs/>
      <w:sz w:val="27"/>
      <w:szCs w:val="27"/>
    </w:rPr>
  </w:style>
  <w:style w:type="character" w:customStyle="1" w:styleId="563">
    <w:name w:val="Char Char6"/>
    <w:basedOn w:val="84"/>
    <w:locked/>
    <w:uiPriority w:val="0"/>
    <w:rPr>
      <w:rFonts w:ascii="宋体" w:hAnsi="宋体" w:eastAsia="宋体"/>
      <w:color w:val="FF0000"/>
      <w:kern w:val="2"/>
      <w:sz w:val="18"/>
      <w:szCs w:val="21"/>
      <w:lang w:val="en-US" w:eastAsia="zh-CN" w:bidi="ar-SA"/>
    </w:rPr>
  </w:style>
  <w:style w:type="character" w:customStyle="1" w:styleId="564">
    <w:name w:val="正文(首行缩进) Char Char"/>
    <w:basedOn w:val="84"/>
    <w:link w:val="378"/>
    <w:uiPriority w:val="0"/>
    <w:rPr>
      <w:rFonts w:eastAsia="宋体"/>
      <w:color w:val="000000"/>
      <w:sz w:val="24"/>
      <w:szCs w:val="24"/>
      <w:lang w:val="en-US" w:eastAsia="zh-CN" w:bidi="ar-SA"/>
    </w:rPr>
  </w:style>
  <w:style w:type="character" w:customStyle="1" w:styleId="565">
    <w:name w:val="14hei1"/>
    <w:basedOn w:val="84"/>
    <w:uiPriority w:val="0"/>
    <w:rPr>
      <w:color w:val="000000"/>
      <w:sz w:val="28"/>
      <w:szCs w:val="28"/>
      <w:u w:val="none"/>
    </w:rPr>
  </w:style>
  <w:style w:type="character" w:styleId="566">
    <w:name w:val=""/>
    <w:basedOn w:val="84"/>
    <w:qFormat/>
    <w:uiPriority w:val="0"/>
    <w:rPr>
      <w:b/>
      <w:sz w:val="24"/>
      <w:u w:val="single"/>
    </w:rPr>
  </w:style>
  <w:style w:type="character" w:customStyle="1" w:styleId="567">
    <w:name w:val="正文缩进 Char1"/>
    <w:basedOn w:val="84"/>
    <w:link w:val="19"/>
    <w:uiPriority w:val="0"/>
    <w:rPr>
      <w:rFonts w:ascii="宋体" w:hAnsi="宋体" w:eastAsia="宋体"/>
      <w:kern w:val="2"/>
      <w:sz w:val="28"/>
      <w:lang w:val="en-US" w:eastAsia="zh-CN" w:bidi="ar-SA"/>
    </w:rPr>
  </w:style>
  <w:style w:type="character" w:customStyle="1" w:styleId="568">
    <w:name w:val="3标题(治) Char"/>
    <w:basedOn w:val="84"/>
    <w:link w:val="159"/>
    <w:uiPriority w:val="0"/>
    <w:rPr>
      <w:rFonts w:eastAsia="宋体"/>
      <w:b/>
      <w:bCs/>
      <w:kern w:val="2"/>
      <w:sz w:val="28"/>
      <w:szCs w:val="28"/>
      <w:lang w:val="en-US" w:eastAsia="zh-CN" w:bidi="ar-SA"/>
    </w:rPr>
  </w:style>
  <w:style w:type="character" w:customStyle="1" w:styleId="569">
    <w:name w:val="页脚 Char"/>
    <w:basedOn w:val="84"/>
    <w:link w:val="50"/>
    <w:uiPriority w:val="99"/>
    <w:rPr>
      <w:rFonts w:eastAsia="宋体"/>
      <w:kern w:val="2"/>
      <w:sz w:val="18"/>
      <w:szCs w:val="18"/>
      <w:lang w:val="en-US" w:eastAsia="zh-CN" w:bidi="ar-SA"/>
    </w:rPr>
  </w:style>
  <w:style w:type="character" w:customStyle="1" w:styleId="570">
    <w:name w:val="日期 Char"/>
    <w:basedOn w:val="84"/>
    <w:link w:val="45"/>
    <w:semiHidden/>
    <w:locked/>
    <w:uiPriority w:val="0"/>
    <w:rPr>
      <w:rFonts w:eastAsia="仿宋_GB2312"/>
      <w:kern w:val="2"/>
      <w:sz w:val="28"/>
      <w:lang w:val="en-US" w:eastAsia="zh-CN" w:bidi="ar-SA"/>
    </w:rPr>
  </w:style>
  <w:style w:type="character" w:customStyle="1" w:styleId="571">
    <w:name w:val="ft42"/>
    <w:basedOn w:val="84"/>
    <w:uiPriority w:val="0"/>
    <w:rPr>
      <w:rFonts w:hint="default" w:ascii="Times" w:hAnsi="Times" w:cs="Times"/>
      <w:color w:val="000000"/>
      <w:sz w:val="27"/>
      <w:szCs w:val="27"/>
    </w:rPr>
  </w:style>
  <w:style w:type="character" w:customStyle="1" w:styleId="572">
    <w:name w:val="正文首行缩进 Char"/>
    <w:link w:val="77"/>
    <w:uiPriority w:val="0"/>
    <w:rPr>
      <w:kern w:val="2"/>
      <w:sz w:val="21"/>
      <w:szCs w:val="24"/>
    </w:rPr>
  </w:style>
  <w:style w:type="character" w:customStyle="1" w:styleId="573">
    <w:name w:val="正文文字 21 Char1"/>
    <w:aliases w:val="紧缩文字 Char1"/>
    <w:basedOn w:val="84"/>
    <w:uiPriority w:val="0"/>
    <w:rPr>
      <w:rFonts w:ascii="宋体" w:hAnsi="宋体" w:eastAsia="宋体"/>
      <w:kern w:val="2"/>
      <w:sz w:val="24"/>
      <w:szCs w:val="24"/>
      <w:lang w:val="en-US" w:eastAsia="zh-CN" w:bidi="ar-SA"/>
    </w:rPr>
  </w:style>
  <w:style w:type="character" w:customStyle="1" w:styleId="574">
    <w:name w:val="Char Char7"/>
    <w:basedOn w:val="84"/>
    <w:semiHidden/>
    <w:uiPriority w:val="0"/>
    <w:rPr>
      <w:rFonts w:hint="eastAsia" w:ascii="宋体" w:hAnsi="宋体" w:eastAsia="宋体"/>
      <w:bCs/>
      <w:kern w:val="2"/>
      <w:sz w:val="28"/>
      <w:szCs w:val="24"/>
    </w:rPr>
  </w:style>
  <w:style w:type="character" w:styleId="575">
    <w:name w:val=""/>
    <w:basedOn w:val="84"/>
    <w:qFormat/>
    <w:uiPriority w:val="0"/>
    <w:rPr>
      <w:rFonts w:hint="default" w:ascii="Cambria" w:hAnsi="Cambria" w:eastAsia="宋体"/>
      <w:b/>
      <w:i/>
      <w:sz w:val="24"/>
      <w:szCs w:val="24"/>
    </w:rPr>
  </w:style>
  <w:style w:type="character" w:customStyle="1" w:styleId="576">
    <w:name w:val="正文(首行缩进) Char"/>
    <w:basedOn w:val="84"/>
    <w:uiPriority w:val="0"/>
    <w:rPr>
      <w:rFonts w:eastAsia="宋体"/>
      <w:color w:val="000000"/>
      <w:sz w:val="24"/>
      <w:szCs w:val="24"/>
      <w:lang w:val="en-US" w:eastAsia="zh-CN" w:bidi="ar-SA"/>
    </w:rPr>
  </w:style>
  <w:style w:type="character" w:customStyle="1" w:styleId="577">
    <w:name w:val="正文01 Char1"/>
    <w:basedOn w:val="84"/>
    <w:link w:val="244"/>
    <w:uiPriority w:val="0"/>
    <w:rPr>
      <w:rFonts w:eastAsia="宋体"/>
      <w:bCs/>
      <w:kern w:val="2"/>
      <w:sz w:val="24"/>
      <w:szCs w:val="24"/>
      <w:lang w:val="en-US" w:eastAsia="zh-CN" w:bidi="ar-SA"/>
    </w:rPr>
  </w:style>
  <w:style w:type="character" w:customStyle="1" w:styleId="578">
    <w:name w:val="1.1.1.1 Char"/>
    <w:basedOn w:val="84"/>
    <w:link w:val="228"/>
    <w:uiPriority w:val="0"/>
    <w:rPr>
      <w:rFonts w:ascii="黑体" w:hAnsi="华文仿宋" w:eastAsia="黑体"/>
      <w:spacing w:val="4"/>
      <w:sz w:val="28"/>
      <w:lang w:val="en-US" w:eastAsia="zh-CN" w:bidi="ar-SA"/>
    </w:rPr>
  </w:style>
  <w:style w:type="character" w:customStyle="1" w:styleId="579">
    <w:name w:val="标题 5 Char"/>
    <w:basedOn w:val="84"/>
    <w:link w:val="7"/>
    <w:uiPriority w:val="0"/>
    <w:rPr>
      <w:b/>
      <w:sz w:val="28"/>
    </w:rPr>
  </w:style>
  <w:style w:type="character" w:customStyle="1" w:styleId="580">
    <w:name w:val=" Char Char"/>
    <w:basedOn w:val="84"/>
    <w:uiPriority w:val="0"/>
    <w:rPr>
      <w:rFonts w:eastAsia="宋体"/>
      <w:kern w:val="2"/>
      <w:sz w:val="21"/>
      <w:lang w:val="en-US" w:eastAsia="zh-CN" w:bidi="ar-SA"/>
    </w:rPr>
  </w:style>
  <w:style w:type="character" w:customStyle="1" w:styleId="581">
    <w:name w:val="陆晶 正文 Char"/>
    <w:basedOn w:val="84"/>
    <w:link w:val="174"/>
    <w:uiPriority w:val="0"/>
    <w:rPr>
      <w:rFonts w:eastAsia="宋体"/>
      <w:color w:val="000000"/>
      <w:spacing w:val="6"/>
      <w:sz w:val="24"/>
      <w:szCs w:val="24"/>
      <w:lang w:val="zh-CN" w:eastAsia="zh-CN" w:bidi="ar-SA"/>
    </w:rPr>
  </w:style>
  <w:style w:type="character" w:customStyle="1" w:styleId="582">
    <w:name w:val="正文(首行缩进) Char1"/>
    <w:basedOn w:val="84"/>
    <w:uiPriority w:val="0"/>
    <w:rPr>
      <w:b/>
      <w:bCs/>
      <w:snapToGrid w:val="0"/>
      <w:spacing w:val="2"/>
      <w:sz w:val="24"/>
      <w:szCs w:val="21"/>
    </w:rPr>
  </w:style>
  <w:style w:type="character" w:customStyle="1" w:styleId="583">
    <w:name w:val="正文 宋体 小四 Char"/>
    <w:basedOn w:val="84"/>
    <w:link w:val="334"/>
    <w:uiPriority w:val="0"/>
    <w:rPr>
      <w:rFonts w:ascii="宋体" w:hAnsi="宋体" w:eastAsia="宋体"/>
      <w:kern w:val="2"/>
      <w:sz w:val="24"/>
      <w:lang w:val="en-US" w:eastAsia="zh-CN" w:bidi="ar-SA"/>
    </w:rPr>
  </w:style>
  <w:style w:type="character" w:customStyle="1" w:styleId="584">
    <w:name w:val="Char Char211"/>
    <w:basedOn w:val="84"/>
    <w:uiPriority w:val="0"/>
    <w:rPr>
      <w:rFonts w:ascii="黑体" w:hAnsi="Times New Roman" w:eastAsia="黑体"/>
      <w:bCs/>
      <w:kern w:val="44"/>
      <w:sz w:val="30"/>
      <w:szCs w:val="44"/>
    </w:rPr>
  </w:style>
  <w:style w:type="character" w:customStyle="1" w:styleId="585">
    <w:name w:val="电脑标志 Char Char"/>
    <w:basedOn w:val="84"/>
    <w:uiPriority w:val="0"/>
    <w:rPr>
      <w:rFonts w:ascii="Arial" w:hAnsi="Arial" w:eastAsia="黑体"/>
      <w:b/>
      <w:bCs/>
      <w:kern w:val="2"/>
      <w:sz w:val="32"/>
      <w:szCs w:val="32"/>
      <w:lang w:val="en-US" w:eastAsia="zh-CN" w:bidi="ar-SA"/>
    </w:rPr>
  </w:style>
  <w:style w:type="character" w:customStyle="1" w:styleId="586">
    <w:name w:val=" Char Char2"/>
    <w:basedOn w:val="84"/>
    <w:uiPriority w:val="0"/>
    <w:rPr>
      <w:rFonts w:ascii="宋体" w:hAnsi="宋体" w:eastAsia="宋体" w:cs="Arial"/>
      <w:b/>
      <w:bCs/>
      <w:kern w:val="2"/>
      <w:sz w:val="24"/>
      <w:szCs w:val="24"/>
      <w:lang w:val="en-US" w:eastAsia="zh-CN" w:bidi="ar-SA"/>
    </w:rPr>
  </w:style>
  <w:style w:type="character" w:customStyle="1" w:styleId="587">
    <w:name w:val="正文缩进 Char"/>
    <w:aliases w:val="正文（首行缩进两字） Char Char Char Char Char Char Char,正文（首行缩进仿宋小四） Char,正文2 Char Char Char Char Char Char Char Char Char Char Char Char Char Char Char,图表 Char,正文（首行缩进两字） Char"/>
    <w:basedOn w:val="84"/>
    <w:uiPriority w:val="0"/>
    <w:rPr>
      <w:rFonts w:eastAsia="宋体"/>
      <w:kern w:val="2"/>
      <w:sz w:val="28"/>
      <w:lang w:val="en-US" w:eastAsia="zh-CN" w:bidi="ar-SA"/>
    </w:rPr>
  </w:style>
  <w:style w:type="character" w:customStyle="1" w:styleId="588">
    <w:name w:val="正文-ls Char"/>
    <w:basedOn w:val="84"/>
    <w:link w:val="118"/>
    <w:uiPriority w:val="0"/>
    <w:rPr>
      <w:rFonts w:hAnsi="宋体" w:eastAsia="宋体" w:cs="宋体"/>
      <w:kern w:val="2"/>
      <w:sz w:val="24"/>
      <w:lang w:val="en-US" w:eastAsia="zh-CN" w:bidi="ar-SA"/>
    </w:rPr>
  </w:style>
  <w:style w:type="character" w:customStyle="1" w:styleId="589">
    <w:name w:val="表文字 Char1"/>
    <w:basedOn w:val="84"/>
    <w:link w:val="473"/>
    <w:uiPriority w:val="0"/>
    <w:rPr>
      <w:rFonts w:eastAsia="宋体"/>
      <w:sz w:val="24"/>
      <w:lang w:val="en-US" w:eastAsia="zh-CN" w:bidi="ar-SA"/>
    </w:rPr>
  </w:style>
  <w:style w:type="character" w:customStyle="1" w:styleId="590">
    <w:name w:val="报告书正文 Char"/>
    <w:link w:val="340"/>
    <w:uiPriority w:val="0"/>
    <w:rPr>
      <w:rFonts w:eastAsia="宋体"/>
      <w:kern w:val="2"/>
      <w:sz w:val="28"/>
      <w:szCs w:val="28"/>
      <w:lang w:val="en-US" w:eastAsia="zh-CN" w:bidi="ar-SA"/>
    </w:rPr>
  </w:style>
  <w:style w:type="character" w:customStyle="1" w:styleId="591">
    <w:name w:val="第四层条 Char1"/>
    <w:aliases w:val="标题1.1.1.1.1 Char,H5 Char,标题 5 Char Char Char Char"/>
    <w:basedOn w:val="84"/>
    <w:locked/>
    <w:uiPriority w:val="0"/>
    <w:rPr>
      <w:rFonts w:eastAsia="宋体"/>
      <w:b/>
      <w:bCs/>
      <w:kern w:val="2"/>
      <w:sz w:val="28"/>
      <w:szCs w:val="28"/>
      <w:lang w:val="en-US" w:eastAsia="zh-CN" w:bidi="ar-SA"/>
    </w:rPr>
  </w:style>
  <w:style w:type="character" w:customStyle="1" w:styleId="592">
    <w:name w:val="蒲正文 Char"/>
    <w:basedOn w:val="84"/>
    <w:link w:val="183"/>
    <w:uiPriority w:val="0"/>
    <w:rPr>
      <w:rFonts w:eastAsia="宋体"/>
      <w:sz w:val="24"/>
      <w:szCs w:val="24"/>
      <w:lang w:val="en-US" w:eastAsia="zh-CN" w:bidi="ar-SA"/>
    </w:rPr>
  </w:style>
  <w:style w:type="character" w:customStyle="1" w:styleId="593">
    <w:name w:val="标题 3 Char1 Char Char1"/>
    <w:aliases w:val="标题 3 Char Char1 Char Char2,标题 3 Char1 Char2,标题 3 Char Char1 Char Char3"/>
    <w:basedOn w:val="84"/>
    <w:uiPriority w:val="0"/>
    <w:rPr>
      <w:rFonts w:eastAsia="宋体"/>
      <w:b/>
      <w:bCs/>
      <w:kern w:val="2"/>
      <w:sz w:val="32"/>
      <w:szCs w:val="32"/>
      <w:lang w:val="en-US" w:eastAsia="zh-CN" w:bidi="ar-SA"/>
    </w:rPr>
  </w:style>
  <w:style w:type="character" w:customStyle="1" w:styleId="594">
    <w:name w:val="hui141"/>
    <w:basedOn w:val="84"/>
    <w:uiPriority w:val="0"/>
    <w:rPr>
      <w:b/>
      <w:bCs/>
      <w:color w:val="333333"/>
      <w:sz w:val="21"/>
      <w:szCs w:val="21"/>
    </w:rPr>
  </w:style>
  <w:style w:type="character" w:customStyle="1" w:styleId="595">
    <w:name w:val="标题 1 Char Char Char Char Char Char Char Char"/>
    <w:aliases w:val="H1 Char,NMP Heading 1 Char,一、 Char,Head 1wsa Char,1.标题 1 Char,一级标题(章) Char,一级标题 Char,标题1 Char,章节 Char,章标题 1 Char,章节标题 Char,标题 1 Char Char Char Char,标题 1 Char Char Char1,h1 Char,heading Char,heading 1 Char"/>
    <w:basedOn w:val="84"/>
    <w:uiPriority w:val="0"/>
    <w:rPr>
      <w:kern w:val="44"/>
      <w:sz w:val="28"/>
    </w:rPr>
  </w:style>
  <w:style w:type="character" w:customStyle="1" w:styleId="596">
    <w:name w:val="页眉小5号 Char Char"/>
    <w:basedOn w:val="84"/>
    <w:uiPriority w:val="0"/>
    <w:rPr>
      <w:rFonts w:eastAsia="宋体"/>
      <w:kern w:val="2"/>
      <w:sz w:val="18"/>
      <w:szCs w:val="18"/>
      <w:lang w:val="en-US" w:eastAsia="zh-CN" w:bidi="ar-SA"/>
    </w:rPr>
  </w:style>
  <w:style w:type="character" w:customStyle="1" w:styleId="597">
    <w:name w:val="正文文字1 Char"/>
    <w:basedOn w:val="84"/>
    <w:uiPriority w:val="0"/>
    <w:rPr>
      <w:rFonts w:eastAsia="宋体"/>
      <w:kern w:val="2"/>
      <w:sz w:val="24"/>
      <w:szCs w:val="24"/>
      <w:lang w:val="en-US" w:eastAsia="zh-CN" w:bidi="ar-SA"/>
    </w:rPr>
  </w:style>
  <w:style w:type="character" w:customStyle="1" w:styleId="598">
    <w:name w:val="表号 Char1"/>
    <w:basedOn w:val="84"/>
    <w:link w:val="195"/>
    <w:uiPriority w:val="0"/>
    <w:rPr>
      <w:rFonts w:eastAsia="宋体"/>
      <w:kern w:val="2"/>
      <w:sz w:val="21"/>
      <w:szCs w:val="24"/>
      <w:lang w:val="en-US" w:eastAsia="zh-CN" w:bidi="ar-SA"/>
    </w:rPr>
  </w:style>
  <w:style w:type="character" w:customStyle="1" w:styleId="599">
    <w:name w:val="左2 Char"/>
    <w:basedOn w:val="84"/>
    <w:link w:val="111"/>
    <w:locked/>
    <w:uiPriority w:val="0"/>
    <w:rPr>
      <w:rFonts w:ascii="宋体" w:hAnsi="宋体" w:eastAsia="宋体"/>
      <w:kern w:val="2"/>
      <w:sz w:val="28"/>
      <w:szCs w:val="28"/>
      <w:lang w:val="en-US" w:eastAsia="zh-CN" w:bidi="ar-SA"/>
    </w:rPr>
  </w:style>
  <w:style w:type="character" w:customStyle="1" w:styleId="600">
    <w:name w:val="14red1"/>
    <w:basedOn w:val="84"/>
    <w:uiPriority w:val="0"/>
    <w:rPr>
      <w:color w:val="FF0000"/>
      <w:sz w:val="21"/>
      <w:szCs w:val="21"/>
      <w:u w:val="none"/>
    </w:rPr>
  </w:style>
  <w:style w:type="character" w:customStyle="1" w:styleId="601">
    <w:name w:val="unnamed11"/>
    <w:basedOn w:val="84"/>
    <w:uiPriority w:val="0"/>
    <w:rPr>
      <w:rFonts w:hint="eastAsia" w:ascii="宋体" w:hAnsi="宋体" w:eastAsia="宋体"/>
      <w:sz w:val="20"/>
      <w:szCs w:val="20"/>
    </w:rPr>
  </w:style>
  <w:style w:type="character" w:customStyle="1" w:styleId="602">
    <w:name w:val="立项正文（首行缩进两字） Char Char"/>
    <w:basedOn w:val="84"/>
    <w:uiPriority w:val="0"/>
    <w:rPr>
      <w:rFonts w:eastAsia="仿宋_GB2312"/>
      <w:kern w:val="2"/>
      <w:sz w:val="28"/>
    </w:rPr>
  </w:style>
  <w:style w:type="character" w:customStyle="1" w:styleId="603">
    <w:name w:val="紧缩文字 Char"/>
    <w:aliases w:val="Body Text 2 Char,正文文字 21 Char,特点标题 Char1,正文文字( 首段缩进两字） Char1,正文文字缩进 Char1,正文文字缩进2字符 Char1,正文文字缩进 Char Char Char Char1,正文文字缩进 Char Char2,正文文本缩进1 Char Char1,正文文本缩进1 Char Char2"/>
    <w:basedOn w:val="84"/>
    <w:uiPriority w:val="0"/>
    <w:rPr>
      <w:rFonts w:eastAsia="宋体"/>
      <w:kern w:val="2"/>
      <w:sz w:val="21"/>
      <w:szCs w:val="24"/>
      <w:lang w:val="en-US" w:eastAsia="zh-CN" w:bidi="ar-SA"/>
    </w:rPr>
  </w:style>
  <w:style w:type="character" w:customStyle="1" w:styleId="604">
    <w:name w:val="正文文本 Char"/>
    <w:aliases w:val="正文文字 Char1,表标 Char,四号 Char,ALT+Z Char,bt Char,缩进 Char,段1 Char,文本条款 Char,±êÌâ2 Char,正文 + 宋体 Char,行距: 1.5 倍行距 Char,左  2.57 字符 Char,首行缩进:  0 字符 Char,正文（首行缩进两字） Char Char,小四宋体常规，1.5倍行距 Char,正文，首行缩进两字，小四宋体常规，1.5倍行距 Char,鋘drad Char,特点 Char,表正文 Char"/>
    <w:basedOn w:val="84"/>
    <w:uiPriority w:val="0"/>
    <w:rPr>
      <w:rFonts w:ascii="宋体" w:hAnsi="宋体" w:eastAsia="宋体"/>
      <w:color w:val="000000"/>
      <w:kern w:val="2"/>
      <w:sz w:val="21"/>
      <w:szCs w:val="24"/>
      <w:lang w:val="en-US" w:eastAsia="zh-CN" w:bidi="ar-SA"/>
    </w:rPr>
  </w:style>
  <w:style w:type="character" w:customStyle="1" w:styleId="605">
    <w:name w:val="链接"/>
    <w:basedOn w:val="84"/>
    <w:uiPriority w:val="0"/>
    <w:rPr>
      <w:rFonts w:ascii="Times New Roman" w:eastAsia="宋体"/>
      <w:color w:val="0000FF"/>
      <w:sz w:val="21"/>
      <w:u w:val="single" w:color="0000FF"/>
      <w:vertAlign w:val="baseline"/>
      <w:lang w:val="en-US" w:eastAsia="zh-CN"/>
    </w:rPr>
  </w:style>
  <w:style w:type="character" w:customStyle="1" w:styleId="606">
    <w:name w:val="Char Char11"/>
    <w:basedOn w:val="84"/>
    <w:uiPriority w:val="0"/>
    <w:rPr>
      <w:rFonts w:eastAsia="宋体"/>
      <w:kern w:val="2"/>
      <w:sz w:val="21"/>
      <w:szCs w:val="24"/>
      <w:lang w:val="en-US" w:eastAsia="zh-CN" w:bidi="ar-SA"/>
    </w:rPr>
  </w:style>
  <w:style w:type="character" w:customStyle="1" w:styleId="607">
    <w:name w:val="标题 11 Char"/>
    <w:aliases w:val="1 标题 1 Char Char"/>
    <w:basedOn w:val="84"/>
    <w:uiPriority w:val="0"/>
    <w:rPr>
      <w:rFonts w:hint="eastAsia" w:ascii="宋体" w:hAnsi="宋体" w:eastAsia="宋体" w:cs="Times New Roman"/>
      <w:kern w:val="44"/>
      <w:sz w:val="32"/>
      <w:szCs w:val="32"/>
    </w:rPr>
  </w:style>
  <w:style w:type="character" w:customStyle="1" w:styleId="608">
    <w:name w:val="第四层条 Char Char"/>
    <w:basedOn w:val="84"/>
    <w:uiPriority w:val="0"/>
    <w:rPr>
      <w:rFonts w:eastAsia="宋体"/>
      <w:b/>
      <w:kern w:val="2"/>
      <w:sz w:val="28"/>
      <w:lang w:val="en-US" w:eastAsia="zh-CN" w:bidi="ar-SA"/>
    </w:rPr>
  </w:style>
  <w:style w:type="character" w:customStyle="1" w:styleId="609">
    <w:name w:val="标题 1 Char"/>
    <w:basedOn w:val="84"/>
    <w:link w:val="3"/>
    <w:uiPriority w:val="0"/>
    <w:rPr>
      <w:rFonts w:eastAsia="黑体"/>
      <w:kern w:val="2"/>
      <w:sz w:val="28"/>
    </w:rPr>
  </w:style>
  <w:style w:type="character" w:customStyle="1" w:styleId="610">
    <w:name w:val="正文文本缩进 3 Char"/>
    <w:basedOn w:val="84"/>
    <w:link w:val="63"/>
    <w:uiPriority w:val="0"/>
    <w:rPr>
      <w:rFonts w:ascii="仿宋_GB2312" w:eastAsia="仿宋_GB2312"/>
      <w:kern w:val="2"/>
      <w:sz w:val="28"/>
      <w:lang w:val="en-US" w:eastAsia="zh-CN" w:bidi="ar-SA"/>
    </w:rPr>
  </w:style>
  <w:style w:type="character" w:customStyle="1" w:styleId="611">
    <w:name w:val="1.1标题 2 Char Char"/>
    <w:basedOn w:val="84"/>
    <w:uiPriority w:val="0"/>
    <w:rPr>
      <w:rFonts w:hint="default" w:ascii="Arial" w:hAnsi="Arial" w:eastAsia="宋体" w:cs="Times New Roman"/>
      <w:b/>
      <w:kern w:val="44"/>
      <w:sz w:val="28"/>
      <w:szCs w:val="20"/>
    </w:rPr>
  </w:style>
  <w:style w:type="character" w:customStyle="1" w:styleId="612">
    <w:name w:val="样式 标题 2节标题 1.11.1标题2SeBSH-2h2l22nd levelTitre22Header ... Char"/>
    <w:basedOn w:val="84"/>
    <w:link w:val="430"/>
    <w:uiPriority w:val="0"/>
    <w:rPr>
      <w:rFonts w:ascii="宋体" w:hAnsi="宋体" w:eastAsia="黑体"/>
      <w:bCs/>
      <w:kern w:val="2"/>
      <w:sz w:val="24"/>
      <w:szCs w:val="32"/>
      <w:lang w:val="en-US" w:eastAsia="zh-CN" w:bidi="ar-SA"/>
    </w:rPr>
  </w:style>
  <w:style w:type="character" w:customStyle="1" w:styleId="613">
    <w:name w:val="图名 Char"/>
    <w:basedOn w:val="84"/>
    <w:link w:val="258"/>
    <w:uiPriority w:val="0"/>
    <w:rPr>
      <w:rFonts w:eastAsia="黑体"/>
      <w:kern w:val="2"/>
      <w:szCs w:val="48"/>
      <w:lang w:val="en-US" w:eastAsia="zh-CN" w:bidi="ar-SA"/>
    </w:rPr>
  </w:style>
  <w:style w:type="character" w:customStyle="1" w:styleId="614">
    <w:name w:val="Char Char3"/>
    <w:basedOn w:val="84"/>
    <w:uiPriority w:val="0"/>
    <w:rPr>
      <w:rFonts w:eastAsia="宋体"/>
      <w:kern w:val="2"/>
      <w:sz w:val="18"/>
      <w:lang w:val="en-US" w:eastAsia="zh-CN" w:bidi="ar-SA"/>
    </w:rPr>
  </w:style>
  <w:style w:type="character" w:customStyle="1" w:styleId="615">
    <w:name w:val="textcontents"/>
    <w:basedOn w:val="84"/>
    <w:uiPriority w:val="0"/>
  </w:style>
  <w:style w:type="character" w:customStyle="1" w:styleId="616">
    <w:name w:val="Char Char10"/>
    <w:basedOn w:val="84"/>
    <w:uiPriority w:val="0"/>
    <w:rPr>
      <w:rFonts w:ascii="Times New Roman" w:hAnsi="Times New Roman" w:eastAsia="宋体" w:cs="Times New Roman"/>
      <w:sz w:val="18"/>
      <w:szCs w:val="18"/>
    </w:rPr>
  </w:style>
  <w:style w:type="character" w:customStyle="1" w:styleId="617">
    <w:name w:val="Body Text Indent 3 Char"/>
    <w:aliases w:val="正文文字缩进 31 Char Char"/>
    <w:basedOn w:val="84"/>
    <w:uiPriority w:val="0"/>
    <w:rPr>
      <w:kern w:val="2"/>
      <w:sz w:val="16"/>
      <w:szCs w:val="16"/>
    </w:rPr>
  </w:style>
  <w:style w:type="character" w:customStyle="1" w:styleId="618">
    <w:name w:val="纯文本 Char2"/>
    <w:uiPriority w:val="0"/>
    <w:rPr>
      <w:rFonts w:eastAsia="宋体"/>
      <w:spacing w:val="8"/>
      <w:kern w:val="2"/>
      <w:sz w:val="24"/>
      <w:lang w:val="en-US" w:eastAsia="zh-CN" w:bidi="ar-SA"/>
    </w:rPr>
  </w:style>
  <w:style w:type="character" w:customStyle="1" w:styleId="619">
    <w:name w:val="jj1"/>
    <w:basedOn w:val="84"/>
    <w:uiPriority w:val="0"/>
    <w:rPr>
      <w:spacing w:val="300"/>
    </w:rPr>
  </w:style>
  <w:style w:type="character" w:customStyle="1" w:styleId="620">
    <w:name w:val="正文文本最新 Char Char Char Char1 Char Char"/>
    <w:basedOn w:val="84"/>
    <w:link w:val="275"/>
    <w:uiPriority w:val="0"/>
    <w:rPr>
      <w:rFonts w:eastAsia="宋体"/>
      <w:bCs/>
      <w:kern w:val="2"/>
      <w:sz w:val="28"/>
      <w:szCs w:val="24"/>
      <w:lang w:val="en-US" w:eastAsia="zh-CN" w:bidi="ar-SA"/>
    </w:rPr>
  </w:style>
  <w:style w:type="character" w:customStyle="1" w:styleId="621">
    <w:name w:val="标题 7表内5号 Char Char"/>
    <w:basedOn w:val="84"/>
    <w:uiPriority w:val="0"/>
    <w:rPr>
      <w:rFonts w:eastAsia="宋体"/>
      <w:b/>
      <w:bCs/>
      <w:kern w:val="2"/>
      <w:sz w:val="24"/>
      <w:szCs w:val="24"/>
      <w:lang w:val="en-US" w:eastAsia="zh-CN" w:bidi="ar-SA"/>
    </w:rPr>
  </w:style>
  <w:style w:type="character" w:customStyle="1" w:styleId="622">
    <w:name w:val="正文A Char"/>
    <w:link w:val="157"/>
    <w:uiPriority w:val="0"/>
    <w:rPr>
      <w:sz w:val="28"/>
    </w:rPr>
  </w:style>
  <w:style w:type="character" w:customStyle="1" w:styleId="623">
    <w:name w:val="标题 2 Char"/>
    <w:basedOn w:val="84"/>
    <w:link w:val="4"/>
    <w:uiPriority w:val="0"/>
    <w:rPr>
      <w:b/>
      <w:bCs/>
      <w:kern w:val="2"/>
      <w:sz w:val="21"/>
    </w:rPr>
  </w:style>
  <w:style w:type="character" w:customStyle="1" w:styleId="624">
    <w:name w:val="Char Char16"/>
    <w:basedOn w:val="84"/>
    <w:uiPriority w:val="0"/>
    <w:rPr>
      <w:rFonts w:hint="eastAsia" w:ascii="黑体" w:eastAsia="黑体"/>
      <w:b/>
      <w:kern w:val="2"/>
      <w:sz w:val="28"/>
      <w:szCs w:val="28"/>
    </w:rPr>
  </w:style>
  <w:style w:type="character" w:customStyle="1" w:styleId="625">
    <w:name w:val="正文文本缩进 2 Char"/>
    <w:basedOn w:val="84"/>
    <w:link w:val="46"/>
    <w:uiPriority w:val="0"/>
    <w:rPr>
      <w:rFonts w:ascii="仿宋_GB2312" w:eastAsia="仿宋_GB2312"/>
      <w:kern w:val="2"/>
      <w:sz w:val="28"/>
      <w:lang w:val="en-US" w:eastAsia="zh-CN" w:bidi="ar-SA"/>
    </w:rPr>
  </w:style>
  <w:style w:type="character" w:customStyle="1" w:styleId="626">
    <w:name w:val="ft610"/>
    <w:basedOn w:val="84"/>
    <w:uiPriority w:val="0"/>
    <w:rPr>
      <w:rFonts w:hint="default" w:ascii="Times" w:hAnsi="Times" w:cs="Times"/>
      <w:color w:val="000000"/>
      <w:sz w:val="24"/>
      <w:szCs w:val="24"/>
    </w:rPr>
  </w:style>
  <w:style w:type="character" w:customStyle="1" w:styleId="627">
    <w:name w:val="标题 8 Char"/>
    <w:basedOn w:val="84"/>
    <w:link w:val="10"/>
    <w:uiPriority w:val="0"/>
    <w:rPr>
      <w:rFonts w:ascii="Arial" w:hAnsi="Arial" w:eastAsia="黑体"/>
    </w:rPr>
  </w:style>
  <w:style w:type="character" w:customStyle="1" w:styleId="628">
    <w:name w:val="报告正文小四 Char"/>
    <w:basedOn w:val="84"/>
    <w:link w:val="316"/>
    <w:uiPriority w:val="0"/>
    <w:rPr>
      <w:rFonts w:ascii="宋体" w:hAnsi="宋体" w:eastAsia="宋体"/>
      <w:kern w:val="2"/>
      <w:sz w:val="24"/>
      <w:lang w:val="en-US" w:eastAsia="zh-CN" w:bidi="ar-SA"/>
    </w:rPr>
  </w:style>
  <w:style w:type="character" w:customStyle="1" w:styleId="629">
    <w:name w:val="引用 Char"/>
    <w:basedOn w:val="84"/>
    <w:link w:val="438"/>
    <w:locked/>
    <w:uiPriority w:val="0"/>
    <w:rPr>
      <w:rFonts w:ascii="Calibri" w:hAnsi="Calibri" w:eastAsia="宋体"/>
      <w:i/>
      <w:sz w:val="24"/>
      <w:szCs w:val="24"/>
      <w:lang w:val="en-US" w:eastAsia="en-US" w:bidi="en-US"/>
    </w:rPr>
  </w:style>
  <w:style w:type="character" w:customStyle="1" w:styleId="630">
    <w:name w:val="Char Char121"/>
    <w:basedOn w:val="84"/>
    <w:locked/>
    <w:uiPriority w:val="0"/>
    <w:rPr>
      <w:rFonts w:ascii="Arial" w:hAnsi="Arial" w:eastAsia="黑体"/>
      <w:b/>
      <w:bCs/>
      <w:kern w:val="2"/>
      <w:sz w:val="24"/>
      <w:szCs w:val="24"/>
      <w:lang w:val="en-US" w:eastAsia="zh-CN" w:bidi="ar-SA"/>
    </w:rPr>
  </w:style>
  <w:style w:type="character" w:customStyle="1" w:styleId="631">
    <w:name w:val="正文文字1 Char Char"/>
    <w:basedOn w:val="84"/>
    <w:uiPriority w:val="0"/>
    <w:rPr>
      <w:rFonts w:eastAsia="宋体"/>
      <w:kern w:val="2"/>
      <w:sz w:val="21"/>
      <w:szCs w:val="24"/>
      <w:lang w:val="en-US" w:eastAsia="zh-CN" w:bidi="ar-SA"/>
    </w:rPr>
  </w:style>
  <w:style w:type="character" w:customStyle="1" w:styleId="632">
    <w:name w:val="infodetail"/>
    <w:basedOn w:val="84"/>
    <w:uiPriority w:val="0"/>
  </w:style>
  <w:style w:type="character" w:customStyle="1" w:styleId="633">
    <w:name w:val="样式 居中 首行缩进:  0 字符 Char Char Char"/>
    <w:basedOn w:val="84"/>
    <w:link w:val="457"/>
    <w:locked/>
    <w:uiPriority w:val="0"/>
    <w:rPr>
      <w:rFonts w:ascii="宋体" w:hAnsi="宋体" w:eastAsia="宋体"/>
      <w:color w:val="FF0000"/>
      <w:kern w:val="2"/>
      <w:sz w:val="18"/>
      <w:szCs w:val="18"/>
      <w:lang w:val="en-US" w:eastAsia="zh-CN" w:bidi="ar-SA"/>
    </w:rPr>
  </w:style>
  <w:style w:type="character" w:customStyle="1" w:styleId="634">
    <w:name w:val="蒲标题3 Char"/>
    <w:basedOn w:val="84"/>
    <w:link w:val="229"/>
    <w:uiPriority w:val="0"/>
    <w:rPr>
      <w:rFonts w:eastAsia="宋体"/>
      <w:b/>
      <w:bCs/>
      <w:color w:val="000000"/>
      <w:kern w:val="2"/>
      <w:sz w:val="24"/>
      <w:szCs w:val="24"/>
      <w:lang w:val="en-US" w:eastAsia="zh-CN" w:bidi="ar-SA"/>
    </w:rPr>
  </w:style>
  <w:style w:type="character" w:customStyle="1" w:styleId="635">
    <w:name w:val="Char Char201"/>
    <w:basedOn w:val="84"/>
    <w:uiPriority w:val="0"/>
    <w:rPr>
      <w:rFonts w:ascii="Times New Roman" w:hAnsi="宋体" w:cs="Times New Roman"/>
      <w:b/>
      <w:bCs/>
      <w:kern w:val="2"/>
      <w:sz w:val="28"/>
      <w:szCs w:val="32"/>
    </w:rPr>
  </w:style>
  <w:style w:type="character" w:styleId="636">
    <w:name w:val="Placeholder Text"/>
    <w:basedOn w:val="84"/>
    <w:semiHidden/>
    <w:uiPriority w:val="0"/>
    <w:rPr>
      <w:color w:val="808080"/>
    </w:rPr>
  </w:style>
  <w:style w:type="character" w:customStyle="1" w:styleId="637">
    <w:name w:val="c1"/>
    <w:basedOn w:val="84"/>
    <w:uiPriority w:val="0"/>
    <w:rPr>
      <w:rFonts w:hint="default" w:ascii="ˎ̥" w:hAnsi="ˎ̥"/>
      <w:color w:val="000000"/>
      <w:sz w:val="21"/>
      <w:szCs w:val="21"/>
      <w:u w:val="none"/>
    </w:rPr>
  </w:style>
  <w:style w:type="character" w:customStyle="1" w:styleId="638">
    <w:name w:val="wangyong1"/>
    <w:basedOn w:val="84"/>
    <w:uiPriority w:val="0"/>
    <w:rPr>
      <w:rFonts w:hint="default"/>
      <w:color w:val="000000"/>
      <w:spacing w:val="280"/>
      <w:sz w:val="18"/>
      <w:szCs w:val="18"/>
      <w:u w:val="none"/>
    </w:rPr>
  </w:style>
  <w:style w:type="character" w:customStyle="1" w:styleId="639">
    <w:name w:val="Normal Char"/>
    <w:basedOn w:val="84"/>
    <w:link w:val="358"/>
    <w:uiPriority w:val="0"/>
    <w:rPr>
      <w:lang w:val="en-US" w:eastAsia="zh-CN" w:bidi="ar-SA"/>
    </w:rPr>
  </w:style>
  <w:style w:type="character" w:customStyle="1" w:styleId="640">
    <w:name w:val="bold121"/>
    <w:basedOn w:val="84"/>
    <w:uiPriority w:val="0"/>
    <w:rPr>
      <w:b/>
      <w:bCs/>
      <w:sz w:val="18"/>
      <w:szCs w:val="18"/>
    </w:rPr>
  </w:style>
  <w:style w:type="character" w:customStyle="1" w:styleId="641">
    <w:name w:val="正文文字缩进 31 Char"/>
    <w:aliases w:val="Body Text Indent 3 Char Char"/>
    <w:basedOn w:val="84"/>
    <w:uiPriority w:val="0"/>
    <w:rPr>
      <w:rFonts w:eastAsia="宋体"/>
      <w:kern w:val="2"/>
      <w:sz w:val="24"/>
      <w:szCs w:val="24"/>
      <w:lang w:val="en-US" w:eastAsia="zh-CN" w:bidi="ar-SA"/>
    </w:rPr>
  </w:style>
  <w:style w:type="character" w:customStyle="1" w:styleId="642">
    <w:name w:val="题注 Char"/>
    <w:basedOn w:val="84"/>
    <w:link w:val="20"/>
    <w:uiPriority w:val="0"/>
    <w:rPr>
      <w:rFonts w:ascii="Arial" w:hAnsi="Arial" w:eastAsia="黑体" w:cs="Arial"/>
      <w:kern w:val="2"/>
      <w:lang w:val="en-US" w:eastAsia="zh-CN" w:bidi="ar-SA"/>
    </w:rPr>
  </w:style>
  <w:style w:type="character" w:customStyle="1" w:styleId="643">
    <w:name w:val="hb4 Char1"/>
    <w:basedOn w:val="84"/>
    <w:link w:val="242"/>
    <w:locked/>
    <w:uiPriority w:val="0"/>
    <w:rPr>
      <w:rFonts w:ascii="宋体" w:hAnsi="宋体" w:eastAsia="宋体"/>
      <w:b/>
      <w:sz w:val="24"/>
      <w:lang w:val="en-US" w:eastAsia="zh-CN" w:bidi="ar-SA"/>
    </w:rPr>
  </w:style>
  <w:style w:type="character" w:customStyle="1" w:styleId="644">
    <w:name w:val="样式 1正文段落 + 黑色1 Char"/>
    <w:link w:val="296"/>
    <w:uiPriority w:val="0"/>
    <w:rPr>
      <w:rFonts w:ascii="宋体" w:hAnsi="宋体" w:eastAsia="宋体"/>
      <w:snapToGrid w:val="0"/>
      <w:color w:val="000000"/>
      <w:spacing w:val="2"/>
      <w:sz w:val="24"/>
      <w:szCs w:val="21"/>
      <w:lang w:val="en-US" w:eastAsia="zh-CN" w:bidi="ar-SA"/>
    </w:rPr>
  </w:style>
  <w:style w:type="character" w:customStyle="1" w:styleId="645">
    <w:name w:val="正文（首行缩进两字） Char Char Char Char Char"/>
    <w:aliases w:val="正文（首行缩进两字） Char Char Char Char Char Char Char Char Char Char Char Char Char Char Char Char Char Char Char Char Char Char Char Char Char,正文缩进 Char2 Char Char"/>
    <w:basedOn w:val="84"/>
    <w:uiPriority w:val="0"/>
    <w:rPr>
      <w:rFonts w:eastAsia="宋体"/>
      <w:kern w:val="2"/>
      <w:sz w:val="21"/>
      <w:lang w:val="en-US" w:eastAsia="zh-CN" w:bidi="ar-SA"/>
    </w:rPr>
  </w:style>
  <w:style w:type="character" w:customStyle="1" w:styleId="646">
    <w:name w:val="1.1.1标题 3 Char Char"/>
    <w:basedOn w:val="84"/>
    <w:uiPriority w:val="0"/>
    <w:rPr>
      <w:rFonts w:hint="default" w:ascii="Arial" w:hAnsi="Arial" w:eastAsia="宋体" w:cs="Times New Roman"/>
      <w:b/>
      <w:kern w:val="44"/>
      <w:sz w:val="30"/>
      <w:szCs w:val="20"/>
    </w:rPr>
  </w:style>
  <w:style w:type="character" w:customStyle="1" w:styleId="647">
    <w:name w:val="三号宋体居中行距2倍距 Char"/>
    <w:aliases w:val="3号宋体居中行距2倍 Char,三号宋体居中行距2倍 Char,1.1标题 2 Char Char1"/>
    <w:basedOn w:val="84"/>
    <w:locked/>
    <w:uiPriority w:val="0"/>
    <w:rPr>
      <w:rFonts w:ascii="Arial" w:hAnsi="Arial" w:eastAsia="黑体"/>
      <w:b/>
      <w:bCs/>
      <w:kern w:val="2"/>
      <w:sz w:val="32"/>
      <w:szCs w:val="32"/>
      <w:lang w:val="en-US" w:eastAsia="zh-CN" w:bidi="ar-SA"/>
    </w:rPr>
  </w:style>
  <w:style w:type="character" w:customStyle="1" w:styleId="648">
    <w:name w:val="样式 正文表文字00 +"/>
    <w:basedOn w:val="84"/>
    <w:uiPriority w:val="0"/>
    <w:rPr>
      <w:rFonts w:eastAsia="宋体"/>
      <w:kern w:val="0"/>
      <w:sz w:val="21"/>
    </w:rPr>
  </w:style>
  <w:style w:type="character" w:customStyle="1" w:styleId="649">
    <w:name w:val="四号宋体左齐行距1.5倍 Char"/>
    <w:aliases w:val="4号宋体左齐行距1.5倍 Char,1.1.1标题 3 Char Char1,标题 3 Char1,小标题 Char,条标题1.1.1 Char,l3 Char,CT Char,1.1.1 Char,标题03 Char Char"/>
    <w:basedOn w:val="84"/>
    <w:locked/>
    <w:uiPriority w:val="0"/>
    <w:rPr>
      <w:rFonts w:eastAsia="宋体"/>
      <w:b/>
      <w:bCs/>
      <w:kern w:val="2"/>
      <w:sz w:val="32"/>
      <w:szCs w:val="32"/>
      <w:lang w:val="en-US" w:eastAsia="zh-CN" w:bidi="ar-SA"/>
    </w:rPr>
  </w:style>
  <w:style w:type="character" w:customStyle="1" w:styleId="650">
    <w:name w:val="ft44"/>
    <w:basedOn w:val="84"/>
    <w:uiPriority w:val="0"/>
    <w:rPr>
      <w:rFonts w:hint="default" w:ascii="Times" w:hAnsi="Times" w:cs="Times"/>
      <w:color w:val="000000"/>
      <w:sz w:val="11"/>
      <w:szCs w:val="11"/>
    </w:rPr>
  </w:style>
  <w:style w:type="character" w:customStyle="1" w:styleId="651">
    <w:name w:val="正文文字 21 Char2"/>
    <w:aliases w:val="紧缩文字 Char2,正文文字( 首段缩进两字） Char,特点标题 Char,正文文字缩进2字符 Char,正文文字缩进 Char Char Char1,正文文字缩进 Char Char Char Char,正文文字缩进 Char Char1,正文文本缩进1 Char Char,正文文本缩进1 Char1,Body Text 2 Char Char"/>
    <w:basedOn w:val="84"/>
    <w:uiPriority w:val="0"/>
    <w:rPr>
      <w:rFonts w:eastAsia="宋体"/>
      <w:kern w:val="2"/>
      <w:sz w:val="21"/>
      <w:szCs w:val="24"/>
      <w:lang w:val="en-US" w:eastAsia="zh-CN" w:bidi="ar-SA"/>
    </w:rPr>
  </w:style>
  <w:style w:type="character" w:customStyle="1" w:styleId="652">
    <w:name w:val="第五层条 Char"/>
    <w:aliases w:val="标题 6，图标题 Char,图标题 Char,标题1.1.1.1.1.1 Char Char"/>
    <w:basedOn w:val="84"/>
    <w:uiPriority w:val="0"/>
    <w:rPr>
      <w:rFonts w:ascii="Arial" w:hAnsi="Arial" w:eastAsia="黑体"/>
      <w:b/>
      <w:bCs/>
      <w:sz w:val="24"/>
      <w:szCs w:val="24"/>
      <w:lang w:val="en-US" w:eastAsia="zh-CN" w:bidi="ar-SA"/>
    </w:rPr>
  </w:style>
  <w:style w:type="character" w:customStyle="1" w:styleId="653">
    <w:name w:val="content21"/>
    <w:basedOn w:val="84"/>
    <w:uiPriority w:val="0"/>
    <w:rPr>
      <w:color w:val="000000"/>
      <w:sz w:val="18"/>
      <w:szCs w:val="18"/>
    </w:rPr>
  </w:style>
  <w:style w:type="character" w:customStyle="1" w:styleId="654">
    <w:name w:val="立项正文（首行缩进两字） Char"/>
    <w:aliases w:val="正文（首行缩进两字） Char Char1,表格1 Char1,正文（首行缩进两字） Char Char Char Char,正文 3 Char,表格1 Char Char Char,表格1 Char Char1,正文（首行缩进两字）1 Char Char Char Char,正文（首行缩进两字） Char Char Char1,正文（首行缩进两字）1 Char,正文缩进 Char1 Char Char,正文缩进 Char Char Char Char1,图表 Ch"/>
    <w:basedOn w:val="84"/>
    <w:uiPriority w:val="0"/>
    <w:rPr>
      <w:rFonts w:eastAsia="仿宋_GB2312"/>
      <w:kern w:val="2"/>
      <w:sz w:val="28"/>
      <w:lang w:val="en-US" w:eastAsia="zh-CN" w:bidi="ar-SA"/>
    </w:rPr>
  </w:style>
  <w:style w:type="character" w:customStyle="1" w:styleId="655">
    <w:name w:val="文档结构图 Char"/>
    <w:basedOn w:val="84"/>
    <w:link w:val="24"/>
    <w:uiPriority w:val="0"/>
    <w:rPr>
      <w:rFonts w:eastAsia="宋体"/>
      <w:kern w:val="2"/>
      <w:sz w:val="21"/>
      <w:szCs w:val="24"/>
      <w:lang w:val="en-US" w:eastAsia="zh-CN" w:bidi="ar-SA"/>
    </w:rPr>
  </w:style>
  <w:style w:type="character" w:customStyle="1" w:styleId="656">
    <w:name w:val="Char Char19"/>
    <w:basedOn w:val="84"/>
    <w:uiPriority w:val="0"/>
    <w:rPr>
      <w:rFonts w:hint="default" w:ascii="Times New Roman" w:hAnsi="Times New Roman" w:cs="Times New Roman"/>
      <w:b/>
      <w:bCs/>
      <w:color w:val="auto"/>
      <w:kern w:val="44"/>
      <w:sz w:val="30"/>
      <w:szCs w:val="44"/>
    </w:rPr>
  </w:style>
  <w:style w:type="character" w:customStyle="1" w:styleId="657">
    <w:name w:val="样式 自动设置"/>
    <w:basedOn w:val="84"/>
    <w:uiPriority w:val="0"/>
    <w:rPr>
      <w:color w:val="auto"/>
    </w:rPr>
  </w:style>
  <w:style w:type="character" w:customStyle="1" w:styleId="658">
    <w:name w:val="keywords"/>
    <w:basedOn w:val="84"/>
    <w:uiPriority w:val="0"/>
    <w:rPr>
      <w:b/>
      <w:bCs/>
      <w:color w:val="EE0033"/>
    </w:rPr>
  </w:style>
  <w:style w:type="character" w:customStyle="1" w:styleId="659">
    <w:name w:val="表头 Char2"/>
    <w:basedOn w:val="84"/>
    <w:uiPriority w:val="0"/>
    <w:rPr>
      <w:rFonts w:ascii="Arial" w:hAnsi="Arial" w:eastAsia="黑体"/>
      <w:bCs/>
      <w:kern w:val="2"/>
      <w:sz w:val="21"/>
      <w:szCs w:val="28"/>
      <w:lang w:val="en-US" w:eastAsia="zh-CN" w:bidi="ar-SA"/>
    </w:rPr>
  </w:style>
  <w:style w:type="character" w:styleId="660">
    <w:name w:val=""/>
    <w:qFormat/>
    <w:uiPriority w:val="0"/>
    <w:rPr>
      <w:i/>
      <w:color w:val="5A5A5A"/>
    </w:rPr>
  </w:style>
  <w:style w:type="character" w:customStyle="1" w:styleId="661">
    <w:name w:val="Char Char2"/>
    <w:basedOn w:val="84"/>
    <w:semiHidden/>
    <w:uiPriority w:val="0"/>
    <w:rPr>
      <w:rFonts w:ascii="宋体" w:hAnsi="宋体" w:eastAsia="宋体"/>
      <w:kern w:val="2"/>
      <w:sz w:val="18"/>
      <w:szCs w:val="24"/>
      <w:lang w:val="en-US" w:eastAsia="zh-CN" w:bidi="ar-SA"/>
    </w:rPr>
  </w:style>
  <w:style w:type="character" w:customStyle="1" w:styleId="662">
    <w:name w:val="样式 标题 2 + 宋体 小二 首行缩进:  2 字符 Char"/>
    <w:basedOn w:val="84"/>
    <w:link w:val="280"/>
    <w:locked/>
    <w:uiPriority w:val="0"/>
    <w:rPr>
      <w:rFonts w:ascii="宋体" w:hAnsi="宋体" w:eastAsia="宋体" w:cs="宋体"/>
      <w:b/>
      <w:bCs/>
      <w:kern w:val="2"/>
      <w:sz w:val="32"/>
      <w:lang w:val="en-US" w:eastAsia="zh-CN" w:bidi="ar-SA"/>
    </w:rPr>
  </w:style>
  <w:style w:type="character" w:customStyle="1" w:styleId="663">
    <w:name w:val="smessage_content"/>
    <w:basedOn w:val="84"/>
    <w:uiPriority w:val="0"/>
  </w:style>
  <w:style w:type="character" w:customStyle="1" w:styleId="664">
    <w:name w:val="Char Char191"/>
    <w:basedOn w:val="84"/>
    <w:uiPriority w:val="0"/>
    <w:rPr>
      <w:rFonts w:ascii="Times New Roman" w:hAnsi="Times New Roman"/>
      <w:b/>
      <w:bCs/>
      <w:color w:val="auto"/>
      <w:kern w:val="44"/>
      <w:sz w:val="30"/>
      <w:szCs w:val="44"/>
    </w:rPr>
  </w:style>
  <w:style w:type="character" w:customStyle="1" w:styleId="665">
    <w:name w:val="样式 宋体 四号"/>
    <w:basedOn w:val="84"/>
    <w:uiPriority w:val="0"/>
    <w:rPr>
      <w:rFonts w:ascii="宋体" w:hAnsi="宋体"/>
      <w:sz w:val="28"/>
    </w:rPr>
  </w:style>
  <w:style w:type="character" w:customStyle="1" w:styleId="666">
    <w:name w:val="样式1 Char"/>
    <w:basedOn w:val="84"/>
    <w:link w:val="293"/>
    <w:uiPriority w:val="0"/>
    <w:rPr>
      <w:rFonts w:eastAsia="方正黑体简体"/>
      <w:kern w:val="2"/>
      <w:sz w:val="28"/>
      <w:lang w:val="en-US" w:eastAsia="zh-CN" w:bidi="ar-SA"/>
    </w:rPr>
  </w:style>
  <w:style w:type="character" w:customStyle="1" w:styleId="667">
    <w:name w:val="L正文 Char"/>
    <w:basedOn w:val="84"/>
    <w:link w:val="128"/>
    <w:uiPriority w:val="0"/>
    <w:rPr>
      <w:rFonts w:eastAsia="宋体" w:cs="宋体"/>
      <w:bCs/>
      <w:snapToGrid w:val="0"/>
      <w:sz w:val="26"/>
      <w:szCs w:val="26"/>
      <w:lang w:val="en-US" w:eastAsia="zh-CN" w:bidi="ar-SA"/>
    </w:rPr>
  </w:style>
  <w:style w:type="character" w:customStyle="1" w:styleId="668">
    <w:name w:val="明显引用 Char"/>
    <w:basedOn w:val="84"/>
    <w:link w:val="166"/>
    <w:locked/>
    <w:uiPriority w:val="0"/>
    <w:rPr>
      <w:rFonts w:ascii="Calibri" w:hAnsi="Calibri" w:eastAsia="宋体"/>
      <w:b/>
      <w:i/>
      <w:sz w:val="24"/>
      <w:szCs w:val="22"/>
      <w:lang w:val="en-US" w:eastAsia="en-US" w:bidi="en-US"/>
    </w:rPr>
  </w:style>
  <w:style w:type="character" w:styleId="669">
    <w:name w:val=""/>
    <w:basedOn w:val="84"/>
    <w:qFormat/>
    <w:uiPriority w:val="0"/>
    <w:rPr>
      <w:b/>
      <w:i/>
      <w:sz w:val="24"/>
      <w:szCs w:val="24"/>
      <w:u w:val="single"/>
    </w:rPr>
  </w:style>
  <w:style w:type="character" w:customStyle="1" w:styleId="670">
    <w:name w:val="textbig1"/>
    <w:basedOn w:val="84"/>
    <w:uiPriority w:val="0"/>
    <w:rPr>
      <w:sz w:val="18"/>
      <w:szCs w:val="18"/>
    </w:rPr>
  </w:style>
  <w:style w:type="character" w:customStyle="1" w:styleId="671">
    <w:name w:val="页眉小5号 Char Char1"/>
    <w:basedOn w:val="84"/>
    <w:uiPriority w:val="0"/>
    <w:rPr>
      <w:rFonts w:eastAsia="宋体"/>
      <w:kern w:val="2"/>
      <w:sz w:val="18"/>
      <w:szCs w:val="18"/>
      <w:lang w:val="en-US" w:eastAsia="zh-CN" w:bidi="ar-SA"/>
    </w:rPr>
  </w:style>
  <w:style w:type="character" w:customStyle="1" w:styleId="672">
    <w:name w:val="apple-converted-space"/>
    <w:basedOn w:val="84"/>
    <w:uiPriority w:val="0"/>
  </w:style>
  <w:style w:type="character" w:customStyle="1" w:styleId="673">
    <w:name w:val="报告正文 Char"/>
    <w:basedOn w:val="84"/>
    <w:uiPriority w:val="0"/>
    <w:rPr>
      <w:rFonts w:eastAsia="宋体" w:cs="宋体"/>
      <w:kern w:val="2"/>
      <w:sz w:val="24"/>
      <w:lang w:val="en-US" w:eastAsia="zh-CN" w:bidi="ar-SA"/>
    </w:rPr>
  </w:style>
  <w:style w:type="character" w:customStyle="1" w:styleId="674">
    <w:name w:val="标题 1 Char Char Char Char Char Char Char Char1"/>
    <w:basedOn w:val="84"/>
    <w:qFormat/>
    <w:uiPriority w:val="0"/>
    <w:rPr>
      <w:kern w:val="44"/>
      <w:sz w:val="28"/>
    </w:rPr>
  </w:style>
  <w:style w:type="character" w:customStyle="1" w:styleId="675">
    <w:name w:val="f71"/>
    <w:basedOn w:val="84"/>
    <w:uiPriority w:val="0"/>
    <w:rPr>
      <w:sz w:val="14"/>
      <w:szCs w:val="14"/>
    </w:rPr>
  </w:style>
  <w:style w:type="character" w:customStyle="1" w:styleId="676">
    <w:name w:val="图表名 Char1"/>
    <w:basedOn w:val="84"/>
    <w:uiPriority w:val="0"/>
    <w:rPr>
      <w:rFonts w:eastAsia="黑体"/>
      <w:sz w:val="28"/>
      <w:szCs w:val="28"/>
      <w:lang w:val="en-US" w:eastAsia="zh-CN" w:bidi="ar-SA"/>
    </w:rPr>
  </w:style>
  <w:style w:type="character" w:customStyle="1" w:styleId="677">
    <w:name w:val="Char Char18"/>
    <w:basedOn w:val="84"/>
    <w:uiPriority w:val="0"/>
    <w:rPr>
      <w:b/>
      <w:bCs/>
      <w:color w:val="auto"/>
    </w:rPr>
  </w:style>
  <w:style w:type="character" w:customStyle="1" w:styleId="678">
    <w:name w:val="Char Char8"/>
    <w:basedOn w:val="84"/>
    <w:uiPriority w:val="0"/>
    <w:rPr>
      <w:rFonts w:ascii="Arial" w:hAnsi="Arial" w:eastAsia="黑体"/>
      <w:kern w:val="2"/>
      <w:sz w:val="24"/>
      <w:lang w:val="en-US" w:eastAsia="zh-CN" w:bidi="ar-SA"/>
    </w:rPr>
  </w:style>
  <w:style w:type="character" w:customStyle="1" w:styleId="679">
    <w:name w:val="小2号宋体居中行距2倍 Char"/>
    <w:aliases w:val="标题 11 Char1,1 标题 1 Char Char1"/>
    <w:basedOn w:val="84"/>
    <w:locked/>
    <w:uiPriority w:val="0"/>
    <w:rPr>
      <w:rFonts w:eastAsia="宋体"/>
      <w:b/>
      <w:bCs/>
      <w:kern w:val="44"/>
      <w:sz w:val="44"/>
      <w:szCs w:val="44"/>
      <w:lang w:val="en-US" w:eastAsia="zh-CN" w:bidi="ar-SA"/>
    </w:rPr>
  </w:style>
  <w:style w:type="character" w:customStyle="1" w:styleId="680">
    <w:name w:val=" Char Char8"/>
    <w:uiPriority w:val="0"/>
    <w:rPr>
      <w:rFonts w:eastAsia="宋体"/>
      <w:spacing w:val="8"/>
      <w:kern w:val="2"/>
      <w:sz w:val="24"/>
      <w:lang w:val="en-US" w:eastAsia="zh-CN" w:bidi="ar-SA"/>
    </w:rPr>
  </w:style>
  <w:style w:type="character" w:customStyle="1" w:styleId="681">
    <w:name w:val="第五层条 Char1"/>
    <w:aliases w:val="标题1.1.1.1.1.1 Char,H6 Char Char"/>
    <w:basedOn w:val="84"/>
    <w:uiPriority w:val="0"/>
    <w:rPr>
      <w:rFonts w:ascii="Arial" w:hAnsi="Arial" w:eastAsia="黑体"/>
      <w:b/>
      <w:kern w:val="2"/>
      <w:sz w:val="24"/>
      <w:lang w:val="en-US" w:eastAsia="zh-CN" w:bidi="ar-SA"/>
    </w:rPr>
  </w:style>
  <w:style w:type="character" w:customStyle="1" w:styleId="682">
    <w:name w:val="标题 3 Char"/>
    <w:aliases w:val="条标题1.1.1 Char Char Char Char Char Char Char Char Char Char1 Char,条标题1.1.1 Char Char Char,小标题4宋1.5倍 Char"/>
    <w:basedOn w:val="84"/>
    <w:link w:val="5"/>
    <w:uiPriority w:val="0"/>
    <w:rPr>
      <w:b/>
      <w:bCs/>
      <w:sz w:val="21"/>
    </w:rPr>
  </w:style>
  <w:style w:type="character" w:customStyle="1" w:styleId="683">
    <w:name w:val="正文文本缩进 Char1"/>
    <w:basedOn w:val="84"/>
    <w:link w:val="32"/>
    <w:uiPriority w:val="0"/>
    <w:rPr>
      <w:rFonts w:ascii="仿宋_GB2312" w:eastAsia="仿宋_GB2312"/>
      <w:kern w:val="2"/>
      <w:sz w:val="28"/>
      <w:szCs w:val="24"/>
      <w:lang w:val="en-US" w:eastAsia="zh-CN" w:bidi="ar-SA"/>
    </w:rPr>
  </w:style>
  <w:style w:type="character" w:customStyle="1" w:styleId="684">
    <w:name w:val="first"/>
    <w:basedOn w:val="84"/>
    <w:uiPriority w:val="0"/>
  </w:style>
  <w:style w:type="character" w:customStyle="1" w:styleId="685">
    <w:name w:val="Char Char17"/>
    <w:basedOn w:val="84"/>
    <w:uiPriority w:val="0"/>
    <w:rPr>
      <w:rFonts w:hint="default" w:ascii="Times New Roman" w:hAnsi="Times New Roman" w:cs="Times New Roman"/>
      <w:bCs/>
      <w:kern w:val="2"/>
      <w:sz w:val="28"/>
      <w:szCs w:val="32"/>
    </w:rPr>
  </w:style>
  <w:style w:type="character" w:customStyle="1" w:styleId="686">
    <w:name w:val="页眉 Char"/>
    <w:basedOn w:val="84"/>
    <w:link w:val="52"/>
    <w:uiPriority w:val="99"/>
    <w:rPr>
      <w:rFonts w:eastAsia="宋体"/>
      <w:kern w:val="2"/>
      <w:sz w:val="18"/>
      <w:szCs w:val="18"/>
      <w:lang w:val="en-US" w:eastAsia="zh-CN" w:bidi="ar-SA"/>
    </w:rPr>
  </w:style>
  <w:style w:type="character" w:customStyle="1" w:styleId="687">
    <w:name w:val="正文样式暗暗 Char Char"/>
    <w:basedOn w:val="84"/>
    <w:link w:val="262"/>
    <w:uiPriority w:val="0"/>
    <w:rPr>
      <w:rFonts w:ascii="宋体" w:hAnsi="宋体" w:eastAsia="宋体" w:cs="宋体"/>
      <w:kern w:val="2"/>
      <w:sz w:val="24"/>
      <w:lang w:val="en-US" w:eastAsia="zh-CN" w:bidi="ar-SA"/>
    </w:rPr>
  </w:style>
  <w:style w:type="character" w:customStyle="1" w:styleId="688">
    <w:name w:val="Char Char161"/>
    <w:basedOn w:val="84"/>
    <w:uiPriority w:val="0"/>
    <w:rPr>
      <w:rFonts w:eastAsia="黑体"/>
      <w:b/>
      <w:kern w:val="2"/>
      <w:sz w:val="28"/>
      <w:szCs w:val="28"/>
    </w:rPr>
  </w:style>
  <w:style w:type="character" w:customStyle="1" w:styleId="689">
    <w:name w:val="Char Char81"/>
    <w:basedOn w:val="84"/>
    <w:locked/>
    <w:uiPriority w:val="0"/>
    <w:rPr>
      <w:rFonts w:eastAsia="宋体"/>
      <w:kern w:val="2"/>
      <w:sz w:val="18"/>
      <w:szCs w:val="18"/>
      <w:lang w:val="en-US" w:eastAsia="zh-CN" w:bidi="ar-SA"/>
    </w:rPr>
  </w:style>
  <w:style w:type="character" w:customStyle="1" w:styleId="690">
    <w:name w:val="标题 4 Char"/>
    <w:basedOn w:val="84"/>
    <w:link w:val="6"/>
    <w:uiPriority w:val="0"/>
    <w:rPr>
      <w:rFonts w:eastAsia="宋体"/>
      <w:kern w:val="2"/>
      <w:sz w:val="32"/>
      <w:lang w:val="en-US" w:eastAsia="zh-CN" w:bidi="ar-SA"/>
    </w:rPr>
  </w:style>
  <w:style w:type="character" w:customStyle="1" w:styleId="691">
    <w:name w:val="样式 表后正文 + 段前: 0.5 行 行距: 1.5 倍行距 Char"/>
    <w:basedOn w:val="84"/>
    <w:link w:val="278"/>
    <w:uiPriority w:val="0"/>
    <w:rPr>
      <w:rFonts w:eastAsia="宋体" w:cs="宋体"/>
      <w:kern w:val="2"/>
      <w:sz w:val="24"/>
      <w:lang w:val="en-US" w:eastAsia="zh-CN" w:bidi="ar-SA"/>
    </w:rPr>
  </w:style>
  <w:style w:type="character" w:customStyle="1" w:styleId="692">
    <w:name w:val="标题4 Char"/>
    <w:basedOn w:val="84"/>
    <w:uiPriority w:val="0"/>
    <w:rPr>
      <w:rFonts w:eastAsia="楷体_GB2312"/>
      <w:b/>
      <w:kern w:val="2"/>
      <w:sz w:val="24"/>
      <w:u w:val="wave"/>
      <w:lang w:val="en-US" w:eastAsia="zh-CN" w:bidi="ar-SA"/>
    </w:rPr>
  </w:style>
  <w:style w:type="character" w:customStyle="1" w:styleId="693">
    <w:name w:val="报告正文 Char Char"/>
    <w:basedOn w:val="84"/>
    <w:link w:val="322"/>
    <w:uiPriority w:val="0"/>
    <w:rPr>
      <w:rFonts w:eastAsia="仿宋_GB2312"/>
      <w:sz w:val="28"/>
      <w:lang w:val="en-US" w:eastAsia="zh-CN" w:bidi="ar-SA"/>
    </w:rPr>
  </w:style>
  <w:style w:type="character" w:customStyle="1" w:styleId="694">
    <w:name w:val="4号黑体左空2格行距1倍 Char"/>
    <w:aliases w:val="项标题(1) Char Char"/>
    <w:basedOn w:val="84"/>
    <w:locked/>
    <w:uiPriority w:val="0"/>
    <w:rPr>
      <w:rFonts w:eastAsia="宋体"/>
      <w:b/>
      <w:kern w:val="2"/>
      <w:sz w:val="24"/>
      <w:lang w:val="en-US" w:eastAsia="zh-CN" w:bidi="ar-SA"/>
    </w:rPr>
  </w:style>
  <w:style w:type="character" w:customStyle="1" w:styleId="695">
    <w:name w:val="表头 Char"/>
    <w:basedOn w:val="84"/>
    <w:link w:val="119"/>
    <w:uiPriority w:val="0"/>
    <w:rPr>
      <w:rFonts w:eastAsia="黑体"/>
      <w:sz w:val="28"/>
      <w:lang w:val="en-US" w:eastAsia="zh-CN" w:bidi="ar-SA"/>
    </w:rPr>
  </w:style>
  <w:style w:type="character" w:customStyle="1" w:styleId="696">
    <w:name w:val="wbz2"/>
    <w:basedOn w:val="84"/>
    <w:uiPriority w:val="0"/>
    <w:rPr>
      <w:rFonts w:hint="default"/>
      <w:color w:val="000000"/>
      <w:spacing w:val="0"/>
      <w:sz w:val="18"/>
      <w:szCs w:val="18"/>
      <w:u w:val="none"/>
    </w:rPr>
  </w:style>
  <w:style w:type="character" w:customStyle="1" w:styleId="697">
    <w:name w:val="Char Char51"/>
    <w:basedOn w:val="84"/>
    <w:semiHidden/>
    <w:locked/>
    <w:uiPriority w:val="0"/>
    <w:rPr>
      <w:rFonts w:eastAsia="仿宋_GB2312"/>
      <w:kern w:val="2"/>
      <w:sz w:val="32"/>
      <w:szCs w:val="24"/>
      <w:lang w:val="en-US" w:eastAsia="zh-CN" w:bidi="ar-SA"/>
    </w:rPr>
  </w:style>
  <w:style w:type="character" w:customStyle="1" w:styleId="698">
    <w:name w:val="Char Char12"/>
    <w:basedOn w:val="84"/>
    <w:uiPriority w:val="0"/>
    <w:rPr>
      <w:rFonts w:ascii="Times New Roman" w:hAnsi="Times New Roman" w:eastAsia="宋体" w:cs="Times New Roman"/>
      <w:sz w:val="18"/>
      <w:szCs w:val="18"/>
    </w:rPr>
  </w:style>
  <w:style w:type="character" w:customStyle="1" w:styleId="699">
    <w:name w:val="14normal1"/>
    <w:basedOn w:val="84"/>
    <w:uiPriority w:val="0"/>
    <w:rPr>
      <w:rFonts w:hint="eastAsia" w:ascii="宋体" w:hAnsi="宋体" w:eastAsia="宋体"/>
      <w:color w:val="000000"/>
      <w:sz w:val="21"/>
      <w:szCs w:val="21"/>
    </w:rPr>
  </w:style>
  <w:style w:type="character" w:customStyle="1" w:styleId="700">
    <w:name w:val="无间隔 Char"/>
    <w:basedOn w:val="84"/>
    <w:link w:val="338"/>
    <w:locked/>
    <w:uiPriority w:val="0"/>
    <w:rPr>
      <w:rFonts w:ascii="Calibri" w:hAnsi="Calibri" w:eastAsia="宋体"/>
      <w:sz w:val="24"/>
      <w:szCs w:val="32"/>
      <w:lang w:val="en-US" w:eastAsia="en-US" w:bidi="en-US"/>
    </w:rPr>
  </w:style>
  <w:style w:type="character" w:customStyle="1" w:styleId="701">
    <w:name w:val="表中文字 Char Char"/>
    <w:basedOn w:val="84"/>
    <w:uiPriority w:val="0"/>
    <w:rPr>
      <w:rFonts w:ascii="宋体" w:hAnsi="宋体" w:eastAsia="宋体"/>
      <w:kern w:val="2"/>
      <w:sz w:val="24"/>
      <w:szCs w:val="24"/>
      <w:lang w:val="en-US" w:eastAsia="zh-CN" w:bidi="ar-SA"/>
    </w:rPr>
  </w:style>
  <w:style w:type="character" w:customStyle="1" w:styleId="702">
    <w:name w:val="123 Char"/>
    <w:aliases w:val="表内文字 Char,普通文字 Char Char Char Char Char Char Char1,普通文字 Char Char Char Char Char Char Char Char Char,普通文字 Char Char Char Char Char C Char Char Char,普通文字 Char Char Char Char Char Char Char Char1,纯文本1 Char Char,孙普文字 Char,普通文字 Char Char Char Char"/>
    <w:basedOn w:val="84"/>
    <w:uiPriority w:val="0"/>
    <w:rPr>
      <w:rFonts w:ascii="宋体" w:hAnsi="Courier New"/>
      <w:kern w:val="2"/>
      <w:sz w:val="21"/>
    </w:rPr>
  </w:style>
  <w:style w:type="character" w:customStyle="1" w:styleId="703">
    <w:name w:val="表格文字1 Char"/>
    <w:basedOn w:val="84"/>
    <w:uiPriority w:val="0"/>
    <w:rPr>
      <w:rFonts w:ascii="宋体" w:eastAsia="宋体"/>
      <w:kern w:val="2"/>
      <w:sz w:val="24"/>
      <w:szCs w:val="24"/>
      <w:lang w:val="en-US" w:eastAsia="zh-CN" w:bidi="ar-SA"/>
    </w:rPr>
  </w:style>
  <w:style w:type="character" w:customStyle="1" w:styleId="704">
    <w:name w:val="Char Char20"/>
    <w:basedOn w:val="84"/>
    <w:uiPriority w:val="0"/>
    <w:rPr>
      <w:rFonts w:hint="default" w:ascii="Times New Roman" w:hAnsi="宋体" w:cs="Times New Roman"/>
      <w:b/>
      <w:bCs/>
      <w:kern w:val="2"/>
      <w:sz w:val="28"/>
      <w:szCs w:val="32"/>
    </w:rPr>
  </w:style>
  <w:style w:type="character" w:customStyle="1" w:styleId="705">
    <w:name w:val="1.1标题2 Char Char"/>
    <w:basedOn w:val="84"/>
    <w:uiPriority w:val="0"/>
    <w:rPr>
      <w:rFonts w:ascii="Arial" w:hAnsi="Arial" w:eastAsia="黑体"/>
      <w:b/>
      <w:bCs/>
      <w:kern w:val="2"/>
      <w:sz w:val="32"/>
      <w:szCs w:val="32"/>
      <w:lang w:val="en-US" w:eastAsia="zh-CN" w:bidi="ar-SA"/>
    </w:rPr>
  </w:style>
  <w:style w:type="character" w:customStyle="1" w:styleId="706">
    <w:name w:val="表文 Char2"/>
    <w:basedOn w:val="84"/>
    <w:link w:val="277"/>
    <w:uiPriority w:val="0"/>
    <w:rPr>
      <w:rFonts w:eastAsia="宋体"/>
      <w:snapToGrid w:val="0"/>
      <w:sz w:val="18"/>
      <w:szCs w:val="18"/>
      <w:lang w:val="en-US" w:eastAsia="zh-CN" w:bidi="ar-SA"/>
    </w:rPr>
  </w:style>
  <w:style w:type="character" w:customStyle="1" w:styleId="707">
    <w:name w:val="text2"/>
    <w:basedOn w:val="84"/>
    <w:uiPriority w:val="0"/>
  </w:style>
  <w:style w:type="character" w:customStyle="1" w:styleId="708">
    <w:name w:val="正 Char1"/>
    <w:basedOn w:val="84"/>
    <w:link w:val="417"/>
    <w:uiPriority w:val="0"/>
    <w:rPr>
      <w:rFonts w:ascii="宋体" w:hAnsi="宋体" w:eastAsia="宋体"/>
      <w:kern w:val="2"/>
      <w:sz w:val="28"/>
      <w:szCs w:val="28"/>
      <w:lang w:val="zh-CN" w:eastAsia="zh-CN" w:bidi="ar-SA"/>
    </w:rPr>
  </w:style>
  <w:style w:type="character" w:customStyle="1" w:styleId="709">
    <w:name w:val="样式 表头 + 五号 Char"/>
    <w:basedOn w:val="695"/>
    <w:link w:val="469"/>
    <w:uiPriority w:val="0"/>
    <w:rPr>
      <w:rFonts w:ascii="黑体"/>
      <w:kern w:val="2"/>
      <w:sz w:val="24"/>
      <w:szCs w:val="24"/>
    </w:rPr>
  </w:style>
  <w:style w:type="character" w:customStyle="1" w:styleId="710">
    <w:name w:val="样式 标题 2 + 首行缩进:  2 字符 Char"/>
    <w:basedOn w:val="677"/>
    <w:link w:val="155"/>
    <w:locked/>
    <w:uiPriority w:val="0"/>
    <w:rPr>
      <w:rFonts w:ascii="Arial" w:hAnsi="Arial" w:eastAsia="宋体" w:cs="宋体"/>
      <w:kern w:val="2"/>
      <w:sz w:val="21"/>
      <w:lang w:val="en-US" w:eastAsia="zh-CN" w:bidi="ar-SA"/>
    </w:rPr>
  </w:style>
  <w:style w:type="character" w:customStyle="1" w:styleId="711">
    <w:name w:val="copyright1"/>
    <w:basedOn w:val="84"/>
    <w:uiPriority w:val="0"/>
    <w:rPr>
      <w:rFonts w:hint="default"/>
      <w:color w:val="000000"/>
      <w:spacing w:val="360"/>
    </w:rPr>
  </w:style>
  <w:style w:type="character" w:customStyle="1" w:styleId="712">
    <w:name w:val="Char Char171"/>
    <w:basedOn w:val="84"/>
    <w:uiPriority w:val="0"/>
    <w:rPr>
      <w:rFonts w:ascii="Times New Roman" w:hAnsi="Times New Roman"/>
      <w:bCs/>
      <w:kern w:val="2"/>
      <w:sz w:val="28"/>
      <w:szCs w:val="32"/>
    </w:rPr>
  </w:style>
  <w:style w:type="character" w:customStyle="1" w:styleId="713">
    <w:name w:val="Char Char101"/>
    <w:basedOn w:val="84"/>
    <w:uiPriority w:val="0"/>
    <w:rPr>
      <w:color w:val="000000"/>
      <w:kern w:val="2"/>
      <w:sz w:val="18"/>
      <w:szCs w:val="18"/>
    </w:rPr>
  </w:style>
  <w:style w:type="character" w:customStyle="1" w:styleId="714">
    <w:name w:val="样式12q Char"/>
    <w:basedOn w:val="84"/>
    <w:link w:val="303"/>
    <w:uiPriority w:val="0"/>
    <w:rPr>
      <w:rFonts w:eastAsia="宋体"/>
      <w:kern w:val="2"/>
      <w:sz w:val="28"/>
      <w:szCs w:val="28"/>
      <w:lang w:val="en-US" w:eastAsia="zh-CN" w:bidi="ar-SA"/>
    </w:rPr>
  </w:style>
  <w:style w:type="character" w:customStyle="1" w:styleId="715">
    <w:name w:val="表格头 Char Char"/>
    <w:basedOn w:val="84"/>
    <w:link w:val="147"/>
    <w:locked/>
    <w:uiPriority w:val="0"/>
    <w:rPr>
      <w:rFonts w:ascii="宋体" w:hAnsi="宋体" w:eastAsia="宋体"/>
      <w:kern w:val="2"/>
      <w:sz w:val="24"/>
      <w:szCs w:val="24"/>
      <w:lang w:val="en-US" w:eastAsia="zh-CN" w:bidi="ar-SA"/>
    </w:rPr>
  </w:style>
  <w:style w:type="character" w:customStyle="1" w:styleId="716">
    <w:name w:val="font21"/>
    <w:basedOn w:val="84"/>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8.emf"/><Relationship Id="rId51" Type="http://schemas.openxmlformats.org/officeDocument/2006/relationships/image" Target="media/image27.wmf"/><Relationship Id="rId50" Type="http://schemas.openxmlformats.org/officeDocument/2006/relationships/oleObject" Target="embeddings/oleObject16.bin"/><Relationship Id="rId5" Type="http://schemas.openxmlformats.org/officeDocument/2006/relationships/footer" Target="footer2.xml"/><Relationship Id="rId49" Type="http://schemas.openxmlformats.org/officeDocument/2006/relationships/image" Target="media/image26.wmf"/><Relationship Id="rId48" Type="http://schemas.openxmlformats.org/officeDocument/2006/relationships/oleObject" Target="embeddings/oleObject15.bin"/><Relationship Id="rId47" Type="http://schemas.openxmlformats.org/officeDocument/2006/relationships/oleObject" Target="embeddings/oleObject14.bin"/><Relationship Id="rId46" Type="http://schemas.openxmlformats.org/officeDocument/2006/relationships/oleObject" Target="embeddings/oleObject13.bin"/><Relationship Id="rId45" Type="http://schemas.openxmlformats.org/officeDocument/2006/relationships/image" Target="media/image25.wmf"/><Relationship Id="rId44" Type="http://schemas.openxmlformats.org/officeDocument/2006/relationships/oleObject" Target="embeddings/oleObject12.bin"/><Relationship Id="rId43" Type="http://schemas.openxmlformats.org/officeDocument/2006/relationships/image" Target="media/image24.wmf"/><Relationship Id="rId42" Type="http://schemas.openxmlformats.org/officeDocument/2006/relationships/oleObject" Target="embeddings/oleObject11.bin"/><Relationship Id="rId41" Type="http://schemas.openxmlformats.org/officeDocument/2006/relationships/image" Target="media/image23.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9.bin"/><Relationship Id="rId37" Type="http://schemas.openxmlformats.org/officeDocument/2006/relationships/image" Target="media/image21.wmf"/><Relationship Id="rId36" Type="http://schemas.openxmlformats.org/officeDocument/2006/relationships/image" Target="media/image20.wmf"/><Relationship Id="rId35" Type="http://schemas.openxmlformats.org/officeDocument/2006/relationships/image" Target="media/image19.jpeg"/><Relationship Id="rId34" Type="http://schemas.openxmlformats.org/officeDocument/2006/relationships/image" Target="media/image18.wmf"/><Relationship Id="rId33" Type="http://schemas.openxmlformats.org/officeDocument/2006/relationships/oleObject" Target="embeddings/oleObject8.bin"/><Relationship Id="rId32" Type="http://schemas.openxmlformats.org/officeDocument/2006/relationships/image" Target="media/image17.wmf"/><Relationship Id="rId31" Type="http://schemas.openxmlformats.org/officeDocument/2006/relationships/oleObject" Target="embeddings/oleObject7.bin"/><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43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148</Pages>
  <Words>20162</Words>
  <Characters>114924</Characters>
  <Lines>957</Lines>
  <Paragraphs>269</Paragraphs>
  <TotalTime>14</TotalTime>
  <ScaleCrop>false</ScaleCrop>
  <LinksUpToDate>false</LinksUpToDate>
  <CharactersWithSpaces>134817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2017-06-17T11:18:00Z</dcterms:created>
  <dc:creator>微软用户</dc:creator>
  <cp:lastModifiedBy>铁碎牙</cp:lastModifiedBy>
  <cp:lastPrinted>2019-08-26T05:23:00Z</cp:lastPrinted>
  <dcterms:modified xsi:type="dcterms:W3CDTF">2020-04-23T08:57:38Z</dcterms:modified>
  <dc:title>前    言</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