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8BE" w:rsidRPr="00677D1F" w:rsidRDefault="00D228BE" w:rsidP="00677D1F">
      <w:pPr>
        <w:contextualSpacing/>
      </w:pPr>
      <w:bookmarkStart w:id="0" w:name="_GoBack"/>
      <w:bookmarkEnd w:id="0"/>
    </w:p>
    <w:p w:rsidR="00D228BE" w:rsidRPr="00677D1F" w:rsidRDefault="00332EB6" w:rsidP="00677D1F">
      <w:pPr>
        <w:contextualSpacing/>
        <w:jc w:val="center"/>
      </w:pPr>
      <w:r w:rsidRPr="00677D1F">
        <w:rPr>
          <w:rFonts w:hint="eastAsia"/>
        </w:rPr>
        <w:t>新疆湘晟新材料科技有限公司年产</w:t>
      </w:r>
      <w:r w:rsidRPr="00677D1F">
        <w:rPr>
          <w:rFonts w:hint="eastAsia"/>
        </w:rPr>
        <w:t>3</w:t>
      </w:r>
      <w:r w:rsidRPr="00677D1F">
        <w:rPr>
          <w:rFonts w:hint="eastAsia"/>
        </w:rPr>
        <w:t>万吨高性能钛及钛合金新材料项目环境影响报告书</w:t>
      </w:r>
    </w:p>
    <w:p w:rsidR="00D228BE" w:rsidRPr="00677D1F" w:rsidRDefault="00D228BE" w:rsidP="00677D1F">
      <w:pPr>
        <w:contextualSpacing/>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color w:val="000000"/>
          <w:kern w:val="0"/>
          <w:sz w:val="18"/>
          <w:szCs w:val="18"/>
        </w:rPr>
        <w:t>1</w:t>
      </w:r>
    </w:p>
    <w:p w:rsidR="00D228BE" w:rsidRPr="00677D1F" w:rsidRDefault="00D228BE" w:rsidP="00677D1F">
      <w:pPr>
        <w:widowControl/>
        <w:contextualSpacing/>
        <w:rPr>
          <w:rFonts w:ascii="宋体" w:eastAsia="宋体" w:hAnsi="宋体" w:cs="宋体"/>
          <w:b/>
          <w:bCs/>
          <w:color w:val="000000"/>
          <w:kern w:val="0"/>
          <w:sz w:val="36"/>
          <w:szCs w:val="36"/>
        </w:rPr>
        <w:sectPr w:rsidR="00D228BE" w:rsidRPr="00677D1F">
          <w:headerReference w:type="default" r:id="rId9"/>
          <w:footerReference w:type="default" r:id="rId10"/>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 总论</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1.1</w:t>
      </w:r>
      <w:r w:rsidRPr="00677D1F">
        <w:rPr>
          <w:rFonts w:ascii="宋体" w:hAnsi="宋体" w:hint="eastAsia"/>
          <w:bCs w:val="0"/>
          <w:kern w:val="2"/>
          <w:sz w:val="30"/>
          <w:szCs w:val="30"/>
        </w:rPr>
        <w:t>建设项目的特点</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1.1.1</w:t>
      </w:r>
      <w:r w:rsidRPr="00677D1F">
        <w:rPr>
          <w:rFonts w:ascii="宋体" w:hAnsi="宋体" w:hint="eastAsia"/>
          <w:sz w:val="28"/>
          <w:szCs w:val="28"/>
        </w:rPr>
        <w:t>项目背景</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钛及钛合金是一种性能优异的新材料，被誉为现代金属。钛及钛合金具有优异的高低温性能、耐腐蚀性；比强度高、无磁性；较好的成形性能、焊接性能等诸多优良特性，广泛应用于航空航天、船舶、体育休闲、汽车、医疗等领域。虽然钛的工业化仅有五十余年的历史，但得到了迅速的发展。随着国民经济持续、高速发展，我国对钛的需求量迅速增长。</w:t>
      </w:r>
      <w:r w:rsidRPr="00677D1F">
        <w:rPr>
          <w:rFonts w:asciiTheme="minorEastAsia" w:hAnsiTheme="minorEastAsia" w:cs="Times New Roman"/>
          <w:color w:val="000000"/>
          <w:kern w:val="0"/>
          <w:sz w:val="24"/>
          <w:szCs w:val="24"/>
        </w:rPr>
        <w:t>2011</w:t>
      </w:r>
      <w:r w:rsidRPr="00677D1F">
        <w:rPr>
          <w:rFonts w:asciiTheme="minorEastAsia" w:hAnsiTheme="minorEastAsia" w:cs="宋体" w:hint="eastAsia"/>
          <w:color w:val="000000"/>
          <w:kern w:val="0"/>
          <w:sz w:val="24"/>
          <w:szCs w:val="24"/>
        </w:rPr>
        <w:t>年我国海绵钛和钛材的年产量超过万吨，已进入世界产钛大国的行列，并且已形成持续发展的态势。但与美国、日本、俄罗斯等世界产钛大国相比，我国钛产业的技术水平与世界发达国家发展水平仍有差距。我国要成为世界产钛强国还有相当长的路要走。当前我国钛工业在世界上已有一定的竞争能力，是发展我国航空、航天、船舶与海上设施、耐腐蚀工业装备的基础产业，因此钛的应用还有广阔天地发展前景。</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新疆“十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的战略规划中哈密地区为“天山北坡经济带”，该经济带东起哈密西至伊宁的天山北坡经济带，以乌昌经济区为核心，作为国家级重点开发区和向西开放的大通道，该经济带将建成一个具有自主创新能力、产业集聚和外向型经济区域。也将成为新疆率先实现新型工业化、农牧业现代化和新型城镇化的国家重要的经济增长带。</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新疆湘晟新材料科技有限公司是一家由湖南五江轻化集团有限公司，新疆五江兴华实业有限公司、湖南日兴房地产开发有限公司、南昌市五江实业有限公司、广西博白县宏宇化工有限公司、湖南利沃商贸有限公司、涟源市江汇经贸有限公司、湖南能顺湘物贸有限公司、娄底市三泰房地产开发有限公司、湖南湘汇能源经贸有限公司共同投资兴办的大型新材料高科技企业。公司注册地址为新疆哈密市。经营范围：低模量钛合金材等生物医用材料；耐蚀热交换器用钛合金材料；钛合金生产与销售；商品金属钛生产与销售；钛合金延伸产品研发、制造与销售；可再生能源</w:t>
      </w:r>
      <w:r w:rsidRPr="00677D1F">
        <w:rPr>
          <w:rFonts w:asciiTheme="minorEastAsia" w:hAnsiTheme="minorEastAsia" w:cs="宋体" w:hint="eastAsia"/>
          <w:color w:val="000000"/>
          <w:kern w:val="0"/>
          <w:sz w:val="24"/>
          <w:szCs w:val="24"/>
        </w:rPr>
        <w:lastRenderedPageBreak/>
        <w:t>产品制造、销售与安装；太阳能材料研发、制造与销售。根据中国有色金属工业协会钛锆铪分会对国内</w:t>
      </w:r>
      <w:r w:rsidRPr="00677D1F">
        <w:rPr>
          <w:rFonts w:asciiTheme="minorEastAsia" w:hAnsiTheme="minorEastAsia" w:cs="Times New Roman"/>
          <w:color w:val="000000"/>
          <w:kern w:val="0"/>
          <w:sz w:val="24"/>
          <w:szCs w:val="24"/>
        </w:rPr>
        <w:t>14</w:t>
      </w:r>
      <w:r w:rsidRPr="00677D1F">
        <w:rPr>
          <w:rFonts w:asciiTheme="minorEastAsia" w:hAnsiTheme="minorEastAsia" w:cs="宋体" w:hint="eastAsia"/>
          <w:color w:val="000000"/>
          <w:kern w:val="0"/>
          <w:sz w:val="24"/>
          <w:szCs w:val="24"/>
        </w:rPr>
        <w:t>家海绵钛企业的最新统计数据显示，</w:t>
      </w:r>
      <w:r w:rsidRPr="00677D1F">
        <w:rPr>
          <w:rFonts w:asciiTheme="minorEastAsia" w:hAnsiTheme="minorEastAsia" w:cs="Times New Roman"/>
          <w:color w:val="000000"/>
          <w:kern w:val="0"/>
          <w:sz w:val="24"/>
          <w:szCs w:val="24"/>
        </w:rPr>
        <w:t>2011</w:t>
      </w:r>
      <w:r w:rsidRPr="00677D1F">
        <w:rPr>
          <w:rFonts w:asciiTheme="minorEastAsia" w:hAnsiTheme="minorEastAsia" w:cs="宋体" w:hint="eastAsia"/>
          <w:color w:val="000000"/>
          <w:kern w:val="0"/>
          <w:sz w:val="24"/>
          <w:szCs w:val="24"/>
        </w:rPr>
        <w:t>年中国海绵钛的产能达到</w:t>
      </w:r>
      <w:r w:rsidRPr="00677D1F">
        <w:rPr>
          <w:rFonts w:asciiTheme="minorEastAsia" w:hAnsiTheme="minorEastAsia" w:cs="Times New Roman"/>
          <w:color w:val="000000"/>
          <w:kern w:val="0"/>
          <w:sz w:val="24"/>
          <w:szCs w:val="24"/>
        </w:rPr>
        <w:t>13.26</w:t>
      </w:r>
      <w:r w:rsidRPr="00677D1F">
        <w:rPr>
          <w:rFonts w:asciiTheme="minorEastAsia" w:hAnsiTheme="minorEastAsia" w:cs="宋体" w:hint="eastAsia"/>
          <w:color w:val="000000"/>
          <w:kern w:val="0"/>
          <w:sz w:val="24"/>
          <w:szCs w:val="24"/>
        </w:rPr>
        <w:t>万吨，根据《有色金属工业</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发展规划》，</w:t>
      </w:r>
      <w:r w:rsidRPr="00677D1F">
        <w:rPr>
          <w:rFonts w:asciiTheme="minorEastAsia" w:hAnsiTheme="minorEastAsia" w:cs="Times New Roman"/>
          <w:color w:val="000000"/>
          <w:kern w:val="0"/>
          <w:sz w:val="24"/>
          <w:szCs w:val="24"/>
        </w:rPr>
        <w:t>2015</w:t>
      </w:r>
      <w:r w:rsidRPr="00677D1F">
        <w:rPr>
          <w:rFonts w:asciiTheme="minorEastAsia" w:hAnsiTheme="minorEastAsia" w:cs="宋体" w:hint="eastAsia"/>
          <w:color w:val="000000"/>
          <w:kern w:val="0"/>
          <w:sz w:val="24"/>
          <w:szCs w:val="24"/>
        </w:rPr>
        <w:t>年钛消费量达到</w:t>
      </w:r>
      <w:r w:rsidRPr="00677D1F">
        <w:rPr>
          <w:rFonts w:asciiTheme="minorEastAsia" w:hAnsiTheme="minorEastAsia" w:cs="Times New Roman"/>
          <w:color w:val="000000"/>
          <w:kern w:val="0"/>
          <w:sz w:val="24"/>
          <w:szCs w:val="24"/>
        </w:rPr>
        <w:t>15</w:t>
      </w:r>
      <w:r w:rsidRPr="00677D1F">
        <w:rPr>
          <w:rFonts w:asciiTheme="minorEastAsia" w:hAnsiTheme="minorEastAsia" w:cs="宋体" w:hint="eastAsia"/>
          <w:color w:val="000000"/>
          <w:kern w:val="0"/>
          <w:sz w:val="24"/>
          <w:szCs w:val="24"/>
        </w:rPr>
        <w:t>万吨以上，且年均增长率为</w:t>
      </w:r>
      <w:r w:rsidRPr="00677D1F">
        <w:rPr>
          <w:rFonts w:asciiTheme="minorEastAsia" w:hAnsiTheme="minorEastAsia" w:cs="Times New Roman"/>
          <w:color w:val="000000"/>
          <w:kern w:val="0"/>
          <w:sz w:val="24"/>
          <w:szCs w:val="24"/>
        </w:rPr>
        <w:t>16.1%</w:t>
      </w:r>
      <w:r w:rsidRPr="00677D1F">
        <w:rPr>
          <w:rFonts w:asciiTheme="minorEastAsia" w:hAnsiTheme="minorEastAsia" w:cs="宋体" w:hint="eastAsia"/>
          <w:color w:val="000000"/>
          <w:kern w:val="0"/>
          <w:sz w:val="24"/>
          <w:szCs w:val="24"/>
        </w:rPr>
        <w:t>，目前正是发展钛产业的良机，为之新疆湘晟新材料科技有限公司经过大量市场调查和论证，决定在</w:t>
      </w:r>
      <w:r w:rsidRPr="00677D1F">
        <w:rPr>
          <w:rFonts w:asciiTheme="minorEastAsia" w:hAnsiTheme="minorEastAsia" w:cs="宋体" w:hint="eastAsia"/>
          <w:color w:val="FF0000"/>
          <w:kern w:val="0"/>
          <w:sz w:val="24"/>
          <w:szCs w:val="24"/>
        </w:rPr>
        <w:t>哈密工业园区重工业加工区投资建设年产</w:t>
      </w:r>
      <w:r w:rsidRPr="00677D1F">
        <w:rPr>
          <w:rFonts w:asciiTheme="minorEastAsia" w:hAnsiTheme="minorEastAsia" w:cs="Times New Roman" w:hint="eastAsia"/>
          <w:color w:val="FF0000"/>
          <w:kern w:val="0"/>
          <w:sz w:val="24"/>
          <w:szCs w:val="24"/>
        </w:rPr>
        <w:t>3</w:t>
      </w:r>
      <w:r w:rsidRPr="00677D1F">
        <w:rPr>
          <w:rFonts w:asciiTheme="minorEastAsia" w:hAnsiTheme="minorEastAsia" w:cs="宋体" w:hint="eastAsia"/>
          <w:color w:val="FF0000"/>
          <w:kern w:val="0"/>
          <w:sz w:val="24"/>
          <w:szCs w:val="24"/>
        </w:rPr>
        <w:t>万吨钛及钛合金新材料项目</w:t>
      </w:r>
      <w:r w:rsidRPr="00677D1F">
        <w:rPr>
          <w:rFonts w:asciiTheme="minorEastAsia" w:hAnsiTheme="minorEastAsia" w:cs="宋体" w:hint="eastAsia"/>
          <w:color w:val="000000"/>
          <w:kern w:val="0"/>
          <w:sz w:val="24"/>
          <w:szCs w:val="24"/>
        </w:rPr>
        <w:t>。</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1.1.2</w:t>
      </w:r>
      <w:r w:rsidRPr="00677D1F">
        <w:rPr>
          <w:rFonts w:ascii="宋体" w:hAnsi="宋体" w:hint="eastAsia"/>
          <w:sz w:val="28"/>
          <w:szCs w:val="28"/>
        </w:rPr>
        <w:t>建设项目特点</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本项目主要建设年产</w:t>
      </w:r>
      <w:r w:rsidR="002C1DBB" w:rsidRPr="00677D1F">
        <w:rPr>
          <w:rFonts w:asciiTheme="minorEastAsia" w:hAnsiTheme="minorEastAsia" w:cs="Times New Roman" w:hint="eastAsia"/>
          <w:color w:val="000000"/>
          <w:kern w:val="0"/>
          <w:sz w:val="24"/>
          <w:szCs w:val="24"/>
        </w:rPr>
        <w:t>3</w:t>
      </w:r>
      <w:r w:rsidRPr="00677D1F">
        <w:rPr>
          <w:rFonts w:asciiTheme="minorEastAsia" w:hAnsiTheme="minorEastAsia" w:cs="宋体" w:hint="eastAsia"/>
          <w:color w:val="000000"/>
          <w:kern w:val="0"/>
          <w:sz w:val="24"/>
          <w:szCs w:val="24"/>
        </w:rPr>
        <w:t>万吨钛及钛合金新材料项目，主要包括钛渣生产系统、海绵钛生产系统、镁电解系统工程、氯气生产系统、钛</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铸锭及加工系统及必要的公用辅助工程。根据《建设项目环境影响评价分类管理名录》中内容，本工程项目类别为有色金属的冶炼、合金制造和压延加工，其环评类别编辑环境影响评价报告书。根据《国民经济行业分类》（</w:t>
      </w:r>
      <w:r w:rsidRPr="00677D1F">
        <w:rPr>
          <w:rFonts w:asciiTheme="minorEastAsia" w:hAnsiTheme="minorEastAsia" w:cs="Times New Roman"/>
          <w:color w:val="000000"/>
          <w:kern w:val="0"/>
          <w:sz w:val="24"/>
          <w:szCs w:val="24"/>
        </w:rPr>
        <w:t>GB/T4754-2011</w:t>
      </w:r>
      <w:r w:rsidRPr="00677D1F">
        <w:rPr>
          <w:rFonts w:asciiTheme="minorEastAsia" w:hAnsiTheme="minorEastAsia" w:cs="宋体" w:hint="eastAsia"/>
          <w:color w:val="000000"/>
          <w:kern w:val="0"/>
          <w:sz w:val="24"/>
          <w:szCs w:val="24"/>
        </w:rPr>
        <w:t>）内容，本项目行业分类为有色金属冶炼和压延加工业</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行业代码</w:t>
      </w:r>
      <w:r w:rsidRPr="00677D1F">
        <w:rPr>
          <w:rFonts w:asciiTheme="minorEastAsia" w:hAnsiTheme="minorEastAsia" w:cs="Times New Roman"/>
          <w:color w:val="000000"/>
          <w:kern w:val="0"/>
          <w:sz w:val="24"/>
          <w:szCs w:val="24"/>
        </w:rPr>
        <w:t>C32）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本项目的富钛料生产采用大型钛渣电炉熔炼工艺炉工艺装备；海绵钛生产采用目前国际上通用的镁还原蒸馏法；在设置海绵钛生产系统的同时配套镁电解生产系统，实现镁</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氯内部闭路循环；钛</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铸锭生产采用国际流行的</w:t>
      </w:r>
      <w:r w:rsidRPr="00677D1F">
        <w:rPr>
          <w:rFonts w:asciiTheme="minorEastAsia" w:hAnsiTheme="minorEastAsia" w:cs="Times New Roman"/>
          <w:color w:val="000000"/>
          <w:kern w:val="0"/>
          <w:sz w:val="24"/>
          <w:szCs w:val="24"/>
        </w:rPr>
        <w:t>EB</w:t>
      </w:r>
      <w:r w:rsidRPr="00677D1F">
        <w:rPr>
          <w:rFonts w:asciiTheme="minorEastAsia" w:hAnsiTheme="minorEastAsia" w:cs="宋体" w:hint="eastAsia"/>
          <w:color w:val="000000"/>
          <w:kern w:val="0"/>
          <w:sz w:val="24"/>
          <w:szCs w:val="24"/>
        </w:rPr>
        <w:t>炉；补充氯气生产用烧碱电解槽采用国际先进的高电流密度自然循环复极式离子膜电解槽。本项目特点为海绵钛生产全过程流程，引进美国先进的氯化、精制及镁电解技术；用国际先进的上排渣沸腾氯化炉代替国内沸腾氯化炉，有机物</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主要是植物油</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除钒工艺代替国内常用的铜丝等除钒工艺，多极性镁电解槽代替国内常用的无隔板镁电解槽等，其消耗指标、环保指标达国际先进水平。本项目为保持氯气平衡，解决当地氯气来源不足、社会交通运输条件不利等制约海绵钛发展的困难，为建设全流程，高可靠性的海绵钛厂，同时采用国内先进的自然循环复极式电解槽技术生产氯气。本项目生产引进国内外先进技术，生产废水产生量很小，经处理后实现回用，生活污水处理后回用，厂区废水达到零排放。</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1.2</w:t>
      </w:r>
      <w:r w:rsidRPr="00677D1F">
        <w:rPr>
          <w:rFonts w:ascii="宋体" w:hAnsi="宋体" w:hint="eastAsia"/>
          <w:bCs w:val="0"/>
          <w:kern w:val="2"/>
          <w:sz w:val="30"/>
          <w:szCs w:val="30"/>
        </w:rPr>
        <w:t>环境影响评价工作过程</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根据《中华人民共和国环境保护法》和《建设项目环境保护管理条例》等有关规定，受新疆湘晟新材料科技有限公司的委托，新疆中环合创工程技术咨询有限公司</w:t>
      </w:r>
      <w:r w:rsidRPr="00677D1F">
        <w:rPr>
          <w:rFonts w:asciiTheme="minorEastAsia" w:hAnsiTheme="minorEastAsia" w:cs="Times New Roman"/>
          <w:color w:val="000000"/>
          <w:kern w:val="0"/>
          <w:sz w:val="24"/>
          <w:szCs w:val="24"/>
        </w:rPr>
        <w:t>20</w:t>
      </w:r>
      <w:r w:rsidRPr="00677D1F">
        <w:rPr>
          <w:rFonts w:asciiTheme="minorEastAsia" w:hAnsiTheme="minorEastAsia" w:cs="Times New Roman" w:hint="eastAsia"/>
          <w:color w:val="000000"/>
          <w:kern w:val="0"/>
          <w:sz w:val="24"/>
          <w:szCs w:val="24"/>
        </w:rPr>
        <w:t>20</w:t>
      </w:r>
      <w:r w:rsidRPr="00677D1F">
        <w:rPr>
          <w:rFonts w:asciiTheme="minorEastAsia" w:hAnsiTheme="minorEastAsia" w:cs="宋体" w:hint="eastAsia"/>
          <w:color w:val="000000"/>
          <w:kern w:val="0"/>
          <w:sz w:val="24"/>
          <w:szCs w:val="24"/>
        </w:rPr>
        <w:t>年</w:t>
      </w:r>
      <w:r w:rsidRPr="00677D1F">
        <w:rPr>
          <w:rFonts w:asciiTheme="minorEastAsia" w:hAnsiTheme="minorEastAsia" w:cs="Times New Roman" w:hint="eastAsia"/>
          <w:color w:val="000000"/>
          <w:kern w:val="0"/>
          <w:sz w:val="24"/>
          <w:szCs w:val="24"/>
        </w:rPr>
        <w:t>4</w:t>
      </w:r>
      <w:r w:rsidRPr="00677D1F">
        <w:rPr>
          <w:rFonts w:asciiTheme="minorEastAsia" w:hAnsiTheme="minorEastAsia" w:cs="宋体" w:hint="eastAsia"/>
          <w:color w:val="000000"/>
          <w:kern w:val="0"/>
          <w:sz w:val="24"/>
          <w:szCs w:val="24"/>
        </w:rPr>
        <w:t>月承担了“新疆湘晟新材料科技有限公司年产3万吨高性能钛及钛合金新材料项目”环境影响评价工作。</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评价单位接受委托后，项目负责人根据本项目可行性研究报告的初步分析，依据相关技术方法、导则的技术要求，就相关编写内容组建项目主要编写人员。并于</w:t>
      </w:r>
      <w:r w:rsidRPr="00677D1F">
        <w:rPr>
          <w:rFonts w:asciiTheme="minorEastAsia" w:hAnsiTheme="minorEastAsia" w:cs="Times New Roman"/>
          <w:color w:val="000000"/>
          <w:kern w:val="0"/>
          <w:sz w:val="24"/>
          <w:szCs w:val="24"/>
        </w:rPr>
        <w:t>20</w:t>
      </w:r>
      <w:r w:rsidRPr="00677D1F">
        <w:rPr>
          <w:rFonts w:asciiTheme="minorEastAsia" w:hAnsiTheme="minorEastAsia" w:cs="Times New Roman" w:hint="eastAsia"/>
          <w:color w:val="000000"/>
          <w:kern w:val="0"/>
          <w:sz w:val="24"/>
          <w:szCs w:val="24"/>
        </w:rPr>
        <w:t>20</w:t>
      </w:r>
      <w:r w:rsidRPr="00677D1F">
        <w:rPr>
          <w:rFonts w:asciiTheme="minorEastAsia" w:hAnsiTheme="minorEastAsia" w:cs="宋体" w:hint="eastAsia"/>
          <w:color w:val="000000"/>
          <w:kern w:val="0"/>
          <w:sz w:val="24"/>
          <w:szCs w:val="24"/>
        </w:rPr>
        <w:t>年5月8日，评价单位组织有关评价人员赴现场进行实地踏勘，对评价区域的自然环境、社会环境等情况进行了调查，收集了当地水文、地质、气象以及环境现状等资料，并对收集相关资料进行了归纳分析，并在初步工程分析及评价因子筛选等基础上制定了工作方案。同时，建设单位与评价单位于</w:t>
      </w:r>
      <w:r w:rsidRPr="00677D1F">
        <w:rPr>
          <w:rFonts w:asciiTheme="minorEastAsia" w:hAnsiTheme="minorEastAsia" w:cs="Times New Roman"/>
          <w:color w:val="000000"/>
          <w:kern w:val="0"/>
          <w:sz w:val="24"/>
          <w:szCs w:val="24"/>
        </w:rPr>
        <w:t>2013</w:t>
      </w:r>
      <w:r w:rsidRPr="00677D1F">
        <w:rPr>
          <w:rFonts w:asciiTheme="minorEastAsia" w:hAnsiTheme="minorEastAsia" w:cs="宋体" w:hint="eastAsia"/>
          <w:color w:val="000000"/>
          <w:kern w:val="0"/>
          <w:sz w:val="24"/>
          <w:szCs w:val="24"/>
        </w:rPr>
        <w:t>年</w:t>
      </w:r>
      <w:r w:rsidRPr="00677D1F">
        <w:rPr>
          <w:rFonts w:asciiTheme="minorEastAsia" w:hAnsiTheme="minorEastAsia" w:cs="Times New Roman"/>
          <w:color w:val="000000"/>
          <w:kern w:val="0"/>
          <w:sz w:val="24"/>
          <w:szCs w:val="24"/>
        </w:rPr>
        <w:t>6</w:t>
      </w:r>
      <w:r w:rsidRPr="00677D1F">
        <w:rPr>
          <w:rFonts w:asciiTheme="minorEastAsia" w:hAnsiTheme="minorEastAsia" w:cs="宋体" w:hint="eastAsia"/>
          <w:color w:val="000000"/>
          <w:kern w:val="0"/>
          <w:sz w:val="24"/>
          <w:szCs w:val="24"/>
        </w:rPr>
        <w:t>月</w:t>
      </w:r>
      <w:r w:rsidRPr="00677D1F">
        <w:rPr>
          <w:rFonts w:asciiTheme="minorEastAsia" w:hAnsiTheme="minorEastAsia" w:cs="Times New Roman"/>
          <w:color w:val="000000"/>
          <w:kern w:val="0"/>
          <w:sz w:val="24"/>
          <w:szCs w:val="24"/>
        </w:rPr>
        <w:t>25</w:t>
      </w:r>
      <w:r w:rsidRPr="00677D1F">
        <w:rPr>
          <w:rFonts w:asciiTheme="minorEastAsia" w:hAnsiTheme="minorEastAsia" w:cs="宋体" w:hint="eastAsia"/>
          <w:color w:val="000000"/>
          <w:kern w:val="0"/>
          <w:sz w:val="24"/>
          <w:szCs w:val="24"/>
        </w:rPr>
        <w:t>日在哈密政府网站（</w:t>
      </w:r>
      <w:r w:rsidRPr="00677D1F">
        <w:rPr>
          <w:rFonts w:asciiTheme="minorEastAsia" w:hAnsiTheme="minorEastAsia" w:cs="Times New Roman"/>
          <w:color w:val="000000"/>
          <w:kern w:val="0"/>
          <w:sz w:val="24"/>
          <w:szCs w:val="24"/>
        </w:rPr>
        <w:t>http://www.xjhm.gov.cn</w:t>
      </w:r>
      <w:r w:rsidRPr="00677D1F">
        <w:rPr>
          <w:rFonts w:asciiTheme="minorEastAsia" w:hAnsiTheme="minorEastAsia" w:cs="宋体" w:hint="eastAsia"/>
          <w:color w:val="000000"/>
          <w:kern w:val="0"/>
          <w:sz w:val="24"/>
          <w:szCs w:val="24"/>
        </w:rPr>
        <w:t>）上公告了本项目的基本情况，针对本项目的实施向公众征询意见和建议。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在收集资料的基础上，通过对本项目可行性研究报告分析，资料收集的分析，依据新颁布的《环境影响评价技术导则总纲》</w:t>
      </w:r>
      <w:r w:rsidRPr="00677D1F">
        <w:rPr>
          <w:rFonts w:asciiTheme="minorEastAsia" w:hAnsiTheme="minorEastAsia" w:cs="Times New Roman"/>
          <w:color w:val="000000"/>
          <w:kern w:val="0"/>
          <w:sz w:val="24"/>
          <w:szCs w:val="24"/>
        </w:rPr>
        <w:t>（HJ2.1-2011）</w:t>
      </w:r>
      <w:r w:rsidRPr="00677D1F">
        <w:rPr>
          <w:rFonts w:asciiTheme="minorEastAsia" w:hAnsiTheme="minorEastAsia" w:cs="宋体" w:hint="eastAsia"/>
          <w:color w:val="000000"/>
          <w:kern w:val="0"/>
          <w:sz w:val="24"/>
          <w:szCs w:val="24"/>
        </w:rPr>
        <w:t>对报告书总体编辑内容章节安排与要求，根据相关环境影响评价的法律法规、技术要求及专项环境影响评价技术导则的章节编写技术要求，编辑了本项目的环境影响报告书。</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hint="eastAsia"/>
          <w:color w:val="000000"/>
          <w:kern w:val="0"/>
          <w:sz w:val="24"/>
          <w:szCs w:val="24"/>
        </w:rPr>
        <w:t>2020</w:t>
      </w:r>
      <w:r w:rsidRPr="00677D1F">
        <w:rPr>
          <w:rFonts w:asciiTheme="minorEastAsia" w:hAnsiTheme="minorEastAsia" w:cs="宋体" w:hint="eastAsia"/>
          <w:color w:val="000000"/>
          <w:kern w:val="0"/>
          <w:sz w:val="24"/>
          <w:szCs w:val="24"/>
        </w:rPr>
        <w:t>年</w:t>
      </w:r>
      <w:r w:rsidRPr="00677D1F">
        <w:rPr>
          <w:rFonts w:asciiTheme="minorEastAsia" w:hAnsiTheme="minorEastAsia" w:cs="Times New Roman" w:hint="eastAsia"/>
          <w:color w:val="000000"/>
          <w:kern w:val="0"/>
          <w:sz w:val="24"/>
          <w:szCs w:val="24"/>
        </w:rPr>
        <w:t>5</w:t>
      </w:r>
      <w:r w:rsidRPr="00677D1F">
        <w:rPr>
          <w:rFonts w:asciiTheme="minorEastAsia" w:hAnsiTheme="minorEastAsia" w:cs="宋体" w:hint="eastAsia"/>
          <w:color w:val="000000"/>
          <w:kern w:val="0"/>
          <w:sz w:val="24"/>
          <w:szCs w:val="24"/>
        </w:rPr>
        <w:t>月</w:t>
      </w:r>
      <w:r w:rsidRPr="00677D1F">
        <w:rPr>
          <w:rFonts w:asciiTheme="minorEastAsia" w:hAnsiTheme="minorEastAsia" w:cs="Times New Roman"/>
          <w:color w:val="000000"/>
          <w:kern w:val="0"/>
          <w:sz w:val="24"/>
          <w:szCs w:val="24"/>
        </w:rPr>
        <w:t>2</w:t>
      </w:r>
      <w:r w:rsidRPr="00677D1F">
        <w:rPr>
          <w:rFonts w:asciiTheme="minorEastAsia" w:hAnsiTheme="minorEastAsia" w:cs="Times New Roman" w:hint="eastAsia"/>
          <w:color w:val="000000"/>
          <w:kern w:val="0"/>
          <w:sz w:val="24"/>
          <w:szCs w:val="24"/>
        </w:rPr>
        <w:t>6</w:t>
      </w:r>
      <w:r w:rsidRPr="00677D1F">
        <w:rPr>
          <w:rFonts w:asciiTheme="minorEastAsia" w:hAnsiTheme="minorEastAsia" w:cs="宋体" w:hint="eastAsia"/>
          <w:color w:val="000000"/>
          <w:kern w:val="0"/>
          <w:sz w:val="24"/>
          <w:szCs w:val="24"/>
        </w:rPr>
        <w:t>日至6月7日，建设单位与评价单位通过征询直接受影响区域内居民和企事业单位对本项目的意见和建议，通过对收集这些意见和建议的归纳分析，完善了本项目的技术文本。技术文本经过专家鉴定后，修改完善了《环境影响报告书》，现提交环境主管部门予以审查批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环境影响评价工作过程具体流程见图</w:t>
      </w:r>
      <w:r w:rsidRPr="00677D1F">
        <w:rPr>
          <w:rFonts w:asciiTheme="minorEastAsia" w:hAnsiTheme="minorEastAsia" w:cs="Times New Roman"/>
          <w:color w:val="000000"/>
          <w:kern w:val="0"/>
          <w:sz w:val="24"/>
          <w:szCs w:val="24"/>
        </w:rPr>
        <w:t>1.2-1</w:t>
      </w:r>
      <w:r w:rsidRPr="00677D1F">
        <w:rPr>
          <w:rFonts w:asciiTheme="minorEastAsia" w:hAnsiTheme="minorEastAsia" w:cs="宋体" w:hint="eastAsia"/>
          <w:color w:val="000000"/>
          <w:kern w:val="0"/>
          <w:sz w:val="24"/>
          <w:szCs w:val="24"/>
        </w:rPr>
        <w:t>。</w:t>
      </w: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20"/>
        <w:contextualSpacing/>
      </w:pPr>
      <w:r w:rsidRPr="00677D1F">
        <w:rPr>
          <w:noProof/>
        </w:rPr>
        <w:lastRenderedPageBreak/>
        <w:drawing>
          <wp:inline distT="0" distB="0" distL="114300" distR="114300" wp14:anchorId="0BDBA576" wp14:editId="046749D5">
            <wp:extent cx="4705350" cy="7134225"/>
            <wp:effectExtent l="0" t="0" r="0" b="952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1"/>
                    <a:stretch>
                      <a:fillRect/>
                    </a:stretch>
                  </pic:blipFill>
                  <pic:spPr>
                    <a:xfrm>
                      <a:off x="0" y="0"/>
                      <a:ext cx="4705350" cy="7134225"/>
                    </a:xfrm>
                    <a:prstGeom prst="rect">
                      <a:avLst/>
                    </a:prstGeom>
                    <a:noFill/>
                    <a:ln>
                      <a:noFill/>
                    </a:ln>
                  </pic:spPr>
                </pic:pic>
              </a:graphicData>
            </a:graphic>
          </wp:inline>
        </w:drawing>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1.2-1</w:t>
      </w:r>
      <w:r w:rsidRPr="00677D1F">
        <w:rPr>
          <w:rFonts w:ascii="黑体" w:eastAsia="黑体" w:hAnsi="黑体" w:cs="宋体" w:hint="eastAsia"/>
          <w:b/>
          <w:color w:val="000000"/>
          <w:kern w:val="0"/>
          <w:szCs w:val="21"/>
        </w:rPr>
        <w:t>环境影响评价工作程序图</w:t>
      </w:r>
    </w:p>
    <w:p w:rsidR="00D228BE" w:rsidRPr="00677D1F" w:rsidRDefault="00D228BE" w:rsidP="00677D1F">
      <w:pPr>
        <w:widowControl/>
        <w:spacing w:line="360" w:lineRule="auto"/>
        <w:ind w:firstLineChars="200" w:firstLine="420"/>
        <w:contextualSpacing/>
      </w:pPr>
    </w:p>
    <w:p w:rsidR="00D228BE" w:rsidRPr="00677D1F" w:rsidRDefault="00D228BE" w:rsidP="00677D1F">
      <w:pPr>
        <w:widowControl/>
        <w:spacing w:line="360" w:lineRule="auto"/>
        <w:ind w:firstLineChars="200" w:firstLine="420"/>
        <w:contextualSpacing/>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1.3</w:t>
      </w:r>
      <w:r w:rsidRPr="00677D1F">
        <w:rPr>
          <w:rFonts w:ascii="宋体" w:hAnsi="宋体" w:hint="eastAsia"/>
          <w:bCs w:val="0"/>
          <w:kern w:val="2"/>
          <w:sz w:val="30"/>
          <w:szCs w:val="30"/>
        </w:rPr>
        <w:t>关注的主要环境问题</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本项目建设地点位于哈密市工业园区的重工业加工区。园区内的水、电、交通等基础设施齐全。本项目厂址距最近的集中居民区约</w:t>
      </w:r>
      <w:r w:rsidRPr="00677D1F">
        <w:rPr>
          <w:rFonts w:asciiTheme="minorEastAsia" w:hAnsiTheme="minorEastAsia" w:cs="Times New Roman"/>
          <w:color w:val="000000"/>
          <w:kern w:val="0"/>
          <w:sz w:val="24"/>
          <w:szCs w:val="24"/>
        </w:rPr>
        <w:t>11km</w:t>
      </w:r>
      <w:r w:rsidRPr="00677D1F">
        <w:rPr>
          <w:rFonts w:asciiTheme="minorEastAsia" w:hAnsiTheme="minorEastAsia" w:cs="宋体" w:hint="eastAsia"/>
          <w:color w:val="000000"/>
          <w:kern w:val="0"/>
          <w:sz w:val="24"/>
          <w:szCs w:val="24"/>
        </w:rPr>
        <w:t>，距最近的地表水域南湖水库约</w:t>
      </w:r>
      <w:r w:rsidRPr="00677D1F">
        <w:rPr>
          <w:rFonts w:asciiTheme="minorEastAsia" w:hAnsiTheme="minorEastAsia" w:cs="Times New Roman"/>
          <w:color w:val="000000"/>
          <w:kern w:val="0"/>
          <w:sz w:val="24"/>
          <w:szCs w:val="24"/>
        </w:rPr>
        <w:t>4km</w:t>
      </w:r>
      <w:r w:rsidRPr="00677D1F">
        <w:rPr>
          <w:rFonts w:asciiTheme="minorEastAsia" w:hAnsiTheme="minorEastAsia" w:cs="宋体" w:hint="eastAsia"/>
          <w:color w:val="000000"/>
          <w:kern w:val="0"/>
          <w:sz w:val="24"/>
          <w:szCs w:val="24"/>
        </w:rPr>
        <w:t>，周围</w:t>
      </w:r>
      <w:r w:rsidRPr="00677D1F">
        <w:rPr>
          <w:rFonts w:asciiTheme="minorEastAsia" w:hAnsiTheme="minorEastAsia" w:cs="Times New Roman"/>
          <w:color w:val="000000"/>
          <w:kern w:val="0"/>
          <w:sz w:val="24"/>
          <w:szCs w:val="24"/>
        </w:rPr>
        <w:t>3km</w:t>
      </w:r>
      <w:r w:rsidRPr="00677D1F">
        <w:rPr>
          <w:rFonts w:asciiTheme="minorEastAsia" w:hAnsiTheme="minorEastAsia" w:cs="宋体" w:hint="eastAsia"/>
          <w:color w:val="000000"/>
          <w:kern w:val="0"/>
          <w:sz w:val="24"/>
          <w:szCs w:val="24"/>
        </w:rPr>
        <w:t>范围内没有环境敏感目标。本项目主要工程有海绵钛生产系统、镁电解生产系统、氯气生产系统、钛加工系统。大气污染源主要有生产性粉尘</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主要是原料库、氯化原料库、钛渣破碎及成品库、四氯化钛制备车间等工段散发的粉尘</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钛渣熔炼电炉烟气、四氯化钛制备的氯化尾气及精制尾气、还蒸废气、镁电解废气、废氯气、钛材加工酸雾和厂区各生产工段的无组织废气等；废水主要产生源主要有设备冷却排水、尾气及事故氯气处理废水、螯合树脂塔排放的离子再生水、脱盐水单元混床再生时排放的酸碱废水、钛材加工清洗废水等；本项目产生的固体废物主要为钛矿熔炼产生的电炉渣</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生铁</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及收尘灰、沸腾氯化炉的氯化炉渣及收尘炉渣、冷凝淋洗后过滤泥浆、四氯化钛精制过程中的除钒蒸馏釜钒浆</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高沸点物</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以及四氯化硅等氯化物泥浆、氯化镁电解渣、镁精炼渣及电解镁升华物、各类工业炉窑</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钛渣电炉、电解槽和氯化炉等</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大修产生的废耐火材料</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大修渣</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、钛材加工</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锻造、板带等生产</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产生的废料、氯气生产一次盐水工序中的预处理器和膜过滤器等排出的盐泥浆、氯气干燥排放的废硫酸、氯气生产时定期更换的废螯合树脂和废离子膜及污水处理产生的污泥、电解镁升华物等。环境风险源主要为液氯库</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贮存</w:t>
      </w:r>
      <w:r w:rsidRPr="00677D1F">
        <w:rPr>
          <w:rFonts w:asciiTheme="minorEastAsia" w:hAnsiTheme="minorEastAsia" w:cs="Times New Roman"/>
          <w:color w:val="000000"/>
          <w:kern w:val="0"/>
          <w:sz w:val="24"/>
          <w:szCs w:val="24"/>
        </w:rPr>
        <w:t>1t</w:t>
      </w:r>
      <w:r w:rsidRPr="00677D1F">
        <w:rPr>
          <w:rFonts w:asciiTheme="minorEastAsia" w:hAnsiTheme="minorEastAsia" w:cs="宋体" w:hint="eastAsia"/>
          <w:color w:val="000000"/>
          <w:kern w:val="0"/>
          <w:sz w:val="24"/>
          <w:szCs w:val="24"/>
        </w:rPr>
        <w:t>液氯钢瓶</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的液氯及四氯化钛储罐区的四氯化钛泄漏。</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本项目产生的废气已有较多成熟可靠的处理工艺，而生产废水产生量很小，经处理后实现回用，生活污水处理后回用，厂区废水可作到零排放；生产性粉尘处理的收尘粉可作为原料返回到各生产工艺中、冷凝淋洗后过滤泥浆、四氯化钛精制过程中的除钒蒸馏釜钒浆</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高沸点物</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以及四氯化硅等氯化物泥浆可以添加到沸腾氯化炉中作为原料回用；各类工业炉窑</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钛渣电炉、电解槽和氯化炉等</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大修产生的废耐火材料</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大修渣</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及氯气生产一次盐水工序中的预处理器和膜过滤器等排出的盐泥浆可以作为建筑材料的原料外售；钛材加工</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锻造、板带等生产</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产生的废料可作为残钛原料处理后返回给熔铸车间使用；氯气干燥排放的废硫酸可以外售或到钛材加工作作为酸洗添加用酸料；升华物在工艺中用水溶解。因此本项目的氯化炉渣、收尘渣、氯化镁电解渣、镁精炼渣为海绵钛生产中最主要的和最难以处置的固</w:t>
      </w:r>
      <w:r w:rsidRPr="00677D1F">
        <w:rPr>
          <w:rFonts w:asciiTheme="minorEastAsia" w:hAnsiTheme="minorEastAsia" w:cs="宋体" w:hint="eastAsia"/>
          <w:color w:val="000000"/>
          <w:kern w:val="0"/>
          <w:sz w:val="24"/>
          <w:szCs w:val="24"/>
        </w:rPr>
        <w:lastRenderedPageBreak/>
        <w:t>体废物。液氯泄漏设事故氯气钢瓶处理池</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用碱液埋没泄漏的钢瓶迸行吸收；四氯化钛泄漏喷水雾</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或碱液</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减慢挥发</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或扩散</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，并地面洒上苏打灰，然后用大量水或碱液冲洗，经稀释的洗水放入废水系统。</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项目周围环境情况和上述的生产过程产生的污染物情况分析，本项目关注主要的环境问题是采用完善的除尘措施控制生产性粉尘排放浓度、废气的有效处理措施、废水合理的处理方式和固体废物合理去向及利用的可行性及环境风险防范措施。</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1.4</w:t>
      </w:r>
      <w:r w:rsidRPr="00677D1F">
        <w:rPr>
          <w:rFonts w:ascii="宋体" w:hAnsi="宋体" w:hint="eastAsia"/>
          <w:bCs w:val="0"/>
          <w:kern w:val="2"/>
          <w:sz w:val="30"/>
          <w:szCs w:val="30"/>
        </w:rPr>
        <w:t>环境影响报告书的主要结论</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建设项目符合国家和地方的产业政策，选址合理，符合清洁生产要求，采用的各项污染防治措施可行，总量控制具有可操作性、总体上对评价区域环境影响较小，风险在可接受范围内，公示期间无人反对。因此本报告书认为，在污染防治措施和风险防范措施到位的情况下，从环保角度来讲，本项目在拟建地建设是可行的。</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outlineLvl w:val="0"/>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2总则</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2.1</w:t>
      </w:r>
      <w:r w:rsidRPr="00677D1F">
        <w:rPr>
          <w:rFonts w:ascii="宋体" w:hAnsi="宋体" w:hint="eastAsia"/>
          <w:bCs w:val="0"/>
          <w:kern w:val="2"/>
          <w:sz w:val="30"/>
          <w:szCs w:val="30"/>
        </w:rPr>
        <w:t>编制依据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技术文件编辑相关依据汇总见表</w:t>
      </w:r>
      <w:r w:rsidRPr="00677D1F">
        <w:rPr>
          <w:rFonts w:asciiTheme="minorEastAsia" w:hAnsiTheme="minorEastAsia" w:cs="Times New Roman"/>
          <w:color w:val="000000"/>
          <w:kern w:val="0"/>
          <w:sz w:val="24"/>
          <w:szCs w:val="24"/>
        </w:rPr>
        <w:t>2.1-1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表2.1-1技术文件编辑相关依据汇总一览表</w:t>
      </w:r>
    </w:p>
    <w:tbl>
      <w:tblPr>
        <w:tblStyle w:val="aa"/>
        <w:tblW w:w="9072" w:type="dxa"/>
        <w:jc w:val="center"/>
        <w:tblLayout w:type="fixed"/>
        <w:tblLook w:val="04A0" w:firstRow="1" w:lastRow="0" w:firstColumn="1" w:lastColumn="0" w:noHBand="0" w:noVBand="1"/>
      </w:tblPr>
      <w:tblGrid>
        <w:gridCol w:w="667"/>
        <w:gridCol w:w="4252"/>
        <w:gridCol w:w="2835"/>
        <w:gridCol w:w="1318"/>
      </w:tblGrid>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序号</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名称</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文号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实施日期</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b/>
                <w:bCs/>
                <w:color w:val="000000"/>
                <w:kern w:val="0"/>
                <w:sz w:val="18"/>
                <w:szCs w:val="18"/>
              </w:rPr>
              <w:t>法律法规</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中华人民共和国环境保护法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hint="eastAsia"/>
                <w:color w:val="000000"/>
                <w:kern w:val="0"/>
                <w:sz w:val="18"/>
                <w:szCs w:val="18"/>
              </w:rPr>
              <w:t>2014</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hint="eastAsia"/>
                <w:color w:val="000000"/>
                <w:kern w:val="0"/>
                <w:sz w:val="18"/>
                <w:szCs w:val="18"/>
              </w:rPr>
              <w:t>9</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hint="eastAsia"/>
                <w:color w:val="000000"/>
                <w:kern w:val="0"/>
                <w:sz w:val="18"/>
                <w:szCs w:val="18"/>
              </w:rPr>
              <w:t>2015</w:t>
            </w:r>
            <w:r w:rsidRPr="00677D1F">
              <w:rPr>
                <w:rFonts w:ascii="Times New Roman" w:eastAsia="宋体" w:hAnsi="Times New Roman" w:cs="Times New Roman"/>
                <w:color w:val="000000"/>
                <w:kern w:val="0"/>
                <w:sz w:val="18"/>
                <w:szCs w:val="18"/>
              </w:rPr>
              <w:t>.1.</w:t>
            </w:r>
            <w:r w:rsidRPr="00677D1F">
              <w:rPr>
                <w:rFonts w:ascii="Times New Roman" w:eastAsia="宋体" w:hAnsi="Times New Roman" w:cs="Times New Roman" w:hint="eastAsia"/>
                <w:color w:val="000000"/>
                <w:kern w:val="0"/>
                <w:sz w:val="18"/>
                <w:szCs w:val="18"/>
              </w:rPr>
              <w:t>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中华人民共和国环境影响评价法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2002</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77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2003.9.1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中华人民共和国大气污染防治法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2000</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32</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2000.9.1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中华人民共和国水污染防治法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2008</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87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2008.6.1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中华人民共和国环境噪声污染防治法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1996</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77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1997.3.1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中华人民共和国固体废物污染环境防治法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2004</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31</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2005.4.1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中华人民共和国循环经济促进法</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2008</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4</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2009.1.1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中华人民共和国清洁生产促进法</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2012</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54</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2012.7.1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中华人民共和国水土保持法</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39</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2011.3.1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中华人民共和国土地管理法</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2004</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28</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2004.8.28</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中华人民共和国节约能源法</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2008</w:t>
            </w:r>
            <w:r w:rsidRPr="00677D1F">
              <w:rPr>
                <w:rFonts w:ascii="宋体" w:eastAsia="宋体" w:hAnsi="宋体" w:cs="宋体" w:hint="eastAsia"/>
                <w:color w:val="000000"/>
                <w:kern w:val="0"/>
                <w:sz w:val="18"/>
                <w:szCs w:val="18"/>
              </w:rPr>
              <w:t>年主席令第</w:t>
            </w:r>
            <w:r w:rsidRPr="00677D1F">
              <w:rPr>
                <w:rFonts w:ascii="Times New Roman" w:eastAsia="宋体" w:hAnsi="Times New Roman" w:cs="Times New Roman"/>
                <w:color w:val="000000"/>
                <w:kern w:val="0"/>
                <w:sz w:val="18"/>
                <w:szCs w:val="18"/>
              </w:rPr>
              <w:t>90</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2008.4.1</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b/>
                <w:bCs/>
                <w:color w:val="000000"/>
                <w:kern w:val="0"/>
                <w:sz w:val="18"/>
                <w:szCs w:val="18"/>
              </w:rPr>
              <w:t>行政规范与国务院发布的规范性文件</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建设项目环境保护管理条例</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1998</w:t>
            </w:r>
            <w:r w:rsidRPr="00677D1F">
              <w:rPr>
                <w:rFonts w:ascii="宋体" w:eastAsia="宋体" w:hAnsi="宋体" w:cs="宋体" w:hint="eastAsia"/>
                <w:color w:val="000000"/>
                <w:kern w:val="0"/>
                <w:sz w:val="18"/>
                <w:szCs w:val="18"/>
              </w:rPr>
              <w:t>年国务院令第</w:t>
            </w:r>
            <w:r w:rsidRPr="00677D1F">
              <w:rPr>
                <w:rFonts w:ascii="Times New Roman" w:eastAsia="宋体" w:hAnsi="Times New Roman" w:cs="Times New Roman"/>
                <w:color w:val="000000"/>
                <w:kern w:val="0"/>
                <w:sz w:val="18"/>
                <w:szCs w:val="18"/>
              </w:rPr>
              <w:t>253</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1998.11.29</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国家突发环境事件应急预案</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国务院</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2006.1.24</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关于落实科学发展观加强环境保护的决定</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2005</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39</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2005.12.3</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国务院关于印发“十三五</w:t>
            </w:r>
            <w:r w:rsidRPr="00677D1F">
              <w:rPr>
                <w:rFonts w:ascii="Times New Roman" w:eastAsia="宋体" w:hAnsi="Times New Roman" w:cs="Times New Roman" w:hint="eastAsia"/>
                <w:color w:val="000000"/>
                <w:kern w:val="0"/>
                <w:sz w:val="18"/>
                <w:szCs w:val="18"/>
              </w:rPr>
              <w:t>”生态环境保护</w:t>
            </w:r>
            <w:r w:rsidRPr="00677D1F">
              <w:rPr>
                <w:rFonts w:ascii="宋体" w:eastAsia="宋体" w:hAnsi="宋体" w:cs="宋体" w:hint="eastAsia"/>
                <w:color w:val="000000"/>
                <w:kern w:val="0"/>
                <w:sz w:val="18"/>
                <w:szCs w:val="18"/>
              </w:rPr>
              <w:t>规划的通知</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6</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hint="eastAsia"/>
                <w:color w:val="000000"/>
                <w:kern w:val="0"/>
                <w:sz w:val="18"/>
                <w:szCs w:val="18"/>
              </w:rPr>
              <w:t>65</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6</w:t>
            </w:r>
            <w:r w:rsidRPr="00677D1F">
              <w:rPr>
                <w:rFonts w:ascii="Times New Roman" w:eastAsia="宋体" w:hAnsi="Times New Roman" w:cs="Times New Roman"/>
                <w:color w:val="000000"/>
                <w:kern w:val="0"/>
                <w:sz w:val="18"/>
                <w:szCs w:val="18"/>
              </w:rPr>
              <w:t>.1</w:t>
            </w:r>
            <w:r w:rsidRPr="00677D1F">
              <w:rPr>
                <w:rFonts w:ascii="Times New Roman" w:eastAsia="宋体" w:hAnsi="Times New Roman" w:cs="Times New Roman" w:hint="eastAsia"/>
                <w:color w:val="000000"/>
                <w:kern w:val="0"/>
                <w:sz w:val="18"/>
                <w:szCs w:val="18"/>
              </w:rPr>
              <w:t>1</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24</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国务院关于加强环境保护重点工作的意见</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2011</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35</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2011.11.17</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危险化学品安全管理条例</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2011</w:t>
            </w:r>
            <w:r w:rsidRPr="00677D1F">
              <w:rPr>
                <w:rFonts w:ascii="宋体" w:eastAsia="宋体" w:hAnsi="宋体" w:cs="宋体" w:hint="eastAsia"/>
                <w:color w:val="000000"/>
                <w:kern w:val="0"/>
                <w:sz w:val="18"/>
                <w:szCs w:val="18"/>
              </w:rPr>
              <w:t>年国务院令第</w:t>
            </w:r>
            <w:r w:rsidRPr="00677D1F">
              <w:rPr>
                <w:rFonts w:ascii="Times New Roman" w:eastAsia="宋体" w:hAnsi="Times New Roman" w:cs="Times New Roman"/>
                <w:color w:val="000000"/>
                <w:kern w:val="0"/>
                <w:sz w:val="18"/>
                <w:szCs w:val="18"/>
              </w:rPr>
              <w:t>591</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2011.12.15</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国务院关于加强节能工作的决定</w:t>
            </w:r>
          </w:p>
        </w:tc>
        <w:tc>
          <w:tcPr>
            <w:tcW w:w="2835"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2006</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28</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2006.8.6</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国务院关于进一步加强淘汰落后产能工作通知</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[2010]7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2010.2.6</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国务院关于中西部地区承接产业转移的指导意见</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2010</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28</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2010.8.31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国务院关于印发“十三五”节能减排</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综合工作方案的通知</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国发〔</w:t>
            </w: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6</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hint="eastAsia"/>
                <w:color w:val="000000"/>
                <w:kern w:val="0"/>
                <w:sz w:val="18"/>
                <w:szCs w:val="18"/>
              </w:rPr>
              <w:t>74</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6</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12</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20</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b/>
                <w:bCs/>
                <w:color w:val="000000"/>
                <w:kern w:val="0"/>
                <w:sz w:val="18"/>
                <w:szCs w:val="18"/>
              </w:rPr>
              <w:t>部门规章与部门发布的规范性文件</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建设项目环境影响评价分类管理名录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环保部令第</w:t>
            </w:r>
            <w:r w:rsidRPr="00677D1F">
              <w:rPr>
                <w:rFonts w:ascii="Times New Roman" w:eastAsia="宋体" w:hAnsi="Times New Roman" w:cs="Times New Roman"/>
                <w:color w:val="000000"/>
                <w:kern w:val="0"/>
                <w:sz w:val="18"/>
                <w:szCs w:val="18"/>
              </w:rPr>
              <w:t>2</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2008.10.1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建设项目竣工环境保护验收管理办法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环保总局令第</w:t>
            </w:r>
            <w:r w:rsidRPr="00677D1F">
              <w:rPr>
                <w:rFonts w:ascii="Times New Roman" w:eastAsia="宋体" w:hAnsi="Times New Roman" w:cs="Times New Roman"/>
                <w:color w:val="000000"/>
                <w:kern w:val="0"/>
                <w:sz w:val="18"/>
                <w:szCs w:val="18"/>
              </w:rPr>
              <w:t>13</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2002.2.1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国家危险废物名录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环保部令第</w:t>
            </w:r>
            <w:r w:rsidRPr="00677D1F">
              <w:rPr>
                <w:rFonts w:ascii="Times New Roman" w:eastAsia="宋体" w:hAnsi="Times New Roman" w:cs="Times New Roman"/>
                <w:color w:val="000000"/>
                <w:kern w:val="0"/>
                <w:sz w:val="18"/>
                <w:szCs w:val="18"/>
              </w:rPr>
              <w:t>1</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2008.8.1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关于进一步加强环境影响评价</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管理防范环境风险的通知</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环发</w:t>
            </w:r>
            <w:r w:rsidRPr="00677D1F">
              <w:rPr>
                <w:rFonts w:ascii="Times New Roman" w:eastAsia="宋体" w:hAnsi="Times New Roman" w:cs="Times New Roman"/>
                <w:color w:val="000000"/>
                <w:kern w:val="0"/>
                <w:sz w:val="18"/>
                <w:szCs w:val="18"/>
              </w:rPr>
              <w:t>[2012]77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2012.7.3</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环境影响评价公众参与暂行办法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环发</w:t>
            </w:r>
            <w:r w:rsidRPr="00677D1F">
              <w:rPr>
                <w:rFonts w:ascii="Times New Roman" w:eastAsia="宋体" w:hAnsi="Times New Roman" w:cs="Times New Roman"/>
                <w:color w:val="000000"/>
                <w:kern w:val="0"/>
                <w:sz w:val="18"/>
                <w:szCs w:val="18"/>
              </w:rPr>
              <w:t>[2006]28</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2006.3.18</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突发环境事件应急预案管理暂行办法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环发</w:t>
            </w:r>
            <w:r w:rsidRPr="00677D1F">
              <w:rPr>
                <w:rFonts w:ascii="Times New Roman" w:eastAsia="宋体" w:hAnsi="Times New Roman" w:cs="Times New Roman"/>
                <w:color w:val="000000"/>
                <w:kern w:val="0"/>
                <w:sz w:val="18"/>
                <w:szCs w:val="18"/>
              </w:rPr>
              <w:t>[2010]113</w:t>
            </w:r>
            <w:r w:rsidRPr="00677D1F">
              <w:rPr>
                <w:rFonts w:ascii="宋体" w:eastAsia="宋体" w:hAnsi="宋体" w:cs="宋体" w:hint="eastAsia"/>
                <w:color w:val="000000"/>
                <w:kern w:val="0"/>
                <w:sz w:val="18"/>
                <w:szCs w:val="18"/>
              </w:rPr>
              <w:t>号附件</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2010.9.28</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污染源自动监控管理办法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原国家环境保护总局令第</w:t>
            </w:r>
            <w:r w:rsidRPr="00677D1F">
              <w:rPr>
                <w:rFonts w:ascii="Times New Roman" w:eastAsia="宋体" w:hAnsi="Times New Roman" w:cs="Times New Roman"/>
                <w:color w:val="000000"/>
                <w:kern w:val="0"/>
                <w:sz w:val="18"/>
                <w:szCs w:val="18"/>
              </w:rPr>
              <w:t>28</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2005.7.7</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关于印发《资源综合利用目录（</w:t>
            </w:r>
            <w:r w:rsidRPr="00677D1F">
              <w:rPr>
                <w:rFonts w:ascii="Times New Roman" w:eastAsia="宋体" w:hAnsi="Times New Roman" w:cs="Times New Roman"/>
                <w:color w:val="000000"/>
                <w:kern w:val="0"/>
                <w:sz w:val="18"/>
                <w:szCs w:val="18"/>
              </w:rPr>
              <w:t>2003</w:t>
            </w:r>
            <w:r w:rsidRPr="00677D1F">
              <w:rPr>
                <w:rFonts w:ascii="宋体" w:eastAsia="宋体" w:hAnsi="宋体" w:cs="宋体" w:hint="eastAsia"/>
                <w:color w:val="000000"/>
                <w:kern w:val="0"/>
                <w:sz w:val="18"/>
                <w:szCs w:val="18"/>
              </w:rPr>
              <w:t>年修订）》的通知</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发改环资</w:t>
            </w:r>
            <w:r w:rsidRPr="00677D1F">
              <w:rPr>
                <w:rFonts w:ascii="Times New Roman" w:eastAsia="宋体" w:hAnsi="Times New Roman" w:cs="Times New Roman"/>
                <w:color w:val="000000"/>
                <w:kern w:val="0"/>
                <w:sz w:val="18"/>
                <w:szCs w:val="18"/>
              </w:rPr>
              <w:t>[2004]73</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2004.1.12</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大宗固体废物综合利用实施方案</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发改环资</w:t>
            </w:r>
            <w:r w:rsidRPr="00677D1F">
              <w:rPr>
                <w:rFonts w:ascii="Times New Roman" w:eastAsia="宋体" w:hAnsi="Times New Roman" w:cs="Times New Roman"/>
                <w:color w:val="000000"/>
                <w:kern w:val="0"/>
                <w:sz w:val="18"/>
                <w:szCs w:val="18"/>
              </w:rPr>
              <w:t>[2011]2919</w:t>
            </w:r>
            <w:r w:rsidRPr="00677D1F">
              <w:rPr>
                <w:rFonts w:ascii="宋体" w:eastAsia="宋体" w:hAnsi="宋体" w:cs="宋体" w:hint="eastAsia"/>
                <w:color w:val="000000"/>
                <w:kern w:val="0"/>
                <w:sz w:val="18"/>
                <w:szCs w:val="18"/>
              </w:rPr>
              <w:t>号附件</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2011.12.10</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中国资源综合利用技术政策大纲</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国家发改革委、科技部、工业和信息化部、国土资源部、住房城乡建设部、商务部公告</w:t>
            </w:r>
            <w:r w:rsidRPr="00677D1F">
              <w:rPr>
                <w:rFonts w:ascii="Times New Roman" w:eastAsia="宋体" w:hAnsi="Times New Roman" w:cs="Times New Roman"/>
                <w:color w:val="000000"/>
                <w:kern w:val="0"/>
                <w:sz w:val="18"/>
                <w:szCs w:val="18"/>
              </w:rPr>
              <w:t>2010</w:t>
            </w:r>
            <w:r w:rsidRPr="00677D1F">
              <w:rPr>
                <w:rFonts w:ascii="宋体" w:eastAsia="宋体" w:hAnsi="宋体" w:cs="宋体" w:hint="eastAsia"/>
                <w:color w:val="000000"/>
                <w:kern w:val="0"/>
                <w:sz w:val="18"/>
                <w:szCs w:val="18"/>
              </w:rPr>
              <w:t>年第</w:t>
            </w:r>
            <w:r w:rsidRPr="00677D1F">
              <w:rPr>
                <w:rFonts w:ascii="Times New Roman" w:eastAsia="宋体" w:hAnsi="Times New Roman" w:cs="Times New Roman"/>
                <w:color w:val="000000"/>
                <w:kern w:val="0"/>
                <w:sz w:val="18"/>
                <w:szCs w:val="18"/>
              </w:rPr>
              <w:t>14</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2010.7.1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关于切实加强风险防范严格</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环境影响评价管理的通知</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环发[2012]98号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2012.8.7</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工业和信息化部关于有色金属工业</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节能减排的指导意见</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工信部节</w:t>
            </w:r>
            <w:r w:rsidRPr="00677D1F">
              <w:rPr>
                <w:rFonts w:ascii="Times New Roman" w:eastAsia="宋体" w:hAnsi="Times New Roman" w:cs="Times New Roman"/>
                <w:color w:val="000000"/>
                <w:kern w:val="0"/>
                <w:sz w:val="18"/>
                <w:szCs w:val="18"/>
              </w:rPr>
              <w:t>[2013]56</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2013.2.17</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危险废物转移联单管理办法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原国家环境保护总局令第</w:t>
            </w:r>
            <w:r w:rsidRPr="00677D1F">
              <w:rPr>
                <w:rFonts w:ascii="Times New Roman" w:eastAsia="宋体" w:hAnsi="Times New Roman" w:cs="Times New Roman"/>
                <w:color w:val="000000"/>
                <w:kern w:val="0"/>
                <w:sz w:val="18"/>
                <w:szCs w:val="18"/>
              </w:rPr>
              <w:t>5</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1999.10.1</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b/>
                <w:bCs/>
                <w:color w:val="000000"/>
                <w:kern w:val="0"/>
                <w:sz w:val="18"/>
                <w:szCs w:val="18"/>
              </w:rPr>
              <w:t>产业及技术政策</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产业结构调整指导目录（</w:t>
            </w: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9</w:t>
            </w:r>
            <w:r w:rsidRPr="00677D1F">
              <w:rPr>
                <w:rFonts w:ascii="宋体" w:eastAsia="宋体" w:hAnsi="宋体" w:cs="宋体" w:hint="eastAsia"/>
                <w:color w:val="000000"/>
                <w:kern w:val="0"/>
                <w:sz w:val="18"/>
                <w:szCs w:val="18"/>
              </w:rPr>
              <w:t>年本修正）</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中华人民共和国国家发展和改革委员会令第29号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9.10</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30</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国家发展改革委关于支持</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新疆产业健康发展的若干意见</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发改产业</w:t>
            </w:r>
            <w:r w:rsidRPr="00677D1F">
              <w:rPr>
                <w:rFonts w:ascii="Times New Roman" w:eastAsia="宋体" w:hAnsi="Times New Roman" w:cs="Times New Roman"/>
                <w:color w:val="000000"/>
                <w:kern w:val="0"/>
                <w:sz w:val="18"/>
                <w:szCs w:val="18"/>
              </w:rPr>
              <w:t>[2012]1177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2012.6.11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关于促进新疆工业通信业和信息化</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发展的若干政策意见</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工信部产业〔</w:t>
            </w:r>
            <w:r w:rsidRPr="00677D1F">
              <w:rPr>
                <w:rFonts w:ascii="Times New Roman" w:eastAsia="宋体" w:hAnsi="Times New Roman" w:cs="Times New Roman"/>
                <w:color w:val="000000"/>
                <w:kern w:val="0"/>
                <w:sz w:val="18"/>
                <w:szCs w:val="18"/>
              </w:rPr>
              <w:t>2010</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167</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2010.12.15</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铁合金行业准入条件（</w:t>
            </w:r>
            <w:r w:rsidRPr="00677D1F">
              <w:rPr>
                <w:rFonts w:ascii="Times New Roman" w:eastAsia="宋体" w:hAnsi="Times New Roman" w:cs="Times New Roman"/>
                <w:color w:val="000000"/>
                <w:kern w:val="0"/>
                <w:sz w:val="18"/>
                <w:szCs w:val="18"/>
              </w:rPr>
              <w:t>20</w:t>
            </w:r>
            <w:r w:rsidRPr="00677D1F">
              <w:rPr>
                <w:rFonts w:ascii="Times New Roman" w:eastAsia="宋体" w:hAnsi="Times New Roman" w:cs="Times New Roman" w:hint="eastAsia"/>
                <w:color w:val="000000"/>
                <w:kern w:val="0"/>
                <w:sz w:val="18"/>
                <w:szCs w:val="18"/>
              </w:rPr>
              <w:t>15</w:t>
            </w:r>
            <w:r w:rsidRPr="00677D1F">
              <w:rPr>
                <w:rFonts w:ascii="宋体" w:eastAsia="宋体" w:hAnsi="宋体" w:cs="宋体" w:hint="eastAsia"/>
                <w:color w:val="000000"/>
                <w:kern w:val="0"/>
                <w:sz w:val="18"/>
                <w:szCs w:val="18"/>
              </w:rPr>
              <w:t>年修订）</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国家发改委令第</w:t>
            </w:r>
            <w:r w:rsidRPr="00677D1F">
              <w:rPr>
                <w:rFonts w:ascii="Times New Roman" w:eastAsia="宋体" w:hAnsi="Times New Roman" w:cs="Times New Roman"/>
                <w:color w:val="000000"/>
                <w:kern w:val="0"/>
                <w:sz w:val="18"/>
                <w:szCs w:val="18"/>
              </w:rPr>
              <w:t>13</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w:t>
            </w:r>
            <w:r w:rsidRPr="00677D1F">
              <w:rPr>
                <w:rFonts w:ascii="Times New Roman" w:eastAsia="宋体" w:hAnsi="Times New Roman" w:cs="Times New Roman" w:hint="eastAsia"/>
                <w:color w:val="000000"/>
                <w:kern w:val="0"/>
                <w:sz w:val="18"/>
                <w:szCs w:val="18"/>
              </w:rPr>
              <w:t>15</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2</w:t>
            </w:r>
            <w:r w:rsidRPr="00677D1F">
              <w:rPr>
                <w:rFonts w:ascii="Times New Roman" w:eastAsia="宋体" w:hAnsi="Times New Roman" w:cs="Times New Roman"/>
                <w:color w:val="000000"/>
                <w:kern w:val="0"/>
                <w:sz w:val="18"/>
                <w:szCs w:val="18"/>
              </w:rPr>
              <w:t>.1</w:t>
            </w:r>
            <w:r w:rsidRPr="00677D1F">
              <w:rPr>
                <w:rFonts w:ascii="Times New Roman" w:eastAsia="宋体" w:hAnsi="Times New Roman" w:cs="Times New Roman" w:hint="eastAsia"/>
                <w:color w:val="000000"/>
                <w:kern w:val="0"/>
                <w:sz w:val="18"/>
                <w:szCs w:val="18"/>
              </w:rPr>
              <w:t>0</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铸造行业准入条件</w:t>
            </w:r>
          </w:p>
        </w:tc>
        <w:tc>
          <w:tcPr>
            <w:tcW w:w="2835" w:type="dxa"/>
            <w:tcMar>
              <w:left w:w="57" w:type="dxa"/>
              <w:right w:w="57" w:type="dxa"/>
            </w:tcMar>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工信部公告</w:t>
            </w:r>
            <w:r w:rsidRPr="00677D1F">
              <w:rPr>
                <w:rFonts w:ascii="Times New Roman" w:eastAsia="宋体" w:hAnsi="Times New Roman" w:cs="Times New Roman"/>
                <w:color w:val="000000"/>
                <w:kern w:val="0"/>
                <w:sz w:val="18"/>
                <w:szCs w:val="18"/>
              </w:rPr>
              <w:t>2013</w:t>
            </w:r>
            <w:r w:rsidRPr="00677D1F">
              <w:rPr>
                <w:rFonts w:ascii="宋体" w:eastAsia="宋体" w:hAnsi="宋体" w:cs="宋体" w:hint="eastAsia"/>
                <w:color w:val="000000"/>
                <w:kern w:val="0"/>
                <w:sz w:val="18"/>
                <w:szCs w:val="18"/>
              </w:rPr>
              <w:t>年第</w:t>
            </w:r>
            <w:r w:rsidRPr="00677D1F">
              <w:rPr>
                <w:rFonts w:ascii="Times New Roman" w:eastAsia="宋体" w:hAnsi="Times New Roman" w:cs="Times New Roman"/>
                <w:color w:val="000000"/>
                <w:kern w:val="0"/>
                <w:sz w:val="18"/>
                <w:szCs w:val="18"/>
              </w:rPr>
              <w:t>26</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2013.5.10</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有色金属工业发展规划（2016-2020年）</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工信部规〔2016〕316号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w:t>
            </w:r>
            <w:r w:rsidRPr="00677D1F">
              <w:rPr>
                <w:rFonts w:ascii="Times New Roman" w:eastAsia="宋体" w:hAnsi="Times New Roman" w:cs="Times New Roman" w:hint="eastAsia"/>
                <w:color w:val="000000"/>
                <w:kern w:val="0"/>
                <w:sz w:val="18"/>
                <w:szCs w:val="18"/>
              </w:rPr>
              <w:t>16</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9</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28</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“十三五”国家战略性新兴产业发展规划</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国发〔2016〕67号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6</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11</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29</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危险废物污染防治技术政策</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环发</w:t>
            </w:r>
            <w:r w:rsidRPr="00677D1F">
              <w:rPr>
                <w:rFonts w:ascii="Times New Roman" w:eastAsia="宋体" w:hAnsi="Times New Roman" w:cs="Times New Roman"/>
                <w:color w:val="000000"/>
                <w:kern w:val="0"/>
                <w:sz w:val="18"/>
                <w:szCs w:val="18"/>
              </w:rPr>
              <w:t>[2001]199</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2001.12.17</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b/>
                <w:bCs/>
                <w:color w:val="000000"/>
                <w:kern w:val="0"/>
                <w:sz w:val="18"/>
                <w:szCs w:val="18"/>
              </w:rPr>
              <w:t>地方法规及政府规范文件</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新疆维吾尔自治区环境保护条例</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新疆维吾尔自治区十一届人大常委会公告第</w:t>
            </w:r>
            <w:r w:rsidRPr="00677D1F">
              <w:rPr>
                <w:rFonts w:ascii="Times New Roman" w:eastAsia="宋体" w:hAnsi="Times New Roman" w:cs="Times New Roman"/>
                <w:color w:val="000000"/>
                <w:kern w:val="0"/>
                <w:sz w:val="18"/>
                <w:szCs w:val="18"/>
              </w:rPr>
              <w:t>43</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2012.2.1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新疆维吾尔自治区水环境功能区划</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新疆维吾尔自治区环境保护局</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2003.10</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新疆维吾尔自治区生态环境功能区划</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新疆维吾尔自治区环境保护局</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2003.10</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新疆维吾尔自治区危险废物</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污染环境防治办法</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疆维吾尔自治区人民政府令第</w:t>
            </w:r>
            <w:r w:rsidRPr="00677D1F">
              <w:rPr>
                <w:rFonts w:ascii="Times New Roman" w:eastAsia="宋体" w:hAnsi="Times New Roman" w:cs="Times New Roman"/>
                <w:color w:val="000000"/>
                <w:kern w:val="0"/>
                <w:sz w:val="18"/>
                <w:szCs w:val="18"/>
              </w:rPr>
              <w:t>163</w:t>
            </w:r>
            <w:r w:rsidRPr="00677D1F">
              <w:rPr>
                <w:rFonts w:ascii="宋体" w:eastAsia="宋体" w:hAnsi="宋体" w:cs="宋体" w:hint="eastAsia"/>
                <w:color w:val="000000"/>
                <w:kern w:val="0"/>
                <w:sz w:val="18"/>
                <w:szCs w:val="18"/>
              </w:rPr>
              <w:t>号公</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2010.5.1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新疆维吾尔自治区新型工业化“十三五”发展规划</w:t>
            </w:r>
          </w:p>
        </w:tc>
        <w:tc>
          <w:tcPr>
            <w:tcW w:w="2835"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哈密市国民经济和社会发展</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第十三个五年规划纲要</w:t>
            </w:r>
          </w:p>
        </w:tc>
        <w:tc>
          <w:tcPr>
            <w:tcW w:w="2835"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哈密地区国民经济和社会发展十三五规划纲要</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哈密地区发展和改革委员会</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7.8.4</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b/>
                <w:bCs/>
                <w:color w:val="000000"/>
                <w:kern w:val="0"/>
                <w:sz w:val="18"/>
                <w:szCs w:val="18"/>
              </w:rPr>
              <w:t>导则及技术规范</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环境影响评价技术导则总纲</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2.1-201</w:t>
            </w:r>
            <w:r w:rsidRPr="00677D1F">
              <w:rPr>
                <w:rFonts w:ascii="Times New Roman" w:eastAsia="宋体" w:hAnsi="Times New Roman" w:cs="Times New Roman" w:hint="eastAsia"/>
                <w:color w:val="000000"/>
                <w:kern w:val="0"/>
                <w:sz w:val="18"/>
                <w:szCs w:val="18"/>
              </w:rPr>
              <w:t>9</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w:t>
            </w:r>
            <w:r w:rsidRPr="00677D1F">
              <w:rPr>
                <w:rFonts w:ascii="Times New Roman" w:eastAsia="宋体" w:hAnsi="Times New Roman" w:cs="Times New Roman" w:hint="eastAsia"/>
                <w:color w:val="000000"/>
                <w:kern w:val="0"/>
                <w:sz w:val="18"/>
                <w:szCs w:val="18"/>
              </w:rPr>
              <w:t>20</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3</w:t>
            </w:r>
            <w:r w:rsidRPr="00677D1F">
              <w:rPr>
                <w:rFonts w:ascii="Times New Roman" w:eastAsia="宋体" w:hAnsi="Times New Roman" w:cs="Times New Roman"/>
                <w:color w:val="000000"/>
                <w:kern w:val="0"/>
                <w:sz w:val="18"/>
                <w:szCs w:val="18"/>
              </w:rPr>
              <w:t>.1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环境影响评价技术导则大气环境</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2.2-20</w:t>
            </w:r>
            <w:r w:rsidRPr="00677D1F">
              <w:rPr>
                <w:rFonts w:ascii="Times New Roman" w:eastAsia="宋体" w:hAnsi="Times New Roman" w:cs="Times New Roman" w:hint="eastAsia"/>
                <w:color w:val="000000"/>
                <w:kern w:val="0"/>
                <w:sz w:val="18"/>
                <w:szCs w:val="18"/>
              </w:rPr>
              <w:t>1</w:t>
            </w:r>
            <w:r w:rsidRPr="00677D1F">
              <w:rPr>
                <w:rFonts w:ascii="Times New Roman" w:eastAsia="宋体" w:hAnsi="Times New Roman" w:cs="Times New Roman"/>
                <w:color w:val="000000"/>
                <w:kern w:val="0"/>
                <w:sz w:val="18"/>
                <w:szCs w:val="18"/>
              </w:rPr>
              <w:t>8</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w:t>
            </w:r>
            <w:r w:rsidRPr="00677D1F">
              <w:rPr>
                <w:rFonts w:ascii="Times New Roman" w:eastAsia="宋体" w:hAnsi="Times New Roman" w:cs="Times New Roman" w:hint="eastAsia"/>
                <w:color w:val="000000"/>
                <w:kern w:val="0"/>
                <w:sz w:val="18"/>
                <w:szCs w:val="18"/>
              </w:rPr>
              <w:t>18</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12</w:t>
            </w:r>
            <w:r w:rsidRPr="00677D1F">
              <w:rPr>
                <w:rFonts w:ascii="Times New Roman" w:eastAsia="宋体" w:hAnsi="Times New Roman" w:cs="Times New Roman"/>
                <w:color w:val="000000"/>
                <w:kern w:val="0"/>
                <w:sz w:val="18"/>
                <w:szCs w:val="18"/>
              </w:rPr>
              <w:t>.1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环境影响评价技术导则地面水环境</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2.3-</w:t>
            </w:r>
            <w:r w:rsidRPr="00677D1F">
              <w:rPr>
                <w:rFonts w:ascii="Times New Roman" w:eastAsia="宋体" w:hAnsi="Times New Roman" w:cs="Times New Roman" w:hint="eastAsia"/>
                <w:color w:val="000000"/>
                <w:kern w:val="0"/>
                <w:sz w:val="18"/>
                <w:szCs w:val="18"/>
              </w:rPr>
              <w:t>2018</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hint="eastAsia"/>
                <w:color w:val="000000"/>
                <w:kern w:val="0"/>
                <w:sz w:val="18"/>
                <w:szCs w:val="18"/>
              </w:rPr>
              <w:t>2019</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3</w:t>
            </w:r>
            <w:r w:rsidRPr="00677D1F">
              <w:rPr>
                <w:rFonts w:ascii="Times New Roman" w:eastAsia="宋体" w:hAnsi="Times New Roman" w:cs="Times New Roman"/>
                <w:color w:val="000000"/>
                <w:kern w:val="0"/>
                <w:sz w:val="18"/>
                <w:szCs w:val="18"/>
              </w:rPr>
              <w:t>.1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环境影响评价技术导则地下水环境</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610-201</w:t>
            </w:r>
            <w:r w:rsidRPr="00677D1F">
              <w:rPr>
                <w:rFonts w:ascii="Times New Roman" w:eastAsia="宋体" w:hAnsi="Times New Roman" w:cs="Times New Roman" w:hint="eastAsia"/>
                <w:color w:val="000000"/>
                <w:kern w:val="0"/>
                <w:sz w:val="18"/>
                <w:szCs w:val="18"/>
              </w:rPr>
              <w:t>6</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w:t>
            </w:r>
            <w:r w:rsidRPr="00677D1F">
              <w:rPr>
                <w:rFonts w:ascii="Times New Roman" w:eastAsia="宋体" w:hAnsi="Times New Roman" w:cs="Times New Roman" w:hint="eastAsia"/>
                <w:color w:val="000000"/>
                <w:kern w:val="0"/>
                <w:sz w:val="18"/>
                <w:szCs w:val="18"/>
              </w:rPr>
              <w:t>6</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1</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7</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环境影响评价技术导则声环境</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2.4-2009</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2010.4.1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环境影响评价技术导则生态影响</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19-2011</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2011.9.1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建设项目环境风险评价技术导则</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w:t>
            </w:r>
            <w:r w:rsidRPr="00677D1F">
              <w:rPr>
                <w:rFonts w:ascii="Times New Roman" w:eastAsia="宋体" w:hAnsi="Times New Roman" w:cs="Times New Roman" w:hint="eastAsia"/>
                <w:color w:val="000000"/>
                <w:kern w:val="0"/>
                <w:sz w:val="18"/>
                <w:szCs w:val="18"/>
              </w:rPr>
              <w:t xml:space="preserve"> </w:t>
            </w:r>
            <w:r w:rsidRPr="00677D1F">
              <w:rPr>
                <w:rFonts w:ascii="Times New Roman" w:eastAsia="宋体" w:hAnsi="Times New Roman" w:cs="Times New Roman"/>
                <w:color w:val="000000"/>
                <w:kern w:val="0"/>
                <w:sz w:val="18"/>
                <w:szCs w:val="18"/>
              </w:rPr>
              <w:t>169-20</w:t>
            </w:r>
            <w:r w:rsidRPr="00677D1F">
              <w:rPr>
                <w:rFonts w:ascii="Times New Roman" w:eastAsia="宋体" w:hAnsi="Times New Roman" w:cs="Times New Roman" w:hint="eastAsia"/>
                <w:color w:val="000000"/>
                <w:kern w:val="0"/>
                <w:sz w:val="18"/>
                <w:szCs w:val="18"/>
              </w:rPr>
              <w:t>18</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w:t>
            </w:r>
            <w:r w:rsidRPr="00677D1F">
              <w:rPr>
                <w:rFonts w:ascii="Times New Roman" w:eastAsia="宋体" w:hAnsi="Times New Roman" w:cs="Times New Roman" w:hint="eastAsia"/>
                <w:color w:val="000000"/>
                <w:kern w:val="0"/>
                <w:sz w:val="18"/>
                <w:szCs w:val="18"/>
              </w:rPr>
              <w:t>19</w:t>
            </w:r>
            <w:r w:rsidRPr="00677D1F">
              <w:rPr>
                <w:rFonts w:ascii="Times New Roman" w:eastAsia="宋体" w:hAnsi="Times New Roman" w:cs="Times New Roman"/>
                <w:color w:val="000000"/>
                <w:kern w:val="0"/>
                <w:sz w:val="18"/>
                <w:szCs w:val="18"/>
              </w:rPr>
              <w:t>.</w:t>
            </w:r>
            <w:r w:rsidRPr="00677D1F">
              <w:rPr>
                <w:rFonts w:ascii="Times New Roman" w:eastAsia="宋体" w:hAnsi="Times New Roman" w:cs="Times New Roman" w:hint="eastAsia"/>
                <w:color w:val="000000"/>
                <w:kern w:val="0"/>
                <w:sz w:val="18"/>
                <w:szCs w:val="18"/>
              </w:rPr>
              <w:t>3</w:t>
            </w:r>
            <w:r w:rsidRPr="00677D1F">
              <w:rPr>
                <w:rFonts w:ascii="Times New Roman" w:eastAsia="宋体" w:hAnsi="Times New Roman" w:cs="Times New Roman"/>
                <w:color w:val="000000"/>
                <w:kern w:val="0"/>
                <w:sz w:val="18"/>
                <w:szCs w:val="18"/>
              </w:rPr>
              <w:t>.1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综合能耗计算通则</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GB/T2589-2008</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2008.6.1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钛及钛合金铸锭单位产品能源消耗限额</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GB29448-2012</w:t>
            </w: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海绵钛单位产品能源消耗限额</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GB29136-2012</w:t>
            </w: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有色金属工业环境保护设计技术规定</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YSJ5017-2004</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2005.4.1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铸造防尘技术规程</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GB8959-2007</w:t>
            </w: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危险废物收集贮存运输技术规范</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HJ2025-2012</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2013.3.1</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14</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固体废物鉴别导则（试行）</w:t>
            </w:r>
          </w:p>
        </w:tc>
        <w:tc>
          <w:tcPr>
            <w:tcW w:w="2835"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原国家环境保护总局</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公告</w:t>
            </w:r>
            <w:r w:rsidRPr="00677D1F">
              <w:rPr>
                <w:rFonts w:ascii="Times New Roman" w:eastAsia="宋体" w:hAnsi="Times New Roman" w:cs="Times New Roman"/>
                <w:color w:val="000000"/>
                <w:kern w:val="0"/>
                <w:sz w:val="18"/>
                <w:szCs w:val="18"/>
              </w:rPr>
              <w:t>2006</w:t>
            </w:r>
            <w:r w:rsidRPr="00677D1F">
              <w:rPr>
                <w:rFonts w:ascii="宋体" w:eastAsia="宋体" w:hAnsi="宋体" w:cs="宋体" w:hint="eastAsia"/>
                <w:color w:val="000000"/>
                <w:kern w:val="0"/>
                <w:sz w:val="18"/>
                <w:szCs w:val="18"/>
              </w:rPr>
              <w:t>年第</w:t>
            </w:r>
            <w:r w:rsidRPr="00677D1F">
              <w:rPr>
                <w:rFonts w:ascii="Times New Roman" w:eastAsia="宋体" w:hAnsi="Times New Roman" w:cs="Times New Roman"/>
                <w:color w:val="000000"/>
                <w:kern w:val="0"/>
                <w:sz w:val="18"/>
                <w:szCs w:val="18"/>
              </w:rPr>
              <w:t>11</w:t>
            </w:r>
            <w:r w:rsidRPr="00677D1F">
              <w:rPr>
                <w:rFonts w:ascii="宋体" w:eastAsia="宋体" w:hAnsi="宋体" w:cs="宋体" w:hint="eastAsia"/>
                <w:color w:val="000000"/>
                <w:kern w:val="0"/>
                <w:sz w:val="18"/>
                <w:szCs w:val="18"/>
              </w:rPr>
              <w:t>号</w:t>
            </w:r>
          </w:p>
        </w:tc>
        <w:tc>
          <w:tcPr>
            <w:tcW w:w="1318" w:type="dxa"/>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2006.4.1</w:t>
            </w:r>
          </w:p>
        </w:tc>
      </w:tr>
      <w:tr w:rsidR="00D228BE" w:rsidRPr="00677D1F">
        <w:trPr>
          <w:trHeight w:val="340"/>
          <w:jc w:val="center"/>
        </w:trPr>
        <w:tc>
          <w:tcPr>
            <w:tcW w:w="9072" w:type="dxa"/>
            <w:gridSpan w:val="4"/>
            <w:tcMar>
              <w:left w:w="57" w:type="dxa"/>
              <w:right w:w="57" w:type="dxa"/>
            </w:tcMar>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b/>
                <w:bCs/>
                <w:color w:val="000000"/>
                <w:kern w:val="0"/>
                <w:sz w:val="18"/>
                <w:szCs w:val="18"/>
              </w:rPr>
              <w:t>项目有关技术文件和工作文件</w:t>
            </w: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可行性研究报告</w:t>
            </w:r>
          </w:p>
        </w:tc>
        <w:tc>
          <w:tcPr>
            <w:tcW w:w="2835"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《哈密工业园区总体规划环境影响报告书》</w:t>
            </w:r>
          </w:p>
        </w:tc>
        <w:tc>
          <w:tcPr>
            <w:tcW w:w="2835"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4252"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项目委托书、附件1；</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工业园区批复、附件2；</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相关协议、附件3。</w:t>
            </w:r>
          </w:p>
        </w:tc>
        <w:tc>
          <w:tcPr>
            <w:tcW w:w="2835"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318" w:type="dxa"/>
            <w:tcMar>
              <w:left w:w="57" w:type="dxa"/>
              <w:right w:w="57" w:type="dxa"/>
            </w:tcMar>
            <w:vAlign w:val="center"/>
          </w:tcPr>
          <w:p w:rsidR="00D228BE" w:rsidRPr="00677D1F" w:rsidRDefault="00D228BE" w:rsidP="00677D1F">
            <w:pPr>
              <w:widowControl/>
              <w:contextualSpacing/>
              <w:jc w:val="center"/>
              <w:rPr>
                <w:rFonts w:ascii="Times New Roman" w:eastAsia="宋体" w:hAnsi="Times New Roman" w:cs="Times New Roman"/>
                <w:color w:val="000000"/>
                <w:kern w:val="0"/>
                <w:sz w:val="18"/>
                <w:szCs w:val="18"/>
              </w:rPr>
            </w:pP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2.2</w:t>
      </w:r>
      <w:r w:rsidRPr="00677D1F">
        <w:rPr>
          <w:rFonts w:ascii="宋体" w:hAnsi="宋体" w:hint="eastAsia"/>
          <w:bCs w:val="0"/>
          <w:kern w:val="2"/>
          <w:sz w:val="30"/>
          <w:szCs w:val="30"/>
        </w:rPr>
        <w:t xml:space="preserve"> 评价目的及目的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2.2.1</w:t>
      </w:r>
      <w:r w:rsidRPr="00677D1F">
        <w:rPr>
          <w:rFonts w:ascii="宋体" w:hAnsi="宋体" w:hint="eastAsia"/>
          <w:sz w:val="28"/>
          <w:szCs w:val="28"/>
        </w:rPr>
        <w:t xml:space="preserve"> 评价原则</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按照以人为本，建设资源节约型、环境友好型社会和“生态立区，环保优先”的科学发展观要求，遵循以下评价工作原则：</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）严格执行国家地方有关环境保护法律法规、标准、规范、政策及规划的依法评价原则。</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）在可行性研究介入工程前期过程中的早期介入原则。</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）根据工程项目的工程内容及特征，对工程内容、影响时段、影响因子和作用因子进行分析、在突出环境影响评价重点的完整性原则。</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4</w:t>
      </w:r>
      <w:r w:rsidRPr="00677D1F">
        <w:rPr>
          <w:rFonts w:asciiTheme="minorEastAsia" w:hAnsiTheme="minorEastAsia" w:cs="宋体" w:hint="eastAsia"/>
          <w:color w:val="000000"/>
          <w:kern w:val="0"/>
          <w:sz w:val="24"/>
          <w:szCs w:val="24"/>
        </w:rPr>
        <w:t>）广泛吸收相关学科和行业专家、有关单位和个人及项目所在地的环境保护部门的意见，体现评价工作中的广泛参与原则。</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2.2.2</w:t>
      </w:r>
      <w:r w:rsidRPr="00677D1F">
        <w:rPr>
          <w:rFonts w:ascii="宋体" w:hAnsi="宋体" w:hint="eastAsia"/>
          <w:sz w:val="28"/>
          <w:szCs w:val="28"/>
        </w:rPr>
        <w:t xml:space="preserve"> 评价目的</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）在拟建项目工程分析的基础上，通过核实项目可行研究报告中提供的环保设施资料，分析论证本项目</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三废</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排放特征及从环保角度确认工艺过程与环保设施的环境保证性、可靠性和先进性。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）通过对工程场址及周围环境的综合现状调查和现场监测，了解和掌握该地区的环境污染特征和项目区环境质量现状。</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由工程分析提供的基础数据，确定污染源及污染物排放总量；从环保角度分析项目选址的可行性；预测项目建成投产后对当地环境可能造成污染影响的范围和程度，为环保治理措施提供反馈建议，也为工程环保设计提供依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4</w:t>
      </w:r>
      <w:r w:rsidRPr="00677D1F">
        <w:rPr>
          <w:rFonts w:asciiTheme="minorEastAsia" w:hAnsiTheme="minorEastAsia" w:cs="宋体" w:hint="eastAsia"/>
          <w:color w:val="000000"/>
          <w:kern w:val="0"/>
          <w:sz w:val="24"/>
          <w:szCs w:val="24"/>
        </w:rPr>
        <w:t>）贯彻国家环保部关于污染物排放总量控制精神，在当地排污总量控制规划目标下，确定各评价因子的总量控制指标，为今后该项目环保管理服务，使环评真正起到协调经济发展与环境保护的作用。</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5</w:t>
      </w:r>
      <w:r w:rsidRPr="00677D1F">
        <w:rPr>
          <w:rFonts w:asciiTheme="minorEastAsia" w:hAnsiTheme="minorEastAsia" w:cs="宋体" w:hint="eastAsia"/>
          <w:color w:val="000000"/>
          <w:kern w:val="0"/>
          <w:sz w:val="24"/>
          <w:szCs w:val="24"/>
        </w:rPr>
        <w:t>）分析项目建设及运行过程中存在的环境风险，提出有关风险防治措施及风险应急预案。</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6</w:t>
      </w:r>
      <w:r w:rsidRPr="00677D1F">
        <w:rPr>
          <w:rFonts w:asciiTheme="minorEastAsia" w:hAnsiTheme="minorEastAsia" w:cs="宋体" w:hint="eastAsia"/>
          <w:color w:val="000000"/>
          <w:kern w:val="0"/>
          <w:sz w:val="24"/>
          <w:szCs w:val="24"/>
        </w:rPr>
        <w:t>）通过对环境、经济的损益分析，论证本工程社会效益、环境效益和经济效益的统一性。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7</w:t>
      </w:r>
      <w:r w:rsidRPr="00677D1F">
        <w:rPr>
          <w:rFonts w:asciiTheme="minorEastAsia" w:hAnsiTheme="minorEastAsia" w:cs="宋体" w:hint="eastAsia"/>
          <w:color w:val="000000"/>
          <w:kern w:val="0"/>
          <w:sz w:val="24"/>
          <w:szCs w:val="24"/>
        </w:rPr>
        <w:t>）从园区规划、环境保护规划及周围环境敏感保护目标等方面，论证本项目选址的合理性，为项目实现优化选址、合理布局、最佳设计提供科学依据。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8</w:t>
      </w:r>
      <w:r w:rsidRPr="00677D1F">
        <w:rPr>
          <w:rFonts w:asciiTheme="minorEastAsia" w:hAnsiTheme="minorEastAsia" w:cs="宋体" w:hint="eastAsia"/>
          <w:color w:val="000000"/>
          <w:kern w:val="0"/>
          <w:sz w:val="24"/>
          <w:szCs w:val="24"/>
        </w:rPr>
        <w:t>）对该建设项目的污染控制措施的可行性和合理性进行评估，并提出防止或减轻污染的对策建议。</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9</w:t>
      </w:r>
      <w:r w:rsidRPr="00677D1F">
        <w:rPr>
          <w:rFonts w:asciiTheme="minorEastAsia" w:hAnsiTheme="minorEastAsia" w:cs="宋体" w:hint="eastAsia"/>
          <w:color w:val="000000"/>
          <w:kern w:val="0"/>
          <w:sz w:val="24"/>
          <w:szCs w:val="24"/>
        </w:rPr>
        <w:t>）给出项目环境可行性结论，并针对项目建设期、运营期可能产生的问题给出合理化建议，以保证项目健康发展，并尽可能减小对环境的影响。</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2.3</w:t>
      </w:r>
      <w:r w:rsidRPr="00677D1F">
        <w:rPr>
          <w:rFonts w:ascii="宋体" w:hAnsi="宋体" w:hint="eastAsia"/>
          <w:bCs w:val="0"/>
          <w:kern w:val="2"/>
          <w:sz w:val="30"/>
          <w:szCs w:val="30"/>
        </w:rPr>
        <w:t>评价因子与评价标准</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2.3.1</w:t>
      </w:r>
      <w:r w:rsidRPr="00677D1F">
        <w:rPr>
          <w:rFonts w:ascii="宋体" w:hAnsi="宋体" w:hint="eastAsia"/>
          <w:sz w:val="28"/>
          <w:szCs w:val="28"/>
        </w:rPr>
        <w:t>评价因子</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）环境影响因素识别</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lastRenderedPageBreak/>
        <w:t>本项目在工业园区建设，其影响因素主要表现在施工期的噪声和运营期的</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三废</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排放。经过对本项目生产和排污特征分析及对周围环境状况的调查，识别出项目对环境的影响矩阵见表</w:t>
      </w:r>
      <w:r w:rsidRPr="00677D1F">
        <w:rPr>
          <w:rFonts w:asciiTheme="minorEastAsia" w:hAnsiTheme="minorEastAsia" w:cs="Times New Roman"/>
          <w:color w:val="000000"/>
          <w:kern w:val="0"/>
          <w:sz w:val="24"/>
          <w:szCs w:val="24"/>
        </w:rPr>
        <w:t>2.3-1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表2.3-1不同阶段环境影响要素判别表</w:t>
      </w:r>
    </w:p>
    <w:tbl>
      <w:tblPr>
        <w:tblStyle w:val="aa"/>
        <w:tblW w:w="9072" w:type="dxa"/>
        <w:jc w:val="center"/>
        <w:tblLayout w:type="fixed"/>
        <w:tblLook w:val="04A0" w:firstRow="1" w:lastRow="0" w:firstColumn="1" w:lastColumn="0" w:noHBand="0" w:noVBand="1"/>
      </w:tblPr>
      <w:tblGrid>
        <w:gridCol w:w="667"/>
        <w:gridCol w:w="1134"/>
        <w:gridCol w:w="1984"/>
        <w:gridCol w:w="1560"/>
        <w:gridCol w:w="2551"/>
        <w:gridCol w:w="1176"/>
      </w:tblGrid>
      <w:tr w:rsidR="00D228BE" w:rsidRPr="00677D1F">
        <w:trPr>
          <w:trHeight w:val="340"/>
          <w:jc w:val="center"/>
        </w:trPr>
        <w:tc>
          <w:tcPr>
            <w:tcW w:w="667"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序号</w:t>
            </w:r>
          </w:p>
        </w:tc>
        <w:tc>
          <w:tcPr>
            <w:tcW w:w="113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时段</w:t>
            </w: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环境要素</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影响因子</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工程内容及表征</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影响程度</w:t>
            </w:r>
          </w:p>
        </w:tc>
      </w:tr>
      <w:tr w:rsidR="00D228BE" w:rsidRPr="00677D1F">
        <w:trPr>
          <w:trHeight w:val="340"/>
          <w:jc w:val="center"/>
        </w:trPr>
        <w:tc>
          <w:tcPr>
            <w:tcW w:w="667"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w:t>
            </w:r>
          </w:p>
        </w:tc>
        <w:tc>
          <w:tcPr>
            <w:tcW w:w="1134"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施工期</w:t>
            </w:r>
          </w:p>
        </w:tc>
        <w:tc>
          <w:tcPr>
            <w:tcW w:w="1984" w:type="dxa"/>
            <w:vMerge w:val="restart"/>
            <w:tcMar>
              <w:left w:w="57" w:type="dxa"/>
              <w:right w:w="57" w:type="dxa"/>
            </w:tcMar>
            <w:vAlign w:val="center"/>
          </w:tcPr>
          <w:p w:rsidR="00D228BE" w:rsidRPr="00677D1F" w:rsidRDefault="00332EB6" w:rsidP="00677D1F">
            <w:pPr>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空气环境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扬尘</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工程车辆扬尘</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尾气</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施工设备和工程车辆排放尾气</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水环境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CDO、氨氮</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施工人员废水</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声环境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噪声</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施工机械噪声</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土壤环境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固体废物</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施工生活垃圾、建筑垃圾</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社会环境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交通</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施工材料运输影响交通</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公众健康</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对周围公众健康产生影响</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工业发展</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促进地区冶炼行业发展和循环经济链增长</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w:t>
            </w:r>
          </w:p>
        </w:tc>
        <w:tc>
          <w:tcPr>
            <w:tcW w:w="1134"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运营期</w:t>
            </w: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空气环境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废气</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生产粉尘、生产废气、加热炉燃烧烟气等</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水环境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COD、氨氮、石油类、氯化物等</w:t>
            </w:r>
          </w:p>
        </w:tc>
        <w:tc>
          <w:tcPr>
            <w:tcW w:w="2551"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声环境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噪声</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机械噪声、运输噪声</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社会环境</w:t>
            </w: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交通</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加大交通运输需求量</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560"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产品销售</w:t>
            </w:r>
          </w:p>
        </w:tc>
        <w:tc>
          <w:tcPr>
            <w:tcW w:w="2551"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增加钛产品供应量</w:t>
            </w: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w:t>
            </w:r>
          </w:p>
        </w:tc>
        <w:tc>
          <w:tcPr>
            <w:tcW w:w="1134" w:type="dxa"/>
            <w:vMerge w:val="restart"/>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风险事故</w:t>
            </w: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空气环境</w:t>
            </w:r>
          </w:p>
        </w:tc>
        <w:tc>
          <w:tcPr>
            <w:tcW w:w="1560"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2551"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水环境和土壤环境</w:t>
            </w:r>
          </w:p>
        </w:tc>
        <w:tc>
          <w:tcPr>
            <w:tcW w:w="1560"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2551"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社会环境</w:t>
            </w:r>
          </w:p>
        </w:tc>
        <w:tc>
          <w:tcPr>
            <w:tcW w:w="1560"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2551"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jc w:val="center"/>
        </w:trPr>
        <w:tc>
          <w:tcPr>
            <w:tcW w:w="667"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34" w:type="dxa"/>
            <w:vMerge/>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4"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生态环境</w:t>
            </w:r>
          </w:p>
        </w:tc>
        <w:tc>
          <w:tcPr>
            <w:tcW w:w="1560"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2551" w:type="dxa"/>
            <w:tcMar>
              <w:left w:w="57" w:type="dxa"/>
              <w:right w:w="57" w:type="dxa"/>
            </w:tcMar>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176" w:type="dxa"/>
            <w:tcMar>
              <w:left w:w="57" w:type="dxa"/>
              <w:right w:w="57" w:type="dxa"/>
            </w:tcMar>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bl>
    <w:p w:rsidR="00D228BE" w:rsidRPr="00677D1F" w:rsidRDefault="00332EB6" w:rsidP="00677D1F">
      <w:pPr>
        <w:widowControl/>
        <w:spacing w:line="240" w:lineRule="exact"/>
        <w:contextualSpacing/>
        <w:rPr>
          <w:rFonts w:ascii="宋体" w:eastAsia="宋体" w:hAnsi="宋体" w:cs="宋体"/>
          <w:kern w:val="0"/>
          <w:sz w:val="24"/>
          <w:szCs w:val="24"/>
        </w:rPr>
      </w:pPr>
      <w:r w:rsidRPr="00677D1F">
        <w:rPr>
          <w:rFonts w:ascii="宋体" w:eastAsia="宋体" w:hAnsi="宋体" w:cs="宋体" w:hint="eastAsia"/>
          <w:color w:val="000000"/>
          <w:kern w:val="0"/>
          <w:szCs w:val="21"/>
        </w:rPr>
        <w:t>注：</w:t>
      </w:r>
      <w:r w:rsidRPr="00677D1F">
        <w:rPr>
          <w:rFonts w:ascii="Times New Roman" w:eastAsia="宋体" w:hAnsi="Times New Roman" w:cs="Times New Roman"/>
          <w:color w:val="000000"/>
          <w:kern w:val="0"/>
          <w:szCs w:val="21"/>
        </w:rPr>
        <w:t>-</w:t>
      </w:r>
      <w:r w:rsidRPr="00677D1F">
        <w:rPr>
          <w:rFonts w:ascii="宋体" w:eastAsia="宋体" w:hAnsi="宋体" w:cs="宋体" w:hint="eastAsia"/>
          <w:color w:val="000000"/>
          <w:kern w:val="0"/>
          <w:szCs w:val="21"/>
        </w:rPr>
        <w:t>表示负效应，</w:t>
      </w:r>
      <w:r w:rsidRPr="00677D1F">
        <w:rPr>
          <w:rFonts w:ascii="Times New Roman" w:eastAsia="宋体" w:hAnsi="Times New Roman" w:cs="Times New Roman"/>
          <w:color w:val="000000"/>
          <w:kern w:val="0"/>
          <w:szCs w:val="21"/>
        </w:rPr>
        <w:t>+</w:t>
      </w:r>
      <w:r w:rsidRPr="00677D1F">
        <w:rPr>
          <w:rFonts w:ascii="宋体" w:eastAsia="宋体" w:hAnsi="宋体" w:cs="宋体" w:hint="eastAsia"/>
          <w:color w:val="000000"/>
          <w:kern w:val="0"/>
          <w:szCs w:val="21"/>
        </w:rPr>
        <w:t>表示正效应；符号随数量的递增，表示影响的程度由大到小。</w:t>
      </w:r>
    </w:p>
    <w:p w:rsidR="00D228BE" w:rsidRPr="00677D1F" w:rsidRDefault="00D228BE" w:rsidP="00677D1F">
      <w:pPr>
        <w:widowControl/>
        <w:spacing w:line="240" w:lineRule="exact"/>
        <w:contextualSpacing/>
        <w:rPr>
          <w:rFonts w:ascii="Times New Roman" w:eastAsia="宋体" w:hAnsi="Times New Roman" w:cs="Times New Roman"/>
          <w:color w:val="000000"/>
          <w:kern w:val="0"/>
          <w:sz w:val="26"/>
          <w:szCs w:val="26"/>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污染因子识别</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根据工程分析，本项目环境污染因子识别结果见表</w:t>
      </w:r>
      <w:r w:rsidRPr="00677D1F">
        <w:rPr>
          <w:rFonts w:asciiTheme="minorEastAsia" w:hAnsiTheme="minorEastAsia" w:cs="Times New Roman"/>
          <w:color w:val="000000"/>
          <w:kern w:val="0"/>
          <w:sz w:val="24"/>
          <w:szCs w:val="24"/>
        </w:rPr>
        <w:t>2.3-2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表2.3-2污染因子识别表</w:t>
      </w:r>
    </w:p>
    <w:tbl>
      <w:tblPr>
        <w:tblStyle w:val="aa"/>
        <w:tblW w:w="9072" w:type="dxa"/>
        <w:jc w:val="center"/>
        <w:tblLayout w:type="fixed"/>
        <w:tblLook w:val="04A0" w:firstRow="1" w:lastRow="0" w:firstColumn="1" w:lastColumn="0" w:noHBand="0" w:noVBand="1"/>
      </w:tblPr>
      <w:tblGrid>
        <w:gridCol w:w="1039"/>
        <w:gridCol w:w="2589"/>
        <w:gridCol w:w="2541"/>
        <w:gridCol w:w="1785"/>
        <w:gridCol w:w="1118"/>
      </w:tblGrid>
      <w:tr w:rsidR="00D228BE" w:rsidRPr="00677D1F">
        <w:trPr>
          <w:trHeight w:val="340"/>
          <w:jc w:val="center"/>
        </w:trPr>
        <w:tc>
          <w:tcPr>
            <w:tcW w:w="1039" w:type="dxa"/>
            <w:vAlign w:val="center"/>
          </w:tcPr>
          <w:p w:rsidR="00D228BE" w:rsidRPr="00677D1F" w:rsidRDefault="00332EB6" w:rsidP="00677D1F">
            <w:pPr>
              <w:widowControl/>
              <w:contextualSpacing/>
              <w:jc w:val="center"/>
              <w:rPr>
                <w:rFonts w:ascii="宋体" w:eastAsia="宋体" w:hAnsi="宋体" w:cs="宋体"/>
                <w:b/>
                <w:bCs/>
                <w:color w:val="000000"/>
                <w:kern w:val="0"/>
                <w:sz w:val="18"/>
                <w:szCs w:val="18"/>
              </w:rPr>
            </w:pPr>
            <w:r w:rsidRPr="00677D1F">
              <w:rPr>
                <w:rFonts w:ascii="宋体" w:eastAsia="宋体" w:hAnsi="宋体" w:cs="宋体" w:hint="eastAsia"/>
                <w:b/>
                <w:bCs/>
                <w:color w:val="000000"/>
                <w:kern w:val="0"/>
                <w:sz w:val="18"/>
                <w:szCs w:val="18"/>
              </w:rPr>
              <w:t>污染类别</w:t>
            </w:r>
          </w:p>
        </w:tc>
        <w:tc>
          <w:tcPr>
            <w:tcW w:w="2589" w:type="dxa"/>
            <w:vAlign w:val="center"/>
          </w:tcPr>
          <w:p w:rsidR="00D228BE" w:rsidRPr="00677D1F" w:rsidRDefault="00332EB6" w:rsidP="00677D1F">
            <w:pPr>
              <w:widowControl/>
              <w:contextualSpacing/>
              <w:jc w:val="center"/>
              <w:rPr>
                <w:rFonts w:ascii="宋体" w:eastAsia="宋体" w:hAnsi="宋体" w:cs="宋体"/>
                <w:b/>
                <w:bCs/>
                <w:color w:val="000000"/>
                <w:kern w:val="0"/>
                <w:sz w:val="18"/>
                <w:szCs w:val="18"/>
              </w:rPr>
            </w:pPr>
            <w:r w:rsidRPr="00677D1F">
              <w:rPr>
                <w:rFonts w:ascii="宋体" w:eastAsia="宋体" w:hAnsi="宋体" w:cs="宋体" w:hint="eastAsia"/>
                <w:b/>
                <w:bCs/>
                <w:color w:val="000000"/>
                <w:kern w:val="0"/>
                <w:sz w:val="18"/>
                <w:szCs w:val="18"/>
              </w:rPr>
              <w:t>工序</w:t>
            </w:r>
          </w:p>
        </w:tc>
        <w:tc>
          <w:tcPr>
            <w:tcW w:w="2541" w:type="dxa"/>
            <w:vAlign w:val="center"/>
          </w:tcPr>
          <w:p w:rsidR="00D228BE" w:rsidRPr="00677D1F" w:rsidRDefault="00332EB6" w:rsidP="00677D1F">
            <w:pPr>
              <w:widowControl/>
              <w:contextualSpacing/>
              <w:jc w:val="center"/>
              <w:rPr>
                <w:rFonts w:ascii="宋体" w:eastAsia="宋体" w:hAnsi="宋体" w:cs="宋体"/>
                <w:b/>
                <w:bCs/>
                <w:color w:val="000000"/>
                <w:kern w:val="0"/>
                <w:sz w:val="18"/>
                <w:szCs w:val="18"/>
              </w:rPr>
            </w:pPr>
            <w:r w:rsidRPr="00677D1F">
              <w:rPr>
                <w:rFonts w:ascii="宋体" w:eastAsia="宋体" w:hAnsi="宋体" w:cs="宋体" w:hint="eastAsia"/>
                <w:b/>
                <w:bCs/>
                <w:color w:val="000000"/>
                <w:kern w:val="0"/>
                <w:sz w:val="18"/>
                <w:szCs w:val="18"/>
              </w:rPr>
              <w:t>产污节点</w:t>
            </w:r>
          </w:p>
        </w:tc>
        <w:tc>
          <w:tcPr>
            <w:tcW w:w="1785" w:type="dxa"/>
            <w:vAlign w:val="center"/>
          </w:tcPr>
          <w:p w:rsidR="00D228BE" w:rsidRPr="00677D1F" w:rsidRDefault="00332EB6" w:rsidP="00677D1F">
            <w:pPr>
              <w:widowControl/>
              <w:contextualSpacing/>
              <w:jc w:val="center"/>
              <w:rPr>
                <w:rFonts w:ascii="宋体" w:eastAsia="宋体" w:hAnsi="宋体" w:cs="宋体"/>
                <w:b/>
                <w:bCs/>
                <w:color w:val="000000"/>
                <w:kern w:val="0"/>
                <w:sz w:val="18"/>
                <w:szCs w:val="18"/>
              </w:rPr>
            </w:pPr>
            <w:r w:rsidRPr="00677D1F">
              <w:rPr>
                <w:rFonts w:ascii="宋体" w:eastAsia="宋体" w:hAnsi="宋体" w:cs="宋体" w:hint="eastAsia"/>
                <w:b/>
                <w:bCs/>
                <w:color w:val="000000"/>
                <w:kern w:val="0"/>
                <w:sz w:val="18"/>
                <w:szCs w:val="18"/>
              </w:rPr>
              <w:t>主要污染物</w:t>
            </w:r>
          </w:p>
        </w:tc>
        <w:tc>
          <w:tcPr>
            <w:tcW w:w="1118" w:type="dxa"/>
            <w:vAlign w:val="center"/>
          </w:tcPr>
          <w:p w:rsidR="00D228BE" w:rsidRPr="00677D1F" w:rsidRDefault="00332EB6" w:rsidP="00677D1F">
            <w:pPr>
              <w:widowControl/>
              <w:contextualSpacing/>
              <w:jc w:val="center"/>
              <w:rPr>
                <w:rFonts w:ascii="宋体" w:eastAsia="宋体" w:hAnsi="宋体" w:cs="宋体"/>
                <w:b/>
                <w:bCs/>
                <w:color w:val="000000"/>
                <w:kern w:val="0"/>
                <w:sz w:val="18"/>
                <w:szCs w:val="18"/>
              </w:rPr>
            </w:pPr>
            <w:r w:rsidRPr="00677D1F">
              <w:rPr>
                <w:rFonts w:ascii="宋体" w:eastAsia="宋体" w:hAnsi="宋体" w:cs="宋体" w:hint="eastAsia"/>
                <w:b/>
                <w:bCs/>
                <w:color w:val="000000"/>
                <w:kern w:val="0"/>
                <w:sz w:val="18"/>
                <w:szCs w:val="18"/>
              </w:rPr>
              <w:t>源型</w:t>
            </w:r>
          </w:p>
        </w:tc>
      </w:tr>
      <w:tr w:rsidR="00D228BE" w:rsidRPr="00677D1F">
        <w:trPr>
          <w:trHeight w:val="340"/>
          <w:jc w:val="center"/>
        </w:trPr>
        <w:tc>
          <w:tcPr>
            <w:tcW w:w="1039" w:type="dxa"/>
            <w:vMerge w:val="restart"/>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大气污染</w:t>
            </w: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原料及中间产品贮存、输送、制备、配料等</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各产尘点</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颗粒物</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精钛矿熔炼</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高钛渣电炉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颗粒物和二氧化硫</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氯化系统</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沸腾氯化炉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Cl</w:t>
            </w:r>
            <w:r w:rsidRPr="00677D1F">
              <w:rPr>
                <w:rFonts w:ascii="Times New Roman" w:eastAsia="宋体" w:hAnsi="Times New Roman" w:cs="Times New Roman" w:hint="eastAsia"/>
                <w:color w:val="000000"/>
                <w:kern w:val="0"/>
                <w:sz w:val="18"/>
                <w:szCs w:val="18"/>
                <w:vertAlign w:val="subscript"/>
              </w:rPr>
              <w:t>2</w:t>
            </w:r>
            <w:r w:rsidRPr="00677D1F">
              <w:rPr>
                <w:rFonts w:ascii="宋体" w:eastAsia="宋体" w:hAnsi="宋体" w:cs="宋体" w:hint="eastAsia"/>
                <w:color w:val="000000"/>
                <w:kern w:val="0"/>
                <w:sz w:val="18"/>
                <w:szCs w:val="18"/>
              </w:rPr>
              <w:t>和</w:t>
            </w: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精制系统</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蒸馏釜、除钒塔、精馏塔</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Cl</w:t>
            </w:r>
            <w:r w:rsidRPr="00677D1F">
              <w:rPr>
                <w:rFonts w:ascii="Times New Roman" w:eastAsia="宋体" w:hAnsi="Times New Roman" w:cs="Times New Roman" w:hint="eastAsia"/>
                <w:color w:val="000000"/>
                <w:kern w:val="0"/>
                <w:sz w:val="18"/>
                <w:szCs w:val="18"/>
                <w:vertAlign w:val="subscript"/>
              </w:rPr>
              <w:t>2</w:t>
            </w:r>
            <w:r w:rsidRPr="00677D1F">
              <w:rPr>
                <w:rFonts w:ascii="宋体" w:eastAsia="宋体" w:hAnsi="宋体" w:cs="宋体" w:hint="eastAsia"/>
                <w:color w:val="000000"/>
                <w:kern w:val="0"/>
                <w:sz w:val="18"/>
                <w:szCs w:val="18"/>
              </w:rPr>
              <w:t>和</w:t>
            </w: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还原蒸馏</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还原反应炉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氯化、精制尾气处理系统</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烟囱</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Cl</w:t>
            </w:r>
            <w:r w:rsidRPr="00677D1F">
              <w:rPr>
                <w:rFonts w:ascii="Times New Roman" w:eastAsia="宋体" w:hAnsi="Times New Roman" w:cs="Times New Roman" w:hint="eastAsia"/>
                <w:color w:val="000000"/>
                <w:kern w:val="0"/>
                <w:sz w:val="18"/>
                <w:szCs w:val="18"/>
                <w:vertAlign w:val="subscript"/>
              </w:rPr>
              <w:t>2</w:t>
            </w:r>
            <w:r w:rsidRPr="00677D1F">
              <w:rPr>
                <w:rFonts w:ascii="宋体" w:eastAsia="宋体" w:hAnsi="宋体" w:cs="宋体" w:hint="eastAsia"/>
                <w:color w:val="000000"/>
                <w:kern w:val="0"/>
                <w:sz w:val="18"/>
                <w:szCs w:val="18"/>
              </w:rPr>
              <w:t>和</w:t>
            </w: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镁电解</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镁电解槽</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Cl</w:t>
            </w:r>
            <w:r w:rsidRPr="00677D1F">
              <w:rPr>
                <w:rFonts w:ascii="Times New Roman" w:eastAsia="宋体" w:hAnsi="Times New Roman" w:cs="Times New Roman" w:hint="eastAsia"/>
                <w:color w:val="000000"/>
                <w:kern w:val="0"/>
                <w:sz w:val="18"/>
                <w:szCs w:val="18"/>
                <w:vertAlign w:val="subscript"/>
              </w:rPr>
              <w:t>2</w:t>
            </w:r>
            <w:r w:rsidRPr="00677D1F">
              <w:rPr>
                <w:rFonts w:ascii="宋体" w:eastAsia="宋体" w:hAnsi="宋体" w:cs="宋体" w:hint="eastAsia"/>
                <w:color w:val="000000"/>
                <w:kern w:val="0"/>
                <w:sz w:val="18"/>
                <w:szCs w:val="18"/>
              </w:rPr>
              <w:t>和</w:t>
            </w: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镁精炼</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坩锅精炼炉、连续精炼炉</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微量</w:t>
            </w: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氯气处理</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溶解槽、酸分离器等</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Cl</w:t>
            </w:r>
            <w:r w:rsidRPr="00677D1F">
              <w:rPr>
                <w:rFonts w:ascii="Times New Roman" w:eastAsia="宋体" w:hAnsi="Times New Roman" w:cs="Times New Roman" w:hint="eastAsia"/>
                <w:color w:val="000000"/>
                <w:kern w:val="0"/>
                <w:sz w:val="18"/>
                <w:szCs w:val="18"/>
                <w:vertAlign w:val="subscript"/>
              </w:rPr>
              <w:t>2</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镁生产及还蒸尾气处理</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烟囱</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Cl</w:t>
            </w:r>
            <w:r w:rsidRPr="00677D1F">
              <w:rPr>
                <w:rFonts w:ascii="Times New Roman" w:eastAsia="宋体" w:hAnsi="Times New Roman" w:cs="Times New Roman" w:hint="eastAsia"/>
                <w:color w:val="000000"/>
                <w:kern w:val="0"/>
                <w:sz w:val="18"/>
                <w:szCs w:val="18"/>
                <w:vertAlign w:val="subscript"/>
              </w:rPr>
              <w:t>2</w:t>
            </w:r>
            <w:r w:rsidRPr="00677D1F">
              <w:rPr>
                <w:rFonts w:ascii="宋体" w:eastAsia="宋体" w:hAnsi="宋体" w:cs="宋体" w:hint="eastAsia"/>
                <w:color w:val="000000"/>
                <w:kern w:val="0"/>
                <w:sz w:val="18"/>
                <w:szCs w:val="18"/>
              </w:rPr>
              <w:t>和</w:t>
            </w:r>
            <w:r w:rsidRPr="00677D1F">
              <w:rPr>
                <w:rFonts w:ascii="Times New Roman" w:eastAsia="宋体" w:hAnsi="Times New Roman" w:cs="Times New Roman"/>
                <w:color w:val="000000"/>
                <w:kern w:val="0"/>
                <w:sz w:val="18"/>
                <w:szCs w:val="18"/>
              </w:rPr>
              <w:t>HCl</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restart"/>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钛材加工</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酸洗机组和清洗槽</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酸雾</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加热炉</w:t>
            </w:r>
          </w:p>
        </w:tc>
        <w:tc>
          <w:tcPr>
            <w:tcW w:w="1785"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color w:val="000000"/>
                <w:kern w:val="0"/>
                <w:sz w:val="18"/>
                <w:szCs w:val="18"/>
              </w:rPr>
              <w:t>颗粒物、二氧化硫和</w:t>
            </w:r>
          </w:p>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Times New Roman" w:eastAsia="宋体" w:hAnsi="Times New Roman" w:cs="Times New Roman"/>
                <w:color w:val="000000"/>
                <w:kern w:val="0"/>
                <w:sz w:val="18"/>
                <w:szCs w:val="18"/>
              </w:rPr>
              <w:t>NOx</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表面处理槽组、喷丸机组、板材砂光机、薄板矫平机、轧辊磨床、冷轧机等</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颗粒物及油雾等</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面源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热轧机</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烟尘</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面源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焊管机</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烟尘</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面源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挤压</w:t>
            </w:r>
          </w:p>
        </w:tc>
        <w:tc>
          <w:tcPr>
            <w:tcW w:w="1785" w:type="dxa"/>
            <w:vAlign w:val="center"/>
          </w:tcPr>
          <w:p w:rsidR="00D228BE" w:rsidRPr="00677D1F" w:rsidRDefault="00332EB6" w:rsidP="00677D1F">
            <w:pPr>
              <w:widowControl/>
              <w:contextualSpacing/>
              <w:jc w:val="center"/>
              <w:rPr>
                <w:rFonts w:ascii="Times New Roman" w:eastAsia="宋体" w:hAnsi="Times New Roman" w:cs="Times New Roman"/>
                <w:color w:val="000000"/>
                <w:kern w:val="0"/>
                <w:sz w:val="18"/>
                <w:szCs w:val="18"/>
              </w:rPr>
            </w:pPr>
            <w:r w:rsidRPr="00677D1F">
              <w:rPr>
                <w:rFonts w:ascii="宋体" w:eastAsia="宋体" w:hAnsi="宋体" w:cs="宋体" w:hint="eastAsia"/>
                <w:color w:val="000000"/>
                <w:kern w:val="0"/>
                <w:sz w:val="18"/>
                <w:szCs w:val="18"/>
              </w:rPr>
              <w:t>烟尘</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面源</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氯气生产</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电解工序开、停车或事故状态下排放的废氯气</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点源</w:t>
            </w:r>
          </w:p>
        </w:tc>
      </w:tr>
      <w:tr w:rsidR="00D228BE" w:rsidRPr="00677D1F">
        <w:trPr>
          <w:trHeight w:val="340"/>
          <w:jc w:val="center"/>
        </w:trPr>
        <w:tc>
          <w:tcPr>
            <w:tcW w:w="1039" w:type="dxa"/>
            <w:vMerge w:val="restart"/>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水污染物</w:t>
            </w: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氯气生产工序</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螯合树脂塔排放的离子再生水；脱盐水单元混床再生时排放的酸碱废水；高温湿氢气经冷却、洗涤、分离后产生冷凝水、洗涤水等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COD</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pH</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SS</w:t>
            </w:r>
            <w:r w:rsidRPr="00677D1F">
              <w:rPr>
                <w:rFonts w:ascii="宋体" w:eastAsia="宋体" w:hAnsi="宋体" w:cs="宋体" w:hint="eastAsia"/>
                <w:color w:val="000000"/>
                <w:kern w:val="0"/>
                <w:sz w:val="18"/>
                <w:szCs w:val="18"/>
              </w:rPr>
              <w:t>和盐类</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生产工艺废水</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海绵钛系统</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还原蒸馏事故水；透平机及液氯蒸发排水；氯压机室升华物溶解废液；尾气及事故氯气处理排水、升华物熔解废液等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COD</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pH</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SS</w:t>
            </w:r>
            <w:r w:rsidRPr="00677D1F">
              <w:rPr>
                <w:rFonts w:ascii="宋体" w:eastAsia="宋体" w:hAnsi="宋体" w:cs="宋体" w:hint="eastAsia"/>
                <w:color w:val="000000"/>
                <w:kern w:val="0"/>
                <w:sz w:val="18"/>
                <w:szCs w:val="18"/>
              </w:rPr>
              <w:t>和氯化物</w:t>
            </w:r>
          </w:p>
        </w:tc>
        <w:tc>
          <w:tcPr>
            <w:tcW w:w="1118"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color w:val="000000"/>
                <w:kern w:val="0"/>
                <w:sz w:val="18"/>
                <w:szCs w:val="18"/>
              </w:rPr>
              <w:t>生产废水</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钛加工系统</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清洗废水等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COD</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BOD5</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pH</w:t>
            </w:r>
            <w:r w:rsidRPr="00677D1F">
              <w:rPr>
                <w:rFonts w:ascii="宋体" w:eastAsia="宋体" w:hAnsi="宋体" w:cs="宋体" w:hint="eastAsia"/>
                <w:color w:val="000000"/>
                <w:kern w:val="0"/>
                <w:sz w:val="18"/>
                <w:szCs w:val="18"/>
              </w:rPr>
              <w:t>、</w:t>
            </w:r>
            <w:r w:rsidRPr="00677D1F">
              <w:rPr>
                <w:rFonts w:ascii="Times New Roman" w:eastAsia="宋体" w:hAnsi="Times New Roman" w:cs="Times New Roman"/>
                <w:color w:val="000000"/>
                <w:kern w:val="0"/>
                <w:sz w:val="18"/>
                <w:szCs w:val="18"/>
              </w:rPr>
              <w:t>SS</w:t>
            </w:r>
            <w:r w:rsidRPr="00677D1F">
              <w:rPr>
                <w:rFonts w:ascii="宋体" w:eastAsia="宋体" w:hAnsi="宋体" w:cs="宋体" w:hint="eastAsia"/>
                <w:color w:val="000000"/>
                <w:kern w:val="0"/>
                <w:sz w:val="18"/>
                <w:szCs w:val="18"/>
              </w:rPr>
              <w:t>和石油类</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生产废水</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公用工程</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循环水系统设备冷却排水及厂区冲洗水</w:t>
            </w:r>
          </w:p>
        </w:tc>
        <w:tc>
          <w:tcPr>
            <w:tcW w:w="178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生活人员</w:t>
            </w:r>
          </w:p>
        </w:tc>
        <w:tc>
          <w:tcPr>
            <w:tcW w:w="254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78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生活污水</w:t>
            </w:r>
          </w:p>
        </w:tc>
      </w:tr>
      <w:tr w:rsidR="00D228BE" w:rsidRPr="00677D1F">
        <w:trPr>
          <w:trHeight w:val="340"/>
          <w:jc w:val="center"/>
        </w:trPr>
        <w:tc>
          <w:tcPr>
            <w:tcW w:w="1039" w:type="dxa"/>
            <w:vMerge w:val="restart"/>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固体废物</w:t>
            </w: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钛渣熔炼</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熔炼炉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电炉渣</w:t>
            </w:r>
            <w:r w:rsidRPr="00677D1F">
              <w:rPr>
                <w:rFonts w:ascii="Times New Roman" w:eastAsia="宋体" w:hAnsi="Times New Roman" w:cs="Times New Roman" w:hint="eastAsia"/>
                <w:color w:val="000000"/>
                <w:kern w:val="0"/>
                <w:sz w:val="18"/>
                <w:szCs w:val="18"/>
              </w:rPr>
              <w:t>（</w:t>
            </w:r>
            <w:r w:rsidRPr="00677D1F">
              <w:rPr>
                <w:rFonts w:ascii="宋体" w:eastAsia="宋体" w:hAnsi="宋体" w:cs="宋体" w:hint="eastAsia"/>
                <w:color w:val="000000"/>
                <w:kern w:val="0"/>
                <w:sz w:val="18"/>
                <w:szCs w:val="18"/>
              </w:rPr>
              <w:t>生铁</w:t>
            </w:r>
            <w:r w:rsidRPr="00677D1F">
              <w:rPr>
                <w:rFonts w:ascii="Times New Roman" w:eastAsia="宋体" w:hAnsi="Times New Roman" w:cs="Times New Roman" w:hint="eastAsia"/>
                <w:color w:val="000000"/>
                <w:kern w:val="0"/>
                <w:sz w:val="18"/>
                <w:szCs w:val="18"/>
              </w:rPr>
              <w:t>）</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副产品</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氯化工序</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沸腾氯化炉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氯化炉渣</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一般固体废物</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收尘冷凝</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旋风除尘器</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收尘渣</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喷淋冷凝</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过滤器</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泥浆高沸点杂质及颗粒物</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精制系统</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蒸馏釜、除钒塔、精馏塔</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钒浆</w:t>
            </w:r>
            <w:r w:rsidRPr="00677D1F">
              <w:rPr>
                <w:rFonts w:ascii="Times New Roman" w:eastAsia="宋体" w:hAnsi="Times New Roman" w:cs="Times New Roman"/>
                <w:color w:val="000000"/>
                <w:kern w:val="0"/>
                <w:sz w:val="18"/>
                <w:szCs w:val="18"/>
              </w:rPr>
              <w:t>（</w:t>
            </w:r>
            <w:r w:rsidRPr="00677D1F">
              <w:rPr>
                <w:rFonts w:ascii="宋体" w:eastAsia="宋体" w:hAnsi="宋体" w:cs="宋体" w:hint="eastAsia"/>
                <w:color w:val="000000"/>
                <w:kern w:val="0"/>
                <w:sz w:val="18"/>
                <w:szCs w:val="18"/>
              </w:rPr>
              <w:t>高沸点物</w:t>
            </w:r>
            <w:r w:rsidRPr="00677D1F">
              <w:rPr>
                <w:rFonts w:ascii="Times New Roman" w:eastAsia="宋体" w:hAnsi="Times New Roman" w:cs="Times New Roman"/>
                <w:color w:val="000000"/>
                <w:kern w:val="0"/>
                <w:sz w:val="18"/>
                <w:szCs w:val="18"/>
              </w:rPr>
              <w:t>）</w:t>
            </w:r>
            <w:r w:rsidRPr="00677D1F">
              <w:rPr>
                <w:rFonts w:ascii="宋体" w:eastAsia="宋体" w:hAnsi="宋体" w:cs="宋体" w:hint="eastAsia"/>
                <w:color w:val="000000"/>
                <w:kern w:val="0"/>
                <w:sz w:val="18"/>
                <w:szCs w:val="18"/>
              </w:rPr>
              <w:t>以及四氯化硅等氯化物泥浆</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还原蒸馏</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还原反应炉、蒸馏装置</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大修残渣</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镁电解</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镁电解槽</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镁电解炉渣</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镁精炼</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坩锅精炼炉、连续精炼炉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精炼炉渣</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氯气处理</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氯压机室</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废硫酸及升华物</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钛及钛加工系统</w:t>
            </w:r>
          </w:p>
        </w:tc>
        <w:tc>
          <w:tcPr>
            <w:tcW w:w="254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废料</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restart"/>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氯气生产</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预处理器和膜过滤器等</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盐泥浆等</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氯气干燥</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废硫酸</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螯合树脂塔</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废螯合树脂</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危险废物</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离子膜过滤</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废离子膜</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除硝装置</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副产芒硝</w:t>
            </w:r>
          </w:p>
        </w:tc>
        <w:tc>
          <w:tcPr>
            <w:tcW w:w="111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一般固体废物</w:t>
            </w: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生活人员</w:t>
            </w:r>
          </w:p>
        </w:tc>
        <w:tc>
          <w:tcPr>
            <w:tcW w:w="254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生活垃圾</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污水处理</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各处理池单元</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污泥</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89"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生产性粉尘处理</w:t>
            </w:r>
          </w:p>
        </w:tc>
        <w:tc>
          <w:tcPr>
            <w:tcW w:w="254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净化除尘器</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收尘灰</w:t>
            </w:r>
          </w:p>
        </w:tc>
        <w:tc>
          <w:tcPr>
            <w:tcW w:w="1118"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103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噪声</w:t>
            </w:r>
          </w:p>
        </w:tc>
        <w:tc>
          <w:tcPr>
            <w:tcW w:w="2589"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541"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各种机械和空气动力</w:t>
            </w:r>
          </w:p>
        </w:tc>
        <w:tc>
          <w:tcPr>
            <w:tcW w:w="178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等效</w:t>
            </w:r>
            <w:r w:rsidRPr="00677D1F">
              <w:rPr>
                <w:rFonts w:ascii="Times New Roman" w:eastAsia="宋体" w:hAnsi="Times New Roman" w:cs="Times New Roman"/>
                <w:color w:val="000000"/>
                <w:kern w:val="0"/>
                <w:sz w:val="18"/>
                <w:szCs w:val="18"/>
              </w:rPr>
              <w:t>A</w:t>
            </w:r>
            <w:r w:rsidRPr="00677D1F">
              <w:rPr>
                <w:rFonts w:ascii="宋体" w:eastAsia="宋体" w:hAnsi="宋体" w:cs="宋体" w:hint="eastAsia"/>
                <w:color w:val="000000"/>
                <w:kern w:val="0"/>
                <w:sz w:val="18"/>
                <w:szCs w:val="18"/>
              </w:rPr>
              <w:t>声级</w:t>
            </w:r>
          </w:p>
        </w:tc>
        <w:tc>
          <w:tcPr>
            <w:tcW w:w="1118"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机械噪声和空气动力性噪声</w:t>
            </w:r>
          </w:p>
        </w:tc>
      </w:tr>
    </w:tbl>
    <w:p w:rsidR="00D228BE" w:rsidRPr="00677D1F" w:rsidRDefault="00D228BE" w:rsidP="00677D1F">
      <w:pPr>
        <w:widowControl/>
        <w:spacing w:line="240" w:lineRule="exact"/>
        <w:contextualSpacing/>
        <w:rPr>
          <w:rFonts w:ascii="Times New Roman" w:eastAsia="宋体" w:hAnsi="Times New Roman" w:cs="Times New Roman"/>
          <w:color w:val="000000"/>
          <w:kern w:val="0"/>
          <w:sz w:val="26"/>
          <w:szCs w:val="26"/>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评价因子筛选</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根据项目工程污染源分析识别出的环境影响因子、建设项目所处区域的环境特征，以及《铁合金工业污染物排放标准》</w:t>
      </w:r>
      <w:r w:rsidRPr="00677D1F">
        <w:rPr>
          <w:rFonts w:asciiTheme="minorEastAsia" w:hAnsiTheme="minorEastAsia" w:cs="Times New Roman"/>
          <w:color w:val="000000"/>
          <w:kern w:val="0"/>
          <w:sz w:val="24"/>
          <w:szCs w:val="24"/>
        </w:rPr>
        <w:t>（GB28666-2012）</w:t>
      </w:r>
      <w:r w:rsidRPr="00677D1F">
        <w:rPr>
          <w:rFonts w:asciiTheme="minorEastAsia" w:hAnsiTheme="minorEastAsia" w:cs="宋体" w:hint="eastAsia"/>
          <w:color w:val="000000"/>
          <w:kern w:val="0"/>
          <w:sz w:val="24"/>
          <w:szCs w:val="24"/>
        </w:rPr>
        <w:t>、《烧碱、聚氯乙烯工业水污染物排放标准》</w:t>
      </w:r>
      <w:r w:rsidRPr="00677D1F">
        <w:rPr>
          <w:rFonts w:asciiTheme="minorEastAsia" w:hAnsiTheme="minorEastAsia" w:cs="Times New Roman"/>
          <w:color w:val="000000"/>
          <w:kern w:val="0"/>
          <w:sz w:val="24"/>
          <w:szCs w:val="24"/>
        </w:rPr>
        <w:t>（GB15581-95）</w:t>
      </w:r>
      <w:r w:rsidRPr="00677D1F">
        <w:rPr>
          <w:rFonts w:asciiTheme="minorEastAsia" w:hAnsiTheme="minorEastAsia" w:cs="宋体" w:hint="eastAsia"/>
          <w:color w:val="000000"/>
          <w:kern w:val="0"/>
          <w:sz w:val="24"/>
          <w:szCs w:val="24"/>
        </w:rPr>
        <w:t>、《镁、钛工业水污染物排放标准》</w:t>
      </w:r>
      <w:r w:rsidRPr="00677D1F">
        <w:rPr>
          <w:rFonts w:asciiTheme="minorEastAsia" w:hAnsiTheme="minorEastAsia" w:cs="Times New Roman"/>
          <w:color w:val="000000"/>
          <w:kern w:val="0"/>
          <w:sz w:val="24"/>
          <w:szCs w:val="24"/>
        </w:rPr>
        <w:t>（GB25468-2010）</w:t>
      </w:r>
      <w:r w:rsidRPr="00677D1F">
        <w:rPr>
          <w:rFonts w:asciiTheme="minorEastAsia" w:hAnsiTheme="minorEastAsia" w:cs="宋体" w:hint="eastAsia"/>
          <w:color w:val="000000"/>
          <w:kern w:val="0"/>
          <w:sz w:val="24"/>
          <w:szCs w:val="24"/>
        </w:rPr>
        <w:t>、《工业炉窑大气污染物排放标准》（</w:t>
      </w:r>
      <w:r w:rsidRPr="00677D1F">
        <w:rPr>
          <w:rFonts w:asciiTheme="minorEastAsia" w:hAnsiTheme="minorEastAsia" w:cs="Times New Roman"/>
          <w:color w:val="000000"/>
          <w:kern w:val="0"/>
          <w:sz w:val="24"/>
          <w:szCs w:val="24"/>
        </w:rPr>
        <w:t>GB9078-1996</w:t>
      </w:r>
      <w:r w:rsidRPr="00677D1F">
        <w:rPr>
          <w:rFonts w:asciiTheme="minorEastAsia" w:hAnsiTheme="minorEastAsia" w:cs="宋体" w:hint="eastAsia"/>
          <w:color w:val="000000"/>
          <w:kern w:val="0"/>
          <w:sz w:val="24"/>
          <w:szCs w:val="24"/>
        </w:rPr>
        <w:t>）、《大气污染物综合排放标准》（</w:t>
      </w:r>
      <w:r w:rsidRPr="00677D1F">
        <w:rPr>
          <w:rFonts w:asciiTheme="minorEastAsia" w:hAnsiTheme="minorEastAsia" w:cs="Times New Roman"/>
          <w:color w:val="000000"/>
          <w:kern w:val="0"/>
          <w:sz w:val="24"/>
          <w:szCs w:val="24"/>
        </w:rPr>
        <w:t>GB16297-1996</w:t>
      </w:r>
      <w:r w:rsidRPr="00677D1F">
        <w:rPr>
          <w:rFonts w:asciiTheme="minorEastAsia" w:hAnsiTheme="minorEastAsia" w:cs="宋体" w:hint="eastAsia"/>
          <w:color w:val="000000"/>
          <w:kern w:val="0"/>
          <w:sz w:val="24"/>
          <w:szCs w:val="24"/>
        </w:rPr>
        <w:t>）、《污水综合排放标准》（</w:t>
      </w:r>
      <w:r w:rsidRPr="00677D1F">
        <w:rPr>
          <w:rFonts w:asciiTheme="minorEastAsia" w:hAnsiTheme="minorEastAsia" w:cs="Times New Roman"/>
          <w:color w:val="000000"/>
          <w:kern w:val="0"/>
          <w:sz w:val="24"/>
          <w:szCs w:val="24"/>
        </w:rPr>
        <w:t>GB8978-1996</w:t>
      </w:r>
      <w:r w:rsidRPr="00677D1F">
        <w:rPr>
          <w:rFonts w:asciiTheme="minorEastAsia" w:hAnsiTheme="minorEastAsia" w:cs="宋体" w:hint="eastAsia"/>
          <w:color w:val="000000"/>
          <w:kern w:val="0"/>
          <w:sz w:val="24"/>
          <w:szCs w:val="24"/>
        </w:rPr>
        <w:t>）和国家其它有关环保标准、规定所列控制指标，筛选出的评价因子如表</w:t>
      </w:r>
      <w:r w:rsidRPr="00677D1F">
        <w:rPr>
          <w:rFonts w:asciiTheme="minorEastAsia" w:hAnsiTheme="minorEastAsia" w:cs="Times New Roman"/>
          <w:color w:val="000000"/>
          <w:kern w:val="0"/>
          <w:sz w:val="24"/>
          <w:szCs w:val="24"/>
        </w:rPr>
        <w:t>2.3-3</w:t>
      </w:r>
      <w:r w:rsidRPr="00677D1F">
        <w:rPr>
          <w:rFonts w:asciiTheme="minorEastAsia" w:hAnsiTheme="minorEastAsia" w:cs="宋体" w:hint="eastAsia"/>
          <w:color w:val="000000"/>
          <w:kern w:val="0"/>
          <w:sz w:val="24"/>
          <w:szCs w:val="24"/>
        </w:rPr>
        <w:t>所示。</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表2.3-3评价因子</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22"/>
        <w:gridCol w:w="2649"/>
        <w:gridCol w:w="3400"/>
      </w:tblGrid>
      <w:tr w:rsidR="00D228BE" w:rsidRPr="00677D1F">
        <w:trPr>
          <w:trHeight w:val="340"/>
          <w:jc w:val="center"/>
        </w:trPr>
        <w:tc>
          <w:tcPr>
            <w:tcW w:w="5671" w:type="dxa"/>
            <w:gridSpan w:val="2"/>
            <w:vAlign w:val="center"/>
          </w:tcPr>
          <w:p w:rsidR="00D228BE" w:rsidRPr="00677D1F" w:rsidRDefault="00332EB6" w:rsidP="00677D1F">
            <w:pPr>
              <w:pStyle w:val="TableParagraph"/>
              <w:contextualSpacing/>
              <w:jc w:val="center"/>
              <w:rPr>
                <w:b/>
                <w:bCs/>
                <w:sz w:val="18"/>
                <w:szCs w:val="18"/>
              </w:rPr>
            </w:pPr>
            <w:r w:rsidRPr="00677D1F">
              <w:rPr>
                <w:b/>
                <w:bCs/>
                <w:sz w:val="18"/>
                <w:szCs w:val="18"/>
              </w:rPr>
              <w:t>环境要素</w:t>
            </w:r>
          </w:p>
        </w:tc>
        <w:tc>
          <w:tcPr>
            <w:tcW w:w="3400" w:type="dxa"/>
            <w:vAlign w:val="center"/>
          </w:tcPr>
          <w:p w:rsidR="00D228BE" w:rsidRPr="00677D1F" w:rsidRDefault="00332EB6" w:rsidP="00677D1F">
            <w:pPr>
              <w:pStyle w:val="TableParagraph"/>
              <w:contextualSpacing/>
              <w:jc w:val="center"/>
              <w:rPr>
                <w:b/>
                <w:bCs/>
                <w:sz w:val="18"/>
                <w:szCs w:val="18"/>
              </w:rPr>
            </w:pPr>
            <w:r w:rsidRPr="00677D1F">
              <w:rPr>
                <w:b/>
                <w:bCs/>
                <w:sz w:val="18"/>
                <w:szCs w:val="18"/>
              </w:rPr>
              <w:t>评价因子</w:t>
            </w:r>
          </w:p>
        </w:tc>
      </w:tr>
      <w:tr w:rsidR="00D228BE" w:rsidRPr="00677D1F">
        <w:trPr>
          <w:trHeight w:val="340"/>
          <w:jc w:val="center"/>
        </w:trPr>
        <w:tc>
          <w:tcPr>
            <w:tcW w:w="3022"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空气环境</w:t>
            </w:r>
          </w:p>
        </w:tc>
        <w:tc>
          <w:tcPr>
            <w:tcW w:w="2649" w:type="dxa"/>
            <w:vAlign w:val="center"/>
          </w:tcPr>
          <w:p w:rsidR="00D228BE" w:rsidRPr="00677D1F" w:rsidRDefault="00332EB6" w:rsidP="00677D1F">
            <w:pPr>
              <w:pStyle w:val="TableParagraph"/>
              <w:contextualSpacing/>
              <w:jc w:val="center"/>
              <w:rPr>
                <w:sz w:val="18"/>
                <w:szCs w:val="18"/>
              </w:rPr>
            </w:pPr>
            <w:r w:rsidRPr="00677D1F">
              <w:rPr>
                <w:sz w:val="18"/>
                <w:szCs w:val="18"/>
              </w:rPr>
              <w:t>环境空气质量现状</w:t>
            </w:r>
          </w:p>
        </w:tc>
        <w:tc>
          <w:tcPr>
            <w:tcW w:w="3400" w:type="dxa"/>
            <w:vAlign w:val="center"/>
          </w:tcPr>
          <w:p w:rsidR="00D228BE" w:rsidRPr="00677D1F" w:rsidRDefault="00332EB6" w:rsidP="00677D1F">
            <w:pPr>
              <w:pStyle w:val="TableParagraph"/>
              <w:contextualSpacing/>
              <w:jc w:val="center"/>
              <w:rPr>
                <w:rFonts w:ascii="Times New Roman" w:eastAsia="Times New Roman"/>
                <w:sz w:val="18"/>
                <w:szCs w:val="18"/>
                <w:lang w:val="en-US"/>
              </w:rPr>
            </w:pPr>
            <w:r w:rsidRPr="00677D1F">
              <w:rPr>
                <w:rFonts w:ascii="Times New Roman" w:eastAsia="Times New Roman"/>
                <w:sz w:val="18"/>
                <w:szCs w:val="18"/>
                <w:lang w:val="en-US"/>
              </w:rPr>
              <w:t>SO</w:t>
            </w:r>
            <w:r w:rsidRPr="00677D1F">
              <w:rPr>
                <w:rFonts w:ascii="Times New Roman" w:eastAsia="Times New Roman"/>
                <w:sz w:val="18"/>
                <w:szCs w:val="18"/>
                <w:vertAlign w:val="subscript"/>
                <w:lang w:val="en-US"/>
              </w:rPr>
              <w:t>2</w:t>
            </w:r>
            <w:r w:rsidRPr="00677D1F">
              <w:rPr>
                <w:sz w:val="18"/>
                <w:szCs w:val="18"/>
              </w:rPr>
              <w:t>、</w:t>
            </w:r>
            <w:r w:rsidRPr="00677D1F">
              <w:rPr>
                <w:rFonts w:ascii="Times New Roman" w:eastAsia="Times New Roman"/>
                <w:sz w:val="18"/>
                <w:szCs w:val="18"/>
                <w:lang w:val="en-US"/>
              </w:rPr>
              <w:t>NO</w:t>
            </w:r>
            <w:r w:rsidRPr="00677D1F">
              <w:rPr>
                <w:rFonts w:ascii="Times New Roman" w:eastAsia="Times New Roman"/>
                <w:sz w:val="18"/>
                <w:szCs w:val="18"/>
                <w:vertAlign w:val="subscript"/>
                <w:lang w:val="en-US"/>
              </w:rPr>
              <w:t>2</w:t>
            </w:r>
            <w:r w:rsidRPr="00677D1F">
              <w:rPr>
                <w:sz w:val="18"/>
                <w:szCs w:val="18"/>
              </w:rPr>
              <w:t>、</w:t>
            </w:r>
            <w:r w:rsidRPr="00677D1F">
              <w:rPr>
                <w:rFonts w:ascii="Times New Roman" w:eastAsia="Times New Roman"/>
                <w:sz w:val="18"/>
                <w:szCs w:val="18"/>
                <w:lang w:val="en-US"/>
              </w:rPr>
              <w:t>PM</w:t>
            </w:r>
            <w:r w:rsidRPr="00677D1F">
              <w:rPr>
                <w:rFonts w:ascii="Times New Roman" w:eastAsia="Times New Roman"/>
                <w:sz w:val="18"/>
                <w:szCs w:val="18"/>
                <w:vertAlign w:val="subscript"/>
                <w:lang w:val="en-US"/>
              </w:rPr>
              <w:t>10</w:t>
            </w:r>
            <w:r w:rsidRPr="00677D1F">
              <w:rPr>
                <w:sz w:val="18"/>
                <w:szCs w:val="18"/>
              </w:rPr>
              <w:t>、</w:t>
            </w:r>
            <w:r w:rsidRPr="00677D1F">
              <w:rPr>
                <w:rFonts w:ascii="Times New Roman" w:eastAsia="Times New Roman"/>
                <w:sz w:val="18"/>
                <w:szCs w:val="18"/>
                <w:lang w:val="en-US"/>
              </w:rPr>
              <w:t>Cl</w:t>
            </w:r>
            <w:r w:rsidRPr="00677D1F">
              <w:rPr>
                <w:rFonts w:ascii="Times New Roman" w:eastAsia="Times New Roman"/>
                <w:sz w:val="18"/>
                <w:szCs w:val="18"/>
                <w:vertAlign w:val="subscript"/>
                <w:lang w:val="en-US"/>
              </w:rPr>
              <w:t>2</w:t>
            </w:r>
            <w:r w:rsidRPr="00677D1F">
              <w:rPr>
                <w:rFonts w:ascii="Times New Roman" w:eastAsia="Times New Roman"/>
                <w:sz w:val="18"/>
                <w:szCs w:val="18"/>
                <w:lang w:val="en-US"/>
              </w:rPr>
              <w:t xml:space="preserve"> </w:t>
            </w:r>
            <w:r w:rsidRPr="00677D1F">
              <w:rPr>
                <w:sz w:val="18"/>
                <w:szCs w:val="18"/>
              </w:rPr>
              <w:t>和</w:t>
            </w:r>
            <w:r w:rsidRPr="00677D1F">
              <w:rPr>
                <w:rFonts w:ascii="Times New Roman" w:eastAsia="Times New Roman"/>
                <w:sz w:val="18"/>
                <w:szCs w:val="18"/>
                <w:lang w:val="en-US"/>
              </w:rPr>
              <w:t>HCl</w:t>
            </w:r>
          </w:p>
        </w:tc>
      </w:tr>
      <w:tr w:rsidR="00D228BE" w:rsidRPr="00677D1F">
        <w:trPr>
          <w:trHeight w:val="340"/>
          <w:jc w:val="center"/>
        </w:trPr>
        <w:tc>
          <w:tcPr>
            <w:tcW w:w="3022" w:type="dxa"/>
            <w:vMerge/>
            <w:tcBorders>
              <w:top w:val="nil"/>
            </w:tcBorders>
            <w:vAlign w:val="center"/>
          </w:tcPr>
          <w:p w:rsidR="00D228BE" w:rsidRPr="00677D1F" w:rsidRDefault="00D228BE" w:rsidP="00677D1F">
            <w:pPr>
              <w:contextualSpacing/>
              <w:jc w:val="center"/>
              <w:rPr>
                <w:sz w:val="18"/>
                <w:szCs w:val="18"/>
              </w:rPr>
            </w:pPr>
          </w:p>
        </w:tc>
        <w:tc>
          <w:tcPr>
            <w:tcW w:w="2649" w:type="dxa"/>
            <w:vAlign w:val="center"/>
          </w:tcPr>
          <w:p w:rsidR="00D228BE" w:rsidRPr="00677D1F" w:rsidRDefault="00332EB6" w:rsidP="00677D1F">
            <w:pPr>
              <w:pStyle w:val="TableParagraph"/>
              <w:contextualSpacing/>
              <w:jc w:val="center"/>
              <w:rPr>
                <w:sz w:val="18"/>
                <w:szCs w:val="18"/>
              </w:rPr>
            </w:pPr>
            <w:r w:rsidRPr="00677D1F">
              <w:rPr>
                <w:sz w:val="18"/>
                <w:szCs w:val="18"/>
              </w:rPr>
              <w:t>环境空气影响预测</w:t>
            </w:r>
          </w:p>
        </w:tc>
        <w:tc>
          <w:tcPr>
            <w:tcW w:w="3400" w:type="dxa"/>
            <w:vAlign w:val="center"/>
          </w:tcPr>
          <w:p w:rsidR="00D228BE" w:rsidRPr="00677D1F" w:rsidRDefault="00332EB6" w:rsidP="00677D1F">
            <w:pPr>
              <w:pStyle w:val="TableParagraph"/>
              <w:contextualSpacing/>
              <w:jc w:val="center"/>
              <w:rPr>
                <w:rFonts w:ascii="Times New Roman" w:eastAsia="Times New Roman"/>
                <w:sz w:val="18"/>
                <w:szCs w:val="18"/>
                <w:lang w:val="en-US"/>
              </w:rPr>
            </w:pPr>
            <w:r w:rsidRPr="00677D1F">
              <w:rPr>
                <w:rFonts w:ascii="Times New Roman" w:eastAsia="Times New Roman"/>
                <w:sz w:val="18"/>
                <w:szCs w:val="18"/>
                <w:lang w:val="en-US"/>
              </w:rPr>
              <w:t>SO</w:t>
            </w:r>
            <w:r w:rsidRPr="00677D1F">
              <w:rPr>
                <w:rFonts w:ascii="Times New Roman" w:eastAsia="Times New Roman"/>
                <w:sz w:val="18"/>
                <w:szCs w:val="18"/>
                <w:vertAlign w:val="subscript"/>
                <w:lang w:val="en-US"/>
              </w:rPr>
              <w:t>2</w:t>
            </w:r>
            <w:r w:rsidRPr="00677D1F">
              <w:rPr>
                <w:sz w:val="18"/>
                <w:szCs w:val="18"/>
              </w:rPr>
              <w:t>、</w:t>
            </w:r>
            <w:r w:rsidRPr="00677D1F">
              <w:rPr>
                <w:rFonts w:ascii="Times New Roman" w:eastAsia="Times New Roman"/>
                <w:sz w:val="18"/>
                <w:szCs w:val="18"/>
                <w:lang w:val="en-US"/>
              </w:rPr>
              <w:t>NO</w:t>
            </w:r>
            <w:r w:rsidRPr="00677D1F">
              <w:rPr>
                <w:rFonts w:ascii="Times New Roman" w:eastAsia="Times New Roman"/>
                <w:sz w:val="18"/>
                <w:szCs w:val="18"/>
                <w:vertAlign w:val="subscript"/>
                <w:lang w:val="en-US"/>
              </w:rPr>
              <w:t>2</w:t>
            </w:r>
            <w:r w:rsidRPr="00677D1F">
              <w:rPr>
                <w:sz w:val="18"/>
                <w:szCs w:val="18"/>
              </w:rPr>
              <w:t>、</w:t>
            </w:r>
            <w:r w:rsidRPr="00677D1F">
              <w:rPr>
                <w:rFonts w:ascii="Times New Roman" w:eastAsia="Times New Roman"/>
                <w:sz w:val="18"/>
                <w:szCs w:val="18"/>
                <w:lang w:val="en-US"/>
              </w:rPr>
              <w:t>PM</w:t>
            </w:r>
            <w:r w:rsidRPr="00677D1F">
              <w:rPr>
                <w:rFonts w:ascii="Times New Roman" w:eastAsia="Times New Roman"/>
                <w:sz w:val="18"/>
                <w:szCs w:val="18"/>
                <w:vertAlign w:val="subscript"/>
                <w:lang w:val="en-US"/>
              </w:rPr>
              <w:t>10</w:t>
            </w:r>
            <w:r w:rsidRPr="00677D1F">
              <w:rPr>
                <w:sz w:val="18"/>
                <w:szCs w:val="18"/>
              </w:rPr>
              <w:t>、</w:t>
            </w:r>
            <w:r w:rsidRPr="00677D1F">
              <w:rPr>
                <w:rFonts w:ascii="Times New Roman" w:eastAsia="Times New Roman"/>
                <w:sz w:val="18"/>
                <w:szCs w:val="18"/>
                <w:lang w:val="en-US"/>
              </w:rPr>
              <w:t>Cl</w:t>
            </w:r>
            <w:r w:rsidRPr="00677D1F">
              <w:rPr>
                <w:rFonts w:ascii="Times New Roman" w:eastAsia="Times New Roman"/>
                <w:sz w:val="18"/>
                <w:szCs w:val="18"/>
                <w:vertAlign w:val="subscript"/>
                <w:lang w:val="en-US"/>
              </w:rPr>
              <w:t>2</w:t>
            </w:r>
            <w:r w:rsidRPr="00677D1F">
              <w:rPr>
                <w:rFonts w:ascii="Times New Roman" w:eastAsia="Times New Roman"/>
                <w:sz w:val="18"/>
                <w:szCs w:val="18"/>
                <w:lang w:val="en-US"/>
              </w:rPr>
              <w:t xml:space="preserve"> </w:t>
            </w:r>
            <w:r w:rsidRPr="00677D1F">
              <w:rPr>
                <w:sz w:val="18"/>
                <w:szCs w:val="18"/>
              </w:rPr>
              <w:t>和</w:t>
            </w:r>
            <w:r w:rsidRPr="00677D1F">
              <w:rPr>
                <w:rFonts w:ascii="Times New Roman" w:eastAsia="Times New Roman"/>
                <w:sz w:val="18"/>
                <w:szCs w:val="18"/>
                <w:lang w:val="en-US"/>
              </w:rPr>
              <w:t>HCl</w:t>
            </w:r>
          </w:p>
        </w:tc>
      </w:tr>
      <w:tr w:rsidR="00D228BE" w:rsidRPr="00677D1F">
        <w:trPr>
          <w:trHeight w:val="340"/>
          <w:jc w:val="center"/>
        </w:trPr>
        <w:tc>
          <w:tcPr>
            <w:tcW w:w="3022" w:type="dxa"/>
            <w:vAlign w:val="center"/>
          </w:tcPr>
          <w:p w:rsidR="00D228BE" w:rsidRPr="00677D1F" w:rsidRDefault="00332EB6" w:rsidP="00677D1F">
            <w:pPr>
              <w:pStyle w:val="TableParagraph"/>
              <w:contextualSpacing/>
              <w:jc w:val="center"/>
              <w:rPr>
                <w:sz w:val="18"/>
                <w:szCs w:val="18"/>
              </w:rPr>
            </w:pPr>
            <w:r w:rsidRPr="00677D1F">
              <w:rPr>
                <w:sz w:val="18"/>
                <w:szCs w:val="18"/>
              </w:rPr>
              <w:t>地下水环境</w:t>
            </w:r>
          </w:p>
        </w:tc>
        <w:tc>
          <w:tcPr>
            <w:tcW w:w="2649" w:type="dxa"/>
            <w:vAlign w:val="center"/>
          </w:tcPr>
          <w:p w:rsidR="00D228BE" w:rsidRPr="00677D1F" w:rsidRDefault="00332EB6" w:rsidP="00677D1F">
            <w:pPr>
              <w:pStyle w:val="TableParagraph"/>
              <w:contextualSpacing/>
              <w:jc w:val="center"/>
              <w:rPr>
                <w:sz w:val="18"/>
                <w:szCs w:val="18"/>
              </w:rPr>
            </w:pPr>
            <w:r w:rsidRPr="00677D1F">
              <w:rPr>
                <w:rFonts w:ascii="Times New Roman" w:eastAsia="Times New Roman"/>
                <w:sz w:val="18"/>
                <w:szCs w:val="18"/>
              </w:rPr>
              <w:t>pH</w:t>
            </w:r>
            <w:r w:rsidRPr="00677D1F">
              <w:rPr>
                <w:sz w:val="18"/>
                <w:szCs w:val="18"/>
              </w:rPr>
              <w:t>、总硬度、高锰酸盐指数、氯化物、氟化物、硫酸盐、硝酸盐氮、总大肠菌群、氨氮、</w:t>
            </w:r>
            <w:r w:rsidRPr="00677D1F">
              <w:rPr>
                <w:rFonts w:ascii="Times New Roman" w:eastAsia="Times New Roman"/>
                <w:sz w:val="18"/>
                <w:szCs w:val="18"/>
              </w:rPr>
              <w:t>Cr</w:t>
            </w:r>
            <w:r w:rsidRPr="00677D1F">
              <w:rPr>
                <w:rFonts w:ascii="Times New Roman" w:eastAsia="Times New Roman"/>
                <w:sz w:val="18"/>
                <w:szCs w:val="18"/>
                <w:vertAlign w:val="superscript"/>
              </w:rPr>
              <w:t>6+</w:t>
            </w:r>
            <w:r w:rsidRPr="00677D1F">
              <w:rPr>
                <w:sz w:val="18"/>
                <w:szCs w:val="18"/>
              </w:rPr>
              <w:t>、亚硝酸盐、挥发酚、氰化物、锌、铜、铅、镉、铁、锰、</w:t>
            </w:r>
          </w:p>
          <w:p w:rsidR="00D228BE" w:rsidRPr="00677D1F" w:rsidRDefault="00332EB6" w:rsidP="00677D1F">
            <w:pPr>
              <w:pStyle w:val="TableParagraph"/>
              <w:contextualSpacing/>
              <w:jc w:val="center"/>
              <w:rPr>
                <w:sz w:val="18"/>
                <w:szCs w:val="18"/>
              </w:rPr>
            </w:pPr>
            <w:r w:rsidRPr="00677D1F">
              <w:rPr>
                <w:sz w:val="18"/>
                <w:szCs w:val="18"/>
              </w:rPr>
              <w:t>硒、砷、汞</w:t>
            </w:r>
          </w:p>
        </w:tc>
        <w:tc>
          <w:tcPr>
            <w:tcW w:w="3400"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3022" w:type="dxa"/>
            <w:vAlign w:val="center"/>
          </w:tcPr>
          <w:p w:rsidR="00D228BE" w:rsidRPr="00677D1F" w:rsidRDefault="00332EB6" w:rsidP="00677D1F">
            <w:pPr>
              <w:pStyle w:val="TableParagraph"/>
              <w:contextualSpacing/>
              <w:jc w:val="center"/>
              <w:rPr>
                <w:sz w:val="18"/>
                <w:szCs w:val="18"/>
              </w:rPr>
            </w:pPr>
            <w:r w:rsidRPr="00677D1F">
              <w:rPr>
                <w:sz w:val="18"/>
                <w:szCs w:val="18"/>
              </w:rPr>
              <w:t>土壤环境</w:t>
            </w:r>
          </w:p>
        </w:tc>
        <w:tc>
          <w:tcPr>
            <w:tcW w:w="2649" w:type="dxa"/>
            <w:vAlign w:val="center"/>
          </w:tcPr>
          <w:p w:rsidR="00D228BE" w:rsidRPr="00677D1F" w:rsidRDefault="00332EB6" w:rsidP="00677D1F">
            <w:pPr>
              <w:pStyle w:val="TableParagraph"/>
              <w:contextualSpacing/>
              <w:jc w:val="center"/>
              <w:rPr>
                <w:sz w:val="18"/>
                <w:szCs w:val="18"/>
              </w:rPr>
            </w:pPr>
            <w:r w:rsidRPr="00677D1F">
              <w:rPr>
                <w:rFonts w:ascii="Times New Roman" w:eastAsia="Times New Roman"/>
                <w:sz w:val="18"/>
                <w:szCs w:val="18"/>
              </w:rPr>
              <w:t>pH</w:t>
            </w:r>
            <w:r w:rsidRPr="00677D1F">
              <w:rPr>
                <w:sz w:val="18"/>
                <w:szCs w:val="18"/>
              </w:rPr>
              <w:t>、砷、汞、铅、铜、锌、</w:t>
            </w:r>
          </w:p>
          <w:p w:rsidR="00D228BE" w:rsidRPr="00677D1F" w:rsidRDefault="00332EB6" w:rsidP="00677D1F">
            <w:pPr>
              <w:pStyle w:val="TableParagraph"/>
              <w:contextualSpacing/>
              <w:jc w:val="center"/>
              <w:rPr>
                <w:sz w:val="18"/>
                <w:szCs w:val="18"/>
              </w:rPr>
            </w:pPr>
            <w:r w:rsidRPr="00677D1F">
              <w:rPr>
                <w:sz w:val="18"/>
                <w:szCs w:val="18"/>
              </w:rPr>
              <w:t>铬、镍、镉</w:t>
            </w:r>
          </w:p>
        </w:tc>
        <w:tc>
          <w:tcPr>
            <w:tcW w:w="3400"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3022"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声环境</w:t>
            </w:r>
          </w:p>
        </w:tc>
        <w:tc>
          <w:tcPr>
            <w:tcW w:w="2649" w:type="dxa"/>
            <w:vAlign w:val="center"/>
          </w:tcPr>
          <w:p w:rsidR="00D228BE" w:rsidRPr="00677D1F" w:rsidRDefault="00332EB6" w:rsidP="00677D1F">
            <w:pPr>
              <w:pStyle w:val="TableParagraph"/>
              <w:contextualSpacing/>
              <w:jc w:val="center"/>
              <w:rPr>
                <w:sz w:val="18"/>
                <w:szCs w:val="18"/>
              </w:rPr>
            </w:pPr>
            <w:r w:rsidRPr="00677D1F">
              <w:rPr>
                <w:sz w:val="18"/>
                <w:szCs w:val="18"/>
              </w:rPr>
              <w:t>现状噪声</w:t>
            </w:r>
          </w:p>
        </w:tc>
        <w:tc>
          <w:tcPr>
            <w:tcW w:w="3400" w:type="dxa"/>
            <w:vAlign w:val="center"/>
          </w:tcPr>
          <w:p w:rsidR="00D228BE" w:rsidRPr="00677D1F" w:rsidRDefault="00332EB6" w:rsidP="00677D1F">
            <w:pPr>
              <w:pStyle w:val="TableParagraph"/>
              <w:contextualSpacing/>
              <w:jc w:val="center"/>
              <w:rPr>
                <w:sz w:val="18"/>
                <w:szCs w:val="18"/>
              </w:rPr>
            </w:pPr>
            <w:r w:rsidRPr="00677D1F">
              <w:rPr>
                <w:sz w:val="18"/>
                <w:szCs w:val="18"/>
              </w:rPr>
              <w:t>等效</w:t>
            </w:r>
            <w:r w:rsidRPr="00677D1F">
              <w:rPr>
                <w:rFonts w:ascii="Times New Roman" w:eastAsia="Times New Roman"/>
                <w:sz w:val="18"/>
                <w:szCs w:val="18"/>
              </w:rPr>
              <w:t xml:space="preserve">A </w:t>
            </w:r>
            <w:r w:rsidRPr="00677D1F">
              <w:rPr>
                <w:sz w:val="18"/>
                <w:szCs w:val="18"/>
              </w:rPr>
              <w:t>声级</w:t>
            </w:r>
          </w:p>
        </w:tc>
      </w:tr>
      <w:tr w:rsidR="00D228BE" w:rsidRPr="00677D1F">
        <w:trPr>
          <w:trHeight w:val="340"/>
          <w:jc w:val="center"/>
        </w:trPr>
        <w:tc>
          <w:tcPr>
            <w:tcW w:w="3022" w:type="dxa"/>
            <w:vMerge/>
            <w:tcBorders>
              <w:top w:val="nil"/>
            </w:tcBorders>
            <w:vAlign w:val="center"/>
          </w:tcPr>
          <w:p w:rsidR="00D228BE" w:rsidRPr="00677D1F" w:rsidRDefault="00D228BE" w:rsidP="00677D1F">
            <w:pPr>
              <w:contextualSpacing/>
              <w:jc w:val="center"/>
              <w:rPr>
                <w:sz w:val="18"/>
                <w:szCs w:val="18"/>
              </w:rPr>
            </w:pPr>
          </w:p>
        </w:tc>
        <w:tc>
          <w:tcPr>
            <w:tcW w:w="2649" w:type="dxa"/>
            <w:vAlign w:val="center"/>
          </w:tcPr>
          <w:p w:rsidR="00D228BE" w:rsidRPr="00677D1F" w:rsidRDefault="00332EB6" w:rsidP="00677D1F">
            <w:pPr>
              <w:pStyle w:val="TableParagraph"/>
              <w:contextualSpacing/>
              <w:jc w:val="center"/>
              <w:rPr>
                <w:sz w:val="18"/>
                <w:szCs w:val="18"/>
              </w:rPr>
            </w:pPr>
            <w:r w:rsidRPr="00677D1F">
              <w:rPr>
                <w:sz w:val="18"/>
                <w:szCs w:val="18"/>
              </w:rPr>
              <w:t>厂界噪声</w:t>
            </w:r>
          </w:p>
        </w:tc>
        <w:tc>
          <w:tcPr>
            <w:tcW w:w="3400" w:type="dxa"/>
            <w:vAlign w:val="center"/>
          </w:tcPr>
          <w:p w:rsidR="00D228BE" w:rsidRPr="00677D1F" w:rsidRDefault="00332EB6" w:rsidP="00677D1F">
            <w:pPr>
              <w:pStyle w:val="TableParagraph"/>
              <w:contextualSpacing/>
              <w:jc w:val="center"/>
              <w:rPr>
                <w:sz w:val="18"/>
                <w:szCs w:val="18"/>
              </w:rPr>
            </w:pPr>
            <w:r w:rsidRPr="00677D1F">
              <w:rPr>
                <w:sz w:val="18"/>
                <w:szCs w:val="18"/>
              </w:rPr>
              <w:t>等效</w:t>
            </w:r>
            <w:r w:rsidRPr="00677D1F">
              <w:rPr>
                <w:rFonts w:ascii="Times New Roman" w:eastAsia="Times New Roman"/>
                <w:sz w:val="18"/>
                <w:szCs w:val="18"/>
              </w:rPr>
              <w:t xml:space="preserve">A </w:t>
            </w:r>
            <w:r w:rsidRPr="00677D1F">
              <w:rPr>
                <w:sz w:val="18"/>
                <w:szCs w:val="18"/>
              </w:rPr>
              <w:t>声级</w:t>
            </w:r>
          </w:p>
        </w:tc>
      </w:tr>
      <w:tr w:rsidR="00D228BE" w:rsidRPr="00677D1F">
        <w:trPr>
          <w:trHeight w:val="340"/>
          <w:jc w:val="center"/>
        </w:trPr>
        <w:tc>
          <w:tcPr>
            <w:tcW w:w="3022" w:type="dxa"/>
            <w:vAlign w:val="center"/>
          </w:tcPr>
          <w:p w:rsidR="00D228BE" w:rsidRPr="00677D1F" w:rsidRDefault="00332EB6" w:rsidP="00677D1F">
            <w:pPr>
              <w:pStyle w:val="TableParagraph"/>
              <w:contextualSpacing/>
              <w:jc w:val="center"/>
              <w:rPr>
                <w:sz w:val="18"/>
                <w:szCs w:val="18"/>
              </w:rPr>
            </w:pPr>
            <w:r w:rsidRPr="00677D1F">
              <w:rPr>
                <w:sz w:val="18"/>
                <w:szCs w:val="18"/>
              </w:rPr>
              <w:t>固体废物</w:t>
            </w:r>
          </w:p>
        </w:tc>
        <w:tc>
          <w:tcPr>
            <w:tcW w:w="2649" w:type="dxa"/>
            <w:vAlign w:val="center"/>
          </w:tcPr>
          <w:p w:rsidR="00D228BE" w:rsidRPr="00677D1F" w:rsidRDefault="00332EB6" w:rsidP="00677D1F">
            <w:pPr>
              <w:pStyle w:val="TableParagraph"/>
              <w:contextualSpacing/>
              <w:jc w:val="center"/>
              <w:rPr>
                <w:sz w:val="18"/>
                <w:szCs w:val="18"/>
              </w:rPr>
            </w:pPr>
            <w:r w:rsidRPr="00677D1F">
              <w:rPr>
                <w:sz w:val="18"/>
                <w:szCs w:val="18"/>
              </w:rPr>
              <w:t>污染源分析</w:t>
            </w:r>
          </w:p>
        </w:tc>
        <w:tc>
          <w:tcPr>
            <w:tcW w:w="3400" w:type="dxa"/>
            <w:vAlign w:val="center"/>
          </w:tcPr>
          <w:p w:rsidR="00D228BE" w:rsidRPr="00677D1F" w:rsidRDefault="00332EB6" w:rsidP="00677D1F">
            <w:pPr>
              <w:pStyle w:val="TableParagraph"/>
              <w:contextualSpacing/>
              <w:jc w:val="center"/>
              <w:rPr>
                <w:sz w:val="18"/>
                <w:szCs w:val="18"/>
              </w:rPr>
            </w:pPr>
            <w:r w:rsidRPr="00677D1F">
              <w:rPr>
                <w:sz w:val="18"/>
                <w:szCs w:val="18"/>
              </w:rPr>
              <w:t>固废量、一般固废和危险废物</w:t>
            </w:r>
          </w:p>
        </w:tc>
      </w:tr>
      <w:tr w:rsidR="00D228BE" w:rsidRPr="00677D1F">
        <w:trPr>
          <w:trHeight w:val="340"/>
          <w:jc w:val="center"/>
        </w:trPr>
        <w:tc>
          <w:tcPr>
            <w:tcW w:w="3022" w:type="dxa"/>
            <w:vAlign w:val="center"/>
          </w:tcPr>
          <w:p w:rsidR="00D228BE" w:rsidRPr="00677D1F" w:rsidRDefault="00332EB6" w:rsidP="00677D1F">
            <w:pPr>
              <w:pStyle w:val="TableParagraph"/>
              <w:contextualSpacing/>
              <w:jc w:val="center"/>
              <w:rPr>
                <w:sz w:val="18"/>
                <w:szCs w:val="18"/>
              </w:rPr>
            </w:pPr>
            <w:r w:rsidRPr="00677D1F">
              <w:rPr>
                <w:sz w:val="18"/>
                <w:szCs w:val="18"/>
              </w:rPr>
              <w:lastRenderedPageBreak/>
              <w:t>风险</w:t>
            </w:r>
          </w:p>
        </w:tc>
        <w:tc>
          <w:tcPr>
            <w:tcW w:w="2649" w:type="dxa"/>
            <w:vAlign w:val="center"/>
          </w:tcPr>
          <w:p w:rsidR="00D228BE" w:rsidRPr="00677D1F" w:rsidRDefault="00332EB6" w:rsidP="00677D1F">
            <w:pPr>
              <w:pStyle w:val="TableParagraph"/>
              <w:contextualSpacing/>
              <w:jc w:val="center"/>
              <w:rPr>
                <w:sz w:val="18"/>
                <w:szCs w:val="18"/>
              </w:rPr>
            </w:pPr>
            <w:r w:rsidRPr="00677D1F">
              <w:rPr>
                <w:sz w:val="18"/>
                <w:szCs w:val="18"/>
              </w:rPr>
              <w:t>泄漏、火灾爆炸及烟气</w:t>
            </w:r>
          </w:p>
        </w:tc>
        <w:tc>
          <w:tcPr>
            <w:tcW w:w="3400" w:type="dxa"/>
            <w:vAlign w:val="center"/>
          </w:tcPr>
          <w:p w:rsidR="00D228BE" w:rsidRPr="00677D1F" w:rsidRDefault="00332EB6" w:rsidP="00677D1F">
            <w:pPr>
              <w:pStyle w:val="TableParagraph"/>
              <w:contextualSpacing/>
              <w:jc w:val="center"/>
              <w:rPr>
                <w:rFonts w:ascii="Times New Roman" w:eastAsia="Times New Roman"/>
                <w:sz w:val="18"/>
                <w:szCs w:val="18"/>
              </w:rPr>
            </w:pPr>
            <w:r w:rsidRPr="00677D1F">
              <w:rPr>
                <w:rFonts w:ascii="Times New Roman" w:eastAsia="Times New Roman"/>
                <w:sz w:val="18"/>
                <w:szCs w:val="18"/>
              </w:rPr>
              <w:t>Cl</w:t>
            </w:r>
            <w:r w:rsidRPr="00677D1F">
              <w:rPr>
                <w:rFonts w:ascii="Times New Roman" w:eastAsia="Times New Roman"/>
                <w:sz w:val="18"/>
                <w:szCs w:val="18"/>
                <w:vertAlign w:val="subscript"/>
              </w:rPr>
              <w:t>2</w:t>
            </w:r>
            <w:r w:rsidRPr="00677D1F">
              <w:rPr>
                <w:sz w:val="18"/>
                <w:szCs w:val="18"/>
              </w:rPr>
              <w:t xml:space="preserve">、四氯化钛和 </w:t>
            </w:r>
            <w:r w:rsidRPr="00677D1F">
              <w:rPr>
                <w:rFonts w:ascii="Times New Roman" w:eastAsia="Times New Roman"/>
                <w:sz w:val="18"/>
                <w:szCs w:val="18"/>
              </w:rPr>
              <w:t>CO</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2.3.2</w:t>
      </w:r>
      <w:r w:rsidRPr="00677D1F">
        <w:rPr>
          <w:rFonts w:ascii="宋体" w:hAnsi="宋体" w:hint="eastAsia"/>
          <w:sz w:val="28"/>
          <w:szCs w:val="28"/>
        </w:rPr>
        <w:t>评价标准</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color w:val="000000"/>
          <w:kern w:val="0"/>
          <w:sz w:val="26"/>
          <w:szCs w:val="26"/>
        </w:rPr>
        <w:t>（</w:t>
      </w:r>
      <w:r w:rsidRPr="00677D1F">
        <w:rPr>
          <w:rFonts w:ascii="Times New Roman" w:eastAsia="宋体" w:hAnsi="Times New Roman" w:cs="Times New Roman"/>
          <w:color w:val="000000"/>
          <w:kern w:val="0"/>
          <w:sz w:val="26"/>
          <w:szCs w:val="26"/>
        </w:rPr>
        <w:t>1</w:t>
      </w:r>
      <w:r w:rsidRPr="00677D1F">
        <w:rPr>
          <w:rFonts w:ascii="Times New Roman" w:eastAsia="宋体" w:hAnsi="Times New Roman" w:cs="Times New Roman"/>
          <w:color w:val="000000"/>
          <w:kern w:val="0"/>
          <w:sz w:val="26"/>
          <w:szCs w:val="26"/>
        </w:rPr>
        <w:t>）</w:t>
      </w:r>
      <w:r w:rsidRPr="00677D1F">
        <w:rPr>
          <w:rFonts w:ascii="宋体" w:eastAsia="宋体" w:hAnsi="宋体" w:cs="宋体" w:hint="eastAsia"/>
          <w:color w:val="000000"/>
          <w:kern w:val="0"/>
          <w:sz w:val="26"/>
          <w:szCs w:val="26"/>
        </w:rPr>
        <w:t>环境质量标准</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根据项目所在区域环境功能区划，拟建项目区环境现状质量执行标准详见表</w:t>
      </w:r>
      <w:r w:rsidRPr="00677D1F">
        <w:rPr>
          <w:rFonts w:ascii="Times New Roman" w:eastAsia="宋体" w:hAnsi="Times New Roman" w:cs="Times New Roman"/>
          <w:color w:val="000000"/>
          <w:kern w:val="0"/>
          <w:sz w:val="24"/>
          <w:szCs w:val="24"/>
        </w:rPr>
        <w:t>2.3-4</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表2.3-4环境质量标准一览表</w:t>
      </w:r>
    </w:p>
    <w:tbl>
      <w:tblPr>
        <w:tblW w:w="9071"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7"/>
        <w:gridCol w:w="2833"/>
        <w:gridCol w:w="1533"/>
        <w:gridCol w:w="1034"/>
        <w:gridCol w:w="1140"/>
        <w:gridCol w:w="268"/>
        <w:gridCol w:w="1106"/>
      </w:tblGrid>
      <w:tr w:rsidR="00D228BE" w:rsidRPr="00677D1F">
        <w:trPr>
          <w:trHeight w:val="340"/>
          <w:jc w:val="center"/>
        </w:trPr>
        <w:tc>
          <w:tcPr>
            <w:tcW w:w="1157" w:type="dxa"/>
            <w:vMerge w:val="restart"/>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环境类别</w:t>
            </w:r>
          </w:p>
        </w:tc>
        <w:tc>
          <w:tcPr>
            <w:tcW w:w="2833" w:type="dxa"/>
            <w:vMerge w:val="restart"/>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标准名称与级（类）别</w:t>
            </w:r>
          </w:p>
        </w:tc>
        <w:tc>
          <w:tcPr>
            <w:tcW w:w="1533" w:type="dxa"/>
            <w:vMerge w:val="restart"/>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项目</w:t>
            </w:r>
          </w:p>
        </w:tc>
        <w:tc>
          <w:tcPr>
            <w:tcW w:w="3548" w:type="dxa"/>
            <w:gridSpan w:val="4"/>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标准值</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单位</w:t>
            </w: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数值</w:t>
            </w:r>
          </w:p>
        </w:tc>
      </w:tr>
      <w:tr w:rsidR="00D228BE" w:rsidRPr="00677D1F">
        <w:trPr>
          <w:trHeight w:val="340"/>
          <w:jc w:val="center"/>
        </w:trPr>
        <w:tc>
          <w:tcPr>
            <w:tcW w:w="1157" w:type="dxa"/>
            <w:vMerge w:val="restart"/>
            <w:tcBorders>
              <w:top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环境空气</w:t>
            </w:r>
          </w:p>
        </w:tc>
        <w:tc>
          <w:tcPr>
            <w:tcW w:w="2833" w:type="dxa"/>
            <w:vMerge w:val="restart"/>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 环境空气质量标准》</w:t>
            </w:r>
          </w:p>
          <w:p w:rsidR="00D228BE" w:rsidRPr="00677D1F" w:rsidRDefault="00332EB6" w:rsidP="00677D1F">
            <w:pPr>
              <w:pStyle w:val="TableParagraph"/>
              <w:contextualSpacing/>
              <w:jc w:val="center"/>
              <w:rPr>
                <w:sz w:val="18"/>
                <w:szCs w:val="18"/>
              </w:rPr>
            </w:pPr>
            <w:r w:rsidRPr="00677D1F">
              <w:rPr>
                <w:sz w:val="18"/>
                <w:szCs w:val="18"/>
              </w:rPr>
              <w:t>（</w:t>
            </w:r>
            <w:r w:rsidRPr="00677D1F">
              <w:rPr>
                <w:rFonts w:ascii="Times New Roman" w:eastAsia="Times New Roman"/>
                <w:sz w:val="18"/>
                <w:szCs w:val="18"/>
              </w:rPr>
              <w:t>GB3095-2012</w:t>
            </w:r>
            <w:r w:rsidRPr="00677D1F">
              <w:rPr>
                <w:sz w:val="18"/>
                <w:szCs w:val="18"/>
              </w:rPr>
              <w:t>）及其修改单中二级标准</w:t>
            </w:r>
          </w:p>
        </w:tc>
        <w:tc>
          <w:tcPr>
            <w:tcW w:w="1533" w:type="dxa"/>
            <w:vMerge w:val="restart"/>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SO</w:t>
            </w:r>
            <w:r w:rsidRPr="00677D1F">
              <w:rPr>
                <w:rFonts w:ascii="Times New Roman"/>
                <w:sz w:val="18"/>
                <w:szCs w:val="18"/>
                <w:vertAlign w:val="subscript"/>
              </w:rPr>
              <w:t>2</w:t>
            </w:r>
          </w:p>
        </w:tc>
        <w:tc>
          <w:tcPr>
            <w:tcW w:w="1034" w:type="dxa"/>
            <w:vMerge w:val="restart"/>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mg/m</w:t>
            </w:r>
            <w:r w:rsidRPr="00677D1F">
              <w:rPr>
                <w:rFonts w:ascii="Times New Roman"/>
                <w:sz w:val="18"/>
                <w:szCs w:val="18"/>
                <w:vertAlign w:val="superscript"/>
              </w:rPr>
              <w:t>3</w:t>
            </w: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rFonts w:ascii="Times New Roman" w:eastAsia="Times New Roman"/>
                <w:sz w:val="18"/>
                <w:szCs w:val="18"/>
              </w:rPr>
              <w:t xml:space="preserve">1 </w:t>
            </w:r>
            <w:r w:rsidRPr="00677D1F">
              <w:rPr>
                <w:sz w:val="18"/>
                <w:szCs w:val="18"/>
              </w:rPr>
              <w:t>小时平均</w:t>
            </w:r>
          </w:p>
        </w:tc>
        <w:tc>
          <w:tcPr>
            <w:tcW w:w="1106"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0.50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日平均</w:t>
            </w:r>
          </w:p>
        </w:tc>
        <w:tc>
          <w:tcPr>
            <w:tcW w:w="1106"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0.15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年平均</w:t>
            </w:r>
          </w:p>
        </w:tc>
        <w:tc>
          <w:tcPr>
            <w:tcW w:w="1106"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0.06</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val="restart"/>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NO</w:t>
            </w:r>
            <w:r w:rsidRPr="00677D1F">
              <w:rPr>
                <w:rFonts w:ascii="Times New Roman"/>
                <w:sz w:val="18"/>
                <w:szCs w:val="18"/>
                <w:vertAlign w:val="subscript"/>
              </w:rPr>
              <w:t>2</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rFonts w:ascii="Times New Roman" w:eastAsia="Times New Roman"/>
                <w:sz w:val="18"/>
                <w:szCs w:val="18"/>
              </w:rPr>
              <w:t xml:space="preserve">1 </w:t>
            </w:r>
            <w:r w:rsidRPr="00677D1F">
              <w:rPr>
                <w:sz w:val="18"/>
                <w:szCs w:val="18"/>
              </w:rPr>
              <w:t>小时平均</w:t>
            </w:r>
          </w:p>
        </w:tc>
        <w:tc>
          <w:tcPr>
            <w:tcW w:w="1106"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0.20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日平均</w:t>
            </w:r>
          </w:p>
        </w:tc>
        <w:tc>
          <w:tcPr>
            <w:tcW w:w="1106"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0.08</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年平均</w:t>
            </w:r>
          </w:p>
        </w:tc>
        <w:tc>
          <w:tcPr>
            <w:tcW w:w="1106"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0.04</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val="restart"/>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PM</w:t>
            </w:r>
            <w:r w:rsidRPr="00677D1F">
              <w:rPr>
                <w:rFonts w:ascii="Times New Roman"/>
                <w:sz w:val="18"/>
                <w:szCs w:val="18"/>
                <w:vertAlign w:val="subscript"/>
              </w:rPr>
              <w:t>10</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日平均</w:t>
            </w:r>
          </w:p>
        </w:tc>
        <w:tc>
          <w:tcPr>
            <w:tcW w:w="1106"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0.15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年平均</w:t>
            </w:r>
          </w:p>
        </w:tc>
        <w:tc>
          <w:tcPr>
            <w:tcW w:w="1106" w:type="dxa"/>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0.07</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TSP</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日平均</w:t>
            </w:r>
          </w:p>
        </w:tc>
        <w:tc>
          <w:tcPr>
            <w:tcW w:w="1106" w:type="dxa"/>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0.30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年平均</w:t>
            </w:r>
          </w:p>
        </w:tc>
        <w:tc>
          <w:tcPr>
            <w:tcW w:w="1106" w:type="dxa"/>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0.20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《工业企业设计卫生标准》</w:t>
            </w:r>
          </w:p>
          <w:p w:rsidR="00D228BE" w:rsidRPr="00677D1F" w:rsidRDefault="00332EB6" w:rsidP="00677D1F">
            <w:pPr>
              <w:pStyle w:val="TableParagraph"/>
              <w:contextualSpacing/>
              <w:jc w:val="center"/>
              <w:rPr>
                <w:sz w:val="18"/>
                <w:szCs w:val="18"/>
              </w:rPr>
            </w:pPr>
            <w:r w:rsidRPr="00677D1F">
              <w:rPr>
                <w:rFonts w:ascii="Times New Roman"/>
                <w:sz w:val="18"/>
                <w:szCs w:val="18"/>
              </w:rPr>
              <w:t>(</w:t>
            </w:r>
            <w:r w:rsidRPr="00677D1F">
              <w:rPr>
                <w:sz w:val="18"/>
                <w:szCs w:val="18"/>
              </w:rPr>
              <w:t>TJ36-79)</w:t>
            </w:r>
          </w:p>
        </w:tc>
        <w:tc>
          <w:tcPr>
            <w:tcW w:w="15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氯</w:t>
            </w:r>
          </w:p>
        </w:tc>
        <w:tc>
          <w:tcPr>
            <w:tcW w:w="1034"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mg/m</w:t>
            </w:r>
            <w:r w:rsidRPr="00677D1F">
              <w:rPr>
                <w:rFonts w:ascii="Times New Roman"/>
                <w:sz w:val="18"/>
                <w:szCs w:val="18"/>
                <w:vertAlign w:val="superscript"/>
              </w:rPr>
              <w:t>3</w:t>
            </w:r>
          </w:p>
        </w:tc>
        <w:tc>
          <w:tcPr>
            <w:tcW w:w="1408" w:type="dxa"/>
            <w:gridSpan w:val="2"/>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一次</w:t>
            </w:r>
          </w:p>
        </w:tc>
        <w:tc>
          <w:tcPr>
            <w:tcW w:w="1106"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0.10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日平均</w:t>
            </w:r>
          </w:p>
        </w:tc>
        <w:tc>
          <w:tcPr>
            <w:tcW w:w="1106"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0.03</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氯化氢</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一次</w:t>
            </w:r>
          </w:p>
        </w:tc>
        <w:tc>
          <w:tcPr>
            <w:tcW w:w="1106" w:type="dxa"/>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408" w:type="dxa"/>
            <w:gridSpan w:val="2"/>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日平均</w:t>
            </w:r>
          </w:p>
        </w:tc>
        <w:tc>
          <w:tcPr>
            <w:tcW w:w="1106" w:type="dxa"/>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0.015</w:t>
            </w:r>
          </w:p>
        </w:tc>
      </w:tr>
      <w:tr w:rsidR="00D228BE" w:rsidRPr="00677D1F">
        <w:trPr>
          <w:trHeight w:val="340"/>
          <w:jc w:val="center"/>
        </w:trPr>
        <w:tc>
          <w:tcPr>
            <w:tcW w:w="1157" w:type="dxa"/>
            <w:vMerge w:val="restart"/>
            <w:tcBorders>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地下水环境</w:t>
            </w:r>
          </w:p>
        </w:tc>
        <w:tc>
          <w:tcPr>
            <w:tcW w:w="28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《地下水质量标准 》</w:t>
            </w:r>
          </w:p>
          <w:p w:rsidR="00D228BE" w:rsidRPr="00677D1F" w:rsidRDefault="00332EB6" w:rsidP="00677D1F">
            <w:pPr>
              <w:pStyle w:val="TableParagraph"/>
              <w:contextualSpacing/>
              <w:jc w:val="center"/>
              <w:rPr>
                <w:sz w:val="18"/>
                <w:szCs w:val="18"/>
              </w:rPr>
            </w:pPr>
            <w:r w:rsidRPr="00677D1F">
              <w:rPr>
                <w:sz w:val="18"/>
                <w:szCs w:val="18"/>
              </w:rPr>
              <w:t>（</w:t>
            </w:r>
            <w:r w:rsidRPr="00677D1F">
              <w:rPr>
                <w:rFonts w:ascii="Times New Roman" w:eastAsia="Times New Roman"/>
                <w:sz w:val="18"/>
                <w:szCs w:val="18"/>
              </w:rPr>
              <w:t>GB/T14848-93</w:t>
            </w:r>
            <w:r w:rsidRPr="00677D1F">
              <w:rPr>
                <w:sz w:val="18"/>
                <w:szCs w:val="18"/>
              </w:rPr>
              <w:t>）</w:t>
            </w:r>
          </w:p>
          <w:p w:rsidR="00D228BE" w:rsidRPr="00677D1F" w:rsidRDefault="00332EB6" w:rsidP="00677D1F">
            <w:pPr>
              <w:pStyle w:val="TableParagraph"/>
              <w:contextualSpacing/>
              <w:jc w:val="center"/>
              <w:rPr>
                <w:sz w:val="18"/>
                <w:szCs w:val="18"/>
              </w:rPr>
            </w:pPr>
            <w:r w:rsidRPr="00677D1F">
              <w:rPr>
                <w:sz w:val="18"/>
                <w:szCs w:val="18"/>
              </w:rPr>
              <w:t>的Ⅲ类标准</w:t>
            </w:r>
          </w:p>
        </w:tc>
        <w:tc>
          <w:tcPr>
            <w:tcW w:w="1533"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pH</w:t>
            </w:r>
          </w:p>
        </w:tc>
        <w:tc>
          <w:tcPr>
            <w:tcW w:w="1034"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无量纲</w:t>
            </w:r>
          </w:p>
        </w:tc>
        <w:tc>
          <w:tcPr>
            <w:tcW w:w="2514" w:type="dxa"/>
            <w:gridSpan w:val="3"/>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6.5~8.5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COD</w:t>
            </w:r>
          </w:p>
        </w:tc>
        <w:tc>
          <w:tcPr>
            <w:tcW w:w="1034" w:type="dxa"/>
            <w:vMerge w:val="restart"/>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mg/L</w:t>
            </w: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≤20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氟化物</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≤1.0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硫酸盐</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≤250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氯化物</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≤250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总硬度</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≤450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溶解性总固体</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≤1000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硝酸盐氮</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≤20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亚硝酸盐氮</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≤0.02</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挥发酚</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≤0.002</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六价铬</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≤0.05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氰化物</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≤0.05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氨氮</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≤0.2</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铁</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≤0.3</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高锰酸盐指</w:t>
            </w:r>
          </w:p>
          <w:p w:rsidR="00D228BE" w:rsidRPr="00677D1F" w:rsidRDefault="00332EB6" w:rsidP="00677D1F">
            <w:pPr>
              <w:pStyle w:val="TableParagraph"/>
              <w:contextualSpacing/>
              <w:jc w:val="center"/>
              <w:rPr>
                <w:sz w:val="18"/>
                <w:szCs w:val="18"/>
              </w:rPr>
            </w:pPr>
            <w:r w:rsidRPr="00677D1F">
              <w:rPr>
                <w:sz w:val="18"/>
                <w:szCs w:val="18"/>
              </w:rPr>
              <w:t>数</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≤3.0</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铅</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≤0.05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锰</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≤0.1</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砷</w:t>
            </w:r>
          </w:p>
        </w:tc>
        <w:tc>
          <w:tcPr>
            <w:tcW w:w="1034"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≤0.05</w:t>
            </w:r>
          </w:p>
        </w:tc>
      </w:tr>
      <w:tr w:rsidR="00D228BE" w:rsidRPr="00677D1F">
        <w:trPr>
          <w:trHeight w:val="340"/>
          <w:jc w:val="center"/>
        </w:trPr>
        <w:tc>
          <w:tcPr>
            <w:tcW w:w="1157" w:type="dxa"/>
            <w:vMerge/>
            <w:tcBorders>
              <w:top w:val="nil"/>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大肠菌群</w:t>
            </w:r>
          </w:p>
        </w:tc>
        <w:tc>
          <w:tcPr>
            <w:tcW w:w="1034"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eastAsia="Times New Roman"/>
                <w:sz w:val="18"/>
                <w:szCs w:val="18"/>
              </w:rPr>
            </w:pPr>
            <w:r w:rsidRPr="00677D1F">
              <w:rPr>
                <w:sz w:val="18"/>
                <w:szCs w:val="18"/>
              </w:rPr>
              <w:t>个</w:t>
            </w:r>
            <w:r w:rsidRPr="00677D1F">
              <w:rPr>
                <w:rFonts w:ascii="Times New Roman" w:eastAsia="Times New Roman"/>
                <w:sz w:val="18"/>
                <w:szCs w:val="18"/>
              </w:rPr>
              <w:t>/L</w:t>
            </w: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hAnsi="Times New Roman"/>
                <w:sz w:val="18"/>
                <w:szCs w:val="18"/>
              </w:rPr>
            </w:pPr>
            <w:r w:rsidRPr="00677D1F">
              <w:rPr>
                <w:rFonts w:ascii="Times New Roman" w:hAnsi="Times New Roman"/>
                <w:sz w:val="18"/>
                <w:szCs w:val="18"/>
              </w:rPr>
              <w:t>≤3.0</w:t>
            </w:r>
          </w:p>
        </w:tc>
      </w:tr>
      <w:tr w:rsidR="00D228BE" w:rsidRPr="00677D1F">
        <w:trPr>
          <w:trHeight w:val="340"/>
          <w:jc w:val="center"/>
        </w:trPr>
        <w:tc>
          <w:tcPr>
            <w:tcW w:w="1157" w:type="dxa"/>
            <w:vMerge w:val="restart"/>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土壤</w:t>
            </w:r>
          </w:p>
        </w:tc>
        <w:tc>
          <w:tcPr>
            <w:tcW w:w="28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 土壤环境质量标准》</w:t>
            </w:r>
          </w:p>
          <w:p w:rsidR="00D228BE" w:rsidRPr="00677D1F" w:rsidRDefault="00332EB6" w:rsidP="00677D1F">
            <w:pPr>
              <w:pStyle w:val="TableParagraph"/>
              <w:contextualSpacing/>
              <w:jc w:val="center"/>
              <w:rPr>
                <w:sz w:val="18"/>
                <w:szCs w:val="18"/>
              </w:rPr>
            </w:pPr>
            <w:r w:rsidRPr="00677D1F">
              <w:rPr>
                <w:sz w:val="18"/>
                <w:szCs w:val="18"/>
              </w:rPr>
              <w:t>（</w:t>
            </w:r>
            <w:r w:rsidRPr="00677D1F">
              <w:rPr>
                <w:rFonts w:ascii="Times New Roman" w:eastAsia="Times New Roman"/>
                <w:sz w:val="18"/>
                <w:szCs w:val="18"/>
              </w:rPr>
              <w:t>GB15618-1995</w:t>
            </w:r>
            <w:r w:rsidRPr="00677D1F">
              <w:rPr>
                <w:sz w:val="18"/>
                <w:szCs w:val="18"/>
              </w:rPr>
              <w:t>）中二级</w:t>
            </w:r>
          </w:p>
          <w:p w:rsidR="00D228BE" w:rsidRPr="00677D1F" w:rsidRDefault="00332EB6" w:rsidP="00677D1F">
            <w:pPr>
              <w:pStyle w:val="TableParagraph"/>
              <w:contextualSpacing/>
              <w:jc w:val="center"/>
              <w:rPr>
                <w:sz w:val="18"/>
                <w:szCs w:val="18"/>
              </w:rPr>
            </w:pPr>
            <w:r w:rsidRPr="00677D1F">
              <w:rPr>
                <w:sz w:val="18"/>
                <w:szCs w:val="18"/>
              </w:rPr>
              <w:t>标准</w:t>
            </w: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镉</w:t>
            </w:r>
          </w:p>
        </w:tc>
        <w:tc>
          <w:tcPr>
            <w:tcW w:w="1034" w:type="dxa"/>
            <w:vMerge w:val="restart"/>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mg/kg</w:t>
            </w: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0.6</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汞</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1.0</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铬</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350</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铜</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100</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铅</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350</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锌</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300</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镍</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60</w:t>
            </w:r>
          </w:p>
        </w:tc>
      </w:tr>
      <w:tr w:rsidR="00D228BE" w:rsidRPr="00677D1F">
        <w:trPr>
          <w:trHeight w:val="340"/>
          <w:jc w:val="center"/>
        </w:trPr>
        <w:tc>
          <w:tcPr>
            <w:tcW w:w="115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833"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1533"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砷</w:t>
            </w:r>
          </w:p>
        </w:tc>
        <w:tc>
          <w:tcPr>
            <w:tcW w:w="1034"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sz w:val="18"/>
                <w:szCs w:val="18"/>
              </w:rPr>
            </w:pPr>
          </w:p>
        </w:tc>
        <w:tc>
          <w:tcPr>
            <w:tcW w:w="2514" w:type="dxa"/>
            <w:gridSpan w:val="3"/>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20</w:t>
            </w:r>
          </w:p>
        </w:tc>
      </w:tr>
      <w:tr w:rsidR="00D228BE" w:rsidRPr="00677D1F">
        <w:trPr>
          <w:trHeight w:val="340"/>
          <w:jc w:val="center"/>
        </w:trPr>
        <w:tc>
          <w:tcPr>
            <w:tcW w:w="1157" w:type="dxa"/>
            <w:vMerge w:val="restart"/>
            <w:tcBorders>
              <w:top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声环境</w:t>
            </w:r>
          </w:p>
        </w:tc>
        <w:tc>
          <w:tcPr>
            <w:tcW w:w="28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《声环境质量标准》</w:t>
            </w:r>
          </w:p>
          <w:p w:rsidR="00D228BE" w:rsidRPr="00677D1F" w:rsidRDefault="00332EB6" w:rsidP="00677D1F">
            <w:pPr>
              <w:pStyle w:val="TableParagraph"/>
              <w:contextualSpacing/>
              <w:jc w:val="center"/>
              <w:rPr>
                <w:sz w:val="18"/>
                <w:szCs w:val="18"/>
              </w:rPr>
            </w:pPr>
            <w:r w:rsidRPr="00677D1F">
              <w:rPr>
                <w:sz w:val="18"/>
                <w:szCs w:val="18"/>
              </w:rPr>
              <w:t>（</w:t>
            </w:r>
            <w:r w:rsidRPr="00677D1F">
              <w:rPr>
                <w:rFonts w:ascii="Times New Roman" w:eastAsia="Times New Roman"/>
                <w:sz w:val="18"/>
                <w:szCs w:val="18"/>
              </w:rPr>
              <w:t>GB3096-2008</w:t>
            </w:r>
            <w:r w:rsidRPr="00677D1F">
              <w:rPr>
                <w:sz w:val="18"/>
                <w:szCs w:val="18"/>
              </w:rPr>
              <w:t>）</w:t>
            </w:r>
            <w:r w:rsidRPr="00677D1F">
              <w:rPr>
                <w:rFonts w:ascii="Times New Roman" w:eastAsia="Times New Roman"/>
                <w:sz w:val="18"/>
                <w:szCs w:val="18"/>
              </w:rPr>
              <w:t xml:space="preserve">3 </w:t>
            </w:r>
            <w:r w:rsidRPr="00677D1F">
              <w:rPr>
                <w:sz w:val="18"/>
                <w:szCs w:val="18"/>
              </w:rPr>
              <w:t>类</w:t>
            </w:r>
          </w:p>
        </w:tc>
        <w:tc>
          <w:tcPr>
            <w:tcW w:w="1533" w:type="dxa"/>
            <w:vMerge w:val="restart"/>
            <w:tcBorders>
              <w:left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等效声级</w:t>
            </w:r>
          </w:p>
        </w:tc>
        <w:tc>
          <w:tcPr>
            <w:tcW w:w="1034" w:type="dxa"/>
            <w:vMerge w:val="restart"/>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dB(A)</w:t>
            </w:r>
          </w:p>
        </w:tc>
        <w:tc>
          <w:tcPr>
            <w:tcW w:w="114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昼间</w:t>
            </w:r>
          </w:p>
        </w:tc>
        <w:tc>
          <w:tcPr>
            <w:tcW w:w="1374" w:type="dxa"/>
            <w:gridSpan w:val="2"/>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65</w:t>
            </w:r>
          </w:p>
        </w:tc>
      </w:tr>
      <w:tr w:rsidR="00D228BE" w:rsidRPr="00677D1F">
        <w:trPr>
          <w:trHeight w:val="340"/>
          <w:jc w:val="center"/>
        </w:trPr>
        <w:tc>
          <w:tcPr>
            <w:tcW w:w="1157" w:type="dxa"/>
            <w:vMerge/>
            <w:tcBorders>
              <w:right w:val="single" w:sz="6" w:space="0" w:color="000000"/>
            </w:tcBorders>
            <w:vAlign w:val="center"/>
          </w:tcPr>
          <w:p w:rsidR="00D228BE" w:rsidRPr="00677D1F" w:rsidRDefault="00D228BE" w:rsidP="00677D1F">
            <w:pPr>
              <w:pStyle w:val="TableParagraph"/>
              <w:contextualSpacing/>
              <w:jc w:val="center"/>
              <w:rPr>
                <w:sz w:val="18"/>
                <w:szCs w:val="18"/>
              </w:rPr>
            </w:pPr>
          </w:p>
        </w:tc>
        <w:tc>
          <w:tcPr>
            <w:tcW w:w="2833" w:type="dxa"/>
            <w:vMerge/>
            <w:tcBorders>
              <w:left w:val="single" w:sz="6" w:space="0" w:color="000000"/>
              <w:right w:val="single" w:sz="6" w:space="0" w:color="000000"/>
            </w:tcBorders>
            <w:vAlign w:val="center"/>
          </w:tcPr>
          <w:p w:rsidR="00D228BE" w:rsidRPr="00677D1F" w:rsidRDefault="00D228BE" w:rsidP="00677D1F">
            <w:pPr>
              <w:pStyle w:val="TableParagraph"/>
              <w:contextualSpacing/>
              <w:jc w:val="center"/>
              <w:rPr>
                <w:sz w:val="18"/>
                <w:szCs w:val="18"/>
              </w:rPr>
            </w:pPr>
          </w:p>
        </w:tc>
        <w:tc>
          <w:tcPr>
            <w:tcW w:w="1533" w:type="dxa"/>
            <w:vMerge/>
            <w:tcBorders>
              <w:left w:val="single" w:sz="6" w:space="0" w:color="000000"/>
              <w:right w:val="single" w:sz="6" w:space="0" w:color="000000"/>
            </w:tcBorders>
            <w:vAlign w:val="center"/>
          </w:tcPr>
          <w:p w:rsidR="00D228BE" w:rsidRPr="00677D1F" w:rsidRDefault="00D228BE" w:rsidP="00677D1F">
            <w:pPr>
              <w:pStyle w:val="TableParagraph"/>
              <w:contextualSpacing/>
              <w:jc w:val="center"/>
              <w:rPr>
                <w:sz w:val="18"/>
                <w:szCs w:val="18"/>
              </w:rPr>
            </w:pPr>
          </w:p>
        </w:tc>
        <w:tc>
          <w:tcPr>
            <w:tcW w:w="1034" w:type="dxa"/>
            <w:vMerge/>
            <w:tcBorders>
              <w:left w:val="single" w:sz="6" w:space="0" w:color="000000"/>
              <w:right w:val="single" w:sz="6" w:space="0" w:color="000000"/>
            </w:tcBorders>
            <w:vAlign w:val="center"/>
          </w:tcPr>
          <w:p w:rsidR="00D228BE" w:rsidRPr="00677D1F" w:rsidRDefault="00D228BE" w:rsidP="00677D1F">
            <w:pPr>
              <w:pStyle w:val="TableParagraph"/>
              <w:contextualSpacing/>
              <w:jc w:val="center"/>
              <w:rPr>
                <w:rFonts w:ascii="Times New Roman"/>
                <w:sz w:val="18"/>
                <w:szCs w:val="18"/>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eastAsia="宋体"/>
                <w:sz w:val="18"/>
                <w:szCs w:val="18"/>
              </w:rPr>
            </w:pPr>
            <w:r w:rsidRPr="00677D1F">
              <w:rPr>
                <w:rFonts w:eastAsia="宋体" w:hint="eastAsia"/>
                <w:sz w:val="18"/>
                <w:szCs w:val="18"/>
              </w:rPr>
              <w:t>夜间</w:t>
            </w:r>
          </w:p>
        </w:tc>
        <w:tc>
          <w:tcPr>
            <w:tcW w:w="1374" w:type="dxa"/>
            <w:gridSpan w:val="2"/>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imes New Roman" w:eastAsia="宋体"/>
                <w:sz w:val="18"/>
                <w:szCs w:val="18"/>
                <w:lang w:val="en-US"/>
              </w:rPr>
            </w:pPr>
            <w:r w:rsidRPr="00677D1F">
              <w:rPr>
                <w:rFonts w:ascii="Times New Roman" w:eastAsia="宋体" w:hint="eastAsia"/>
                <w:sz w:val="18"/>
                <w:szCs w:val="18"/>
                <w:lang w:val="en-US"/>
              </w:rPr>
              <w:t>55</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（2）排放标准</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施工阶段产生的颗粒物排放执行《大气污染物综合排放标准》（</w:t>
      </w:r>
      <w:r w:rsidRPr="00677D1F">
        <w:rPr>
          <w:rFonts w:asciiTheme="minorEastAsia" w:hAnsiTheme="minorEastAsia" w:cs="Times New Roman"/>
          <w:color w:val="000000"/>
          <w:kern w:val="0"/>
          <w:sz w:val="24"/>
          <w:szCs w:val="24"/>
        </w:rPr>
        <w:t>GB16297-1996</w:t>
      </w:r>
      <w:r w:rsidRPr="00677D1F">
        <w:rPr>
          <w:rFonts w:asciiTheme="minorEastAsia" w:hAnsiTheme="minorEastAsia" w:cs="宋体" w:hint="eastAsia"/>
          <w:color w:val="000000"/>
          <w:kern w:val="0"/>
          <w:sz w:val="24"/>
          <w:szCs w:val="24"/>
        </w:rPr>
        <w:t>）表</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颗粒物无组织排放周界外浓度最高点；海绵钛生产过程产生的大气污染物排放执行《镁、钛工业水污染物排放标准》</w:t>
      </w:r>
      <w:r w:rsidRPr="00677D1F">
        <w:rPr>
          <w:rFonts w:asciiTheme="minorEastAsia" w:hAnsiTheme="minorEastAsia" w:cs="Times New Roman"/>
          <w:color w:val="000000"/>
          <w:kern w:val="0"/>
          <w:sz w:val="24"/>
          <w:szCs w:val="24"/>
        </w:rPr>
        <w:t>（GB25468-2010）</w:t>
      </w:r>
      <w:r w:rsidRPr="00677D1F">
        <w:rPr>
          <w:rFonts w:asciiTheme="minorEastAsia" w:hAnsiTheme="minorEastAsia" w:cs="宋体" w:hint="eastAsia"/>
          <w:color w:val="000000"/>
          <w:kern w:val="0"/>
          <w:sz w:val="24"/>
          <w:szCs w:val="24"/>
        </w:rPr>
        <w:t>中“表</w:t>
      </w:r>
      <w:r w:rsidRPr="00677D1F">
        <w:rPr>
          <w:rFonts w:asciiTheme="minorEastAsia" w:hAnsiTheme="minorEastAsia" w:cs="Times New Roman"/>
          <w:color w:val="000000"/>
          <w:kern w:val="0"/>
          <w:sz w:val="24"/>
          <w:szCs w:val="24"/>
        </w:rPr>
        <w:t>5</w:t>
      </w:r>
      <w:r w:rsidRPr="00677D1F">
        <w:rPr>
          <w:rFonts w:asciiTheme="minorEastAsia" w:hAnsiTheme="minorEastAsia" w:cs="宋体" w:hint="eastAsia"/>
          <w:color w:val="000000"/>
          <w:kern w:val="0"/>
          <w:sz w:val="24"/>
          <w:szCs w:val="24"/>
        </w:rPr>
        <w:t>新建企业大气污染物排放浓度限值”；根据《镁、钛工业水污染物排放标准》</w:t>
      </w:r>
      <w:r w:rsidRPr="00677D1F">
        <w:rPr>
          <w:rFonts w:asciiTheme="minorEastAsia" w:hAnsiTheme="minorEastAsia" w:cs="Times New Roman"/>
          <w:color w:val="000000"/>
          <w:kern w:val="0"/>
          <w:sz w:val="24"/>
          <w:szCs w:val="24"/>
        </w:rPr>
        <w:t>（GB25468-2010）</w:t>
      </w:r>
      <w:r w:rsidRPr="00677D1F">
        <w:rPr>
          <w:rFonts w:asciiTheme="minorEastAsia" w:hAnsiTheme="minorEastAsia" w:cs="宋体" w:hint="eastAsia"/>
          <w:color w:val="000000"/>
          <w:kern w:val="0"/>
          <w:sz w:val="24"/>
          <w:szCs w:val="24"/>
        </w:rPr>
        <w:t>适用范围的规定：本标准不适用于镁、钛再生及压延加工等工业，也不适用于附属于镁、钛企业的非特征生产工艺和装置，因此氯气生产产生的工艺污染物排放执行《大气污染物综合排放标准》（</w:t>
      </w:r>
      <w:r w:rsidRPr="00677D1F">
        <w:rPr>
          <w:rFonts w:asciiTheme="minorEastAsia" w:hAnsiTheme="minorEastAsia" w:cs="Times New Roman"/>
          <w:color w:val="000000"/>
          <w:kern w:val="0"/>
          <w:sz w:val="24"/>
          <w:szCs w:val="24"/>
        </w:rPr>
        <w:t>GB16297-1996</w:t>
      </w:r>
      <w:r w:rsidRPr="00677D1F">
        <w:rPr>
          <w:rFonts w:asciiTheme="minorEastAsia" w:hAnsiTheme="minorEastAsia" w:cs="宋体" w:hint="eastAsia"/>
          <w:color w:val="000000"/>
          <w:kern w:val="0"/>
          <w:sz w:val="24"/>
          <w:szCs w:val="24"/>
        </w:rPr>
        <w:t>）中“表</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新污染源大气污染物排放限值”的二级标准；熔铸钛合金生产产生的大气污染物排放执行《铁合金工业污染物排放标准》</w:t>
      </w:r>
      <w:r w:rsidRPr="00677D1F">
        <w:rPr>
          <w:rFonts w:asciiTheme="minorEastAsia" w:hAnsiTheme="minorEastAsia" w:cs="Times New Roman"/>
          <w:color w:val="000000"/>
          <w:kern w:val="0"/>
          <w:sz w:val="24"/>
          <w:szCs w:val="24"/>
        </w:rPr>
        <w:t>（GB28666-2012）</w:t>
      </w:r>
      <w:r w:rsidRPr="00677D1F">
        <w:rPr>
          <w:rFonts w:asciiTheme="minorEastAsia" w:hAnsiTheme="minorEastAsia" w:cs="宋体" w:hint="eastAsia"/>
          <w:color w:val="000000"/>
          <w:kern w:val="0"/>
          <w:sz w:val="24"/>
          <w:szCs w:val="24"/>
        </w:rPr>
        <w:t>中““表</w:t>
      </w:r>
      <w:r w:rsidRPr="00677D1F">
        <w:rPr>
          <w:rFonts w:asciiTheme="minorEastAsia" w:hAnsiTheme="minorEastAsia" w:cs="Times New Roman"/>
          <w:color w:val="000000"/>
          <w:kern w:val="0"/>
          <w:sz w:val="24"/>
          <w:szCs w:val="24"/>
        </w:rPr>
        <w:t>5</w:t>
      </w:r>
      <w:r w:rsidRPr="00677D1F">
        <w:rPr>
          <w:rFonts w:asciiTheme="minorEastAsia" w:hAnsiTheme="minorEastAsia" w:cs="宋体" w:hint="eastAsia"/>
          <w:color w:val="000000"/>
          <w:kern w:val="0"/>
          <w:sz w:val="24"/>
          <w:szCs w:val="24"/>
        </w:rPr>
        <w:t>新建企业大气污染物排放浓度限值”；根据《铸造行业准入条件》相关规定，生产的钛合金加工产生的大气污染物排放执行《工业炉窑大气污染物排放标准》（</w:t>
      </w:r>
      <w:r w:rsidRPr="00677D1F">
        <w:rPr>
          <w:rFonts w:asciiTheme="minorEastAsia" w:hAnsiTheme="minorEastAsia" w:cs="Times New Roman"/>
          <w:color w:val="000000"/>
          <w:kern w:val="0"/>
          <w:sz w:val="24"/>
          <w:szCs w:val="24"/>
        </w:rPr>
        <w:t>GB9078-1996</w:t>
      </w:r>
      <w:r w:rsidRPr="00677D1F">
        <w:rPr>
          <w:rFonts w:asciiTheme="minorEastAsia" w:hAnsiTheme="minorEastAsia" w:cs="宋体" w:hint="eastAsia"/>
          <w:color w:val="000000"/>
          <w:kern w:val="0"/>
          <w:sz w:val="24"/>
          <w:szCs w:val="24"/>
        </w:rPr>
        <w:t>）中“</w:t>
      </w:r>
      <w:r w:rsidRPr="00677D1F">
        <w:rPr>
          <w:rFonts w:asciiTheme="minorEastAsia" w:hAnsiTheme="minorEastAsia" w:cs="Times New Roman"/>
          <w:color w:val="000000"/>
          <w:kern w:val="0"/>
          <w:sz w:val="24"/>
          <w:szCs w:val="24"/>
        </w:rPr>
        <w:t>1997</w:t>
      </w:r>
      <w:r w:rsidRPr="00677D1F">
        <w:rPr>
          <w:rFonts w:asciiTheme="minorEastAsia" w:hAnsiTheme="minorEastAsia" w:cs="宋体" w:hint="eastAsia"/>
          <w:color w:val="000000"/>
          <w:kern w:val="0"/>
          <w:sz w:val="24"/>
          <w:szCs w:val="24"/>
        </w:rPr>
        <w:t>年</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月</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日起新、改、扩建的工业炉窑“的二级标准和《大气污染物综合排放标准》（</w:t>
      </w:r>
      <w:r w:rsidRPr="00677D1F">
        <w:rPr>
          <w:rFonts w:asciiTheme="minorEastAsia" w:hAnsiTheme="minorEastAsia" w:cs="Times New Roman"/>
          <w:color w:val="000000"/>
          <w:kern w:val="0"/>
          <w:sz w:val="24"/>
          <w:szCs w:val="24"/>
        </w:rPr>
        <w:t>GB16297-1996</w:t>
      </w:r>
      <w:r w:rsidRPr="00677D1F">
        <w:rPr>
          <w:rFonts w:asciiTheme="minorEastAsia" w:hAnsiTheme="minorEastAsia" w:cs="宋体" w:hint="eastAsia"/>
          <w:color w:val="000000"/>
          <w:kern w:val="0"/>
          <w:sz w:val="24"/>
          <w:szCs w:val="24"/>
        </w:rPr>
        <w:t>）中“表</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新污染源大气污染物排放限值”的二级标准。考虑项目最主要污染物来自海绵生产系统，因此整个厂区边界的</w:t>
      </w:r>
      <w:r w:rsidRPr="00677D1F">
        <w:rPr>
          <w:rFonts w:asciiTheme="minorEastAsia" w:hAnsiTheme="minorEastAsia" w:cs="Times New Roman"/>
          <w:color w:val="000000"/>
          <w:kern w:val="0"/>
          <w:sz w:val="24"/>
          <w:szCs w:val="24"/>
        </w:rPr>
        <w:t>1h</w:t>
      </w:r>
      <w:r w:rsidRPr="00677D1F">
        <w:rPr>
          <w:rFonts w:asciiTheme="minorEastAsia" w:hAnsiTheme="minorEastAsia" w:cs="宋体" w:hint="eastAsia"/>
          <w:color w:val="000000"/>
          <w:kern w:val="0"/>
          <w:sz w:val="24"/>
          <w:szCs w:val="24"/>
        </w:rPr>
        <w:t>大气污染物的无组织排放执行《镁、钛工业水污</w:t>
      </w:r>
      <w:r w:rsidRPr="00677D1F">
        <w:rPr>
          <w:rFonts w:asciiTheme="minorEastAsia" w:hAnsiTheme="minorEastAsia" w:cs="宋体" w:hint="eastAsia"/>
          <w:color w:val="000000"/>
          <w:kern w:val="0"/>
          <w:sz w:val="24"/>
          <w:szCs w:val="24"/>
        </w:rPr>
        <w:lastRenderedPageBreak/>
        <w:t>染物排放标准》</w:t>
      </w:r>
      <w:r w:rsidRPr="00677D1F">
        <w:rPr>
          <w:rFonts w:asciiTheme="minorEastAsia" w:hAnsiTheme="minorEastAsia" w:cs="Times New Roman"/>
          <w:color w:val="000000"/>
          <w:kern w:val="0"/>
          <w:sz w:val="24"/>
          <w:szCs w:val="24"/>
        </w:rPr>
        <w:t>（GB25468-2010）</w:t>
      </w:r>
      <w:r w:rsidRPr="00677D1F">
        <w:rPr>
          <w:rFonts w:asciiTheme="minorEastAsia" w:hAnsiTheme="minorEastAsia" w:cs="宋体" w:hint="eastAsia"/>
          <w:color w:val="000000"/>
          <w:kern w:val="0"/>
          <w:sz w:val="24"/>
          <w:szCs w:val="24"/>
        </w:rPr>
        <w:t>中“表7现有和新建企业大气污染物无组织排放浓度限值”。</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建筑施工过程中施工噪声排放执行《建筑施工场界环境噪声排放标准》（</w:t>
      </w:r>
      <w:r w:rsidRPr="00677D1F">
        <w:rPr>
          <w:rFonts w:asciiTheme="minorEastAsia" w:hAnsiTheme="minorEastAsia" w:cs="Times New Roman"/>
          <w:color w:val="000000"/>
          <w:kern w:val="0"/>
          <w:sz w:val="24"/>
          <w:szCs w:val="24"/>
        </w:rPr>
        <w:t>GB12523-2011</w:t>
      </w:r>
      <w:r w:rsidRPr="00677D1F">
        <w:rPr>
          <w:rFonts w:asciiTheme="minorEastAsia" w:hAnsiTheme="minorEastAsia" w:cs="宋体" w:hint="eastAsia"/>
          <w:color w:val="000000"/>
          <w:kern w:val="0"/>
          <w:sz w:val="24"/>
          <w:szCs w:val="24"/>
        </w:rPr>
        <w:t>）中环境噪声排放限值规定，即昼间</w:t>
      </w:r>
      <w:r w:rsidRPr="00677D1F">
        <w:rPr>
          <w:rFonts w:asciiTheme="minorEastAsia" w:hAnsiTheme="minorEastAsia" w:cs="Times New Roman"/>
          <w:color w:val="000000"/>
          <w:kern w:val="0"/>
          <w:sz w:val="24"/>
          <w:szCs w:val="24"/>
        </w:rPr>
        <w:t>≤70dB</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A</w:t>
      </w:r>
      <w:r w:rsidRPr="00677D1F">
        <w:rPr>
          <w:rFonts w:asciiTheme="minorEastAsia" w:hAnsiTheme="minorEastAsia" w:cs="宋体" w:hint="eastAsia"/>
          <w:color w:val="000000"/>
          <w:kern w:val="0"/>
          <w:sz w:val="24"/>
          <w:szCs w:val="24"/>
        </w:rPr>
        <w:t>），夜间</w:t>
      </w:r>
      <w:r w:rsidRPr="00677D1F">
        <w:rPr>
          <w:rFonts w:asciiTheme="minorEastAsia" w:hAnsiTheme="minorEastAsia" w:cs="Times New Roman"/>
          <w:color w:val="000000"/>
          <w:kern w:val="0"/>
          <w:sz w:val="24"/>
          <w:szCs w:val="24"/>
        </w:rPr>
        <w:t>≤55dB</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A</w:t>
      </w:r>
      <w:r w:rsidRPr="00677D1F">
        <w:rPr>
          <w:rFonts w:asciiTheme="minorEastAsia" w:hAnsiTheme="minorEastAsia" w:cs="宋体" w:hint="eastAsia"/>
          <w:color w:val="000000"/>
          <w:kern w:val="0"/>
          <w:sz w:val="24"/>
          <w:szCs w:val="24"/>
        </w:rPr>
        <w:t>）；运营期厂界噪声排放标准执行《工业企业厂界环境噪声排放标准》（</w:t>
      </w:r>
      <w:r w:rsidRPr="00677D1F">
        <w:rPr>
          <w:rFonts w:asciiTheme="minorEastAsia" w:hAnsiTheme="minorEastAsia" w:cs="Times New Roman"/>
          <w:color w:val="000000"/>
          <w:kern w:val="0"/>
          <w:sz w:val="24"/>
          <w:szCs w:val="24"/>
        </w:rPr>
        <w:t>GB12348-2008</w:t>
      </w:r>
      <w:r w:rsidRPr="00677D1F">
        <w:rPr>
          <w:rFonts w:asciiTheme="minorEastAsia" w:hAnsiTheme="minorEastAsia" w:cs="宋体" w:hint="eastAsia"/>
          <w:color w:val="000000"/>
          <w:kern w:val="0"/>
          <w:sz w:val="24"/>
          <w:szCs w:val="24"/>
        </w:rPr>
        <w:t>）厂界外</w:t>
      </w: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类声环境功能区环境噪声排放限值，即昼间</w:t>
      </w:r>
      <w:r w:rsidRPr="00677D1F">
        <w:rPr>
          <w:rFonts w:asciiTheme="minorEastAsia" w:hAnsiTheme="minorEastAsia" w:cs="Times New Roman"/>
          <w:color w:val="000000"/>
          <w:kern w:val="0"/>
          <w:sz w:val="24"/>
          <w:szCs w:val="24"/>
        </w:rPr>
        <w:t>≤65dB</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A</w:t>
      </w:r>
      <w:r w:rsidRPr="00677D1F">
        <w:rPr>
          <w:rFonts w:asciiTheme="minorEastAsia" w:hAnsiTheme="minorEastAsia" w:cs="宋体" w:hint="eastAsia"/>
          <w:color w:val="000000"/>
          <w:kern w:val="0"/>
          <w:sz w:val="24"/>
          <w:szCs w:val="24"/>
        </w:rPr>
        <w:t>），夜间</w:t>
      </w:r>
      <w:r w:rsidRPr="00677D1F">
        <w:rPr>
          <w:rFonts w:asciiTheme="minorEastAsia" w:hAnsiTheme="minorEastAsia" w:cs="Times New Roman"/>
          <w:color w:val="000000"/>
          <w:kern w:val="0"/>
          <w:sz w:val="24"/>
          <w:szCs w:val="24"/>
        </w:rPr>
        <w:t>≤55dB</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本项目产生的生产废水和生活污水到厂区污水处理站处理后厂区回用，不外排。根据《镁、钛工业水污染物排放标准》</w:t>
      </w:r>
      <w:r w:rsidRPr="00677D1F">
        <w:rPr>
          <w:rFonts w:asciiTheme="minorEastAsia" w:hAnsiTheme="minorEastAsia" w:cs="Times New Roman"/>
          <w:color w:val="000000"/>
          <w:kern w:val="0"/>
          <w:sz w:val="24"/>
          <w:szCs w:val="24"/>
        </w:rPr>
        <w:t>（GB25468-2010）</w:t>
      </w:r>
      <w:r w:rsidRPr="00677D1F">
        <w:rPr>
          <w:rFonts w:asciiTheme="minorEastAsia" w:hAnsiTheme="minorEastAsia" w:cs="宋体" w:hint="eastAsia"/>
          <w:color w:val="000000"/>
          <w:kern w:val="0"/>
          <w:sz w:val="24"/>
          <w:szCs w:val="24"/>
        </w:rPr>
        <w:t>的规定：在企业的生产设施同时生产两种以上产品、可适用不同排放控制要求或不同行业国家污染物排放标准，且生产设施产生的污水混合处理排放的情况下，应执行排放标准中规定的最严格的浓度限值，若废水排放到园区废水处理系统，则废水排放中的污染物执行《镁、钛工业水污染物排放标准》</w:t>
      </w:r>
      <w:r w:rsidRPr="00677D1F">
        <w:rPr>
          <w:rFonts w:asciiTheme="minorEastAsia" w:hAnsiTheme="minorEastAsia" w:cs="Times New Roman"/>
          <w:color w:val="000000"/>
          <w:kern w:val="0"/>
          <w:sz w:val="24"/>
          <w:szCs w:val="24"/>
        </w:rPr>
        <w:t>（GB25468-2010）</w:t>
      </w:r>
      <w:r w:rsidRPr="00677D1F">
        <w:rPr>
          <w:rFonts w:asciiTheme="minorEastAsia" w:hAnsiTheme="minorEastAsia" w:cs="宋体" w:hint="eastAsia"/>
          <w:color w:val="000000"/>
          <w:kern w:val="0"/>
          <w:sz w:val="24"/>
          <w:szCs w:val="24"/>
        </w:rPr>
        <w:t>和《铁合金工业污染物排放标准》中间接排放标准</w:t>
      </w:r>
      <w:r w:rsidRPr="00677D1F">
        <w:rPr>
          <w:rFonts w:asciiTheme="minorEastAsia" w:hAnsiTheme="minorEastAsia" w:cs="Times New Roman"/>
          <w:color w:val="000000"/>
          <w:kern w:val="0"/>
          <w:sz w:val="24"/>
          <w:szCs w:val="24"/>
        </w:rPr>
        <w:t>（GB28666-2012）</w:t>
      </w:r>
      <w:r w:rsidRPr="00677D1F">
        <w:rPr>
          <w:rFonts w:asciiTheme="minorEastAsia" w:hAnsiTheme="minorEastAsia" w:cs="宋体" w:hint="eastAsia"/>
          <w:color w:val="000000"/>
          <w:kern w:val="0"/>
          <w:sz w:val="24"/>
          <w:szCs w:val="24"/>
        </w:rPr>
        <w:t>及《烧碱、聚氯乙烯工业水污染物排放标准》</w:t>
      </w:r>
      <w:r w:rsidRPr="00677D1F">
        <w:rPr>
          <w:rFonts w:asciiTheme="minorEastAsia" w:hAnsiTheme="minorEastAsia" w:cs="Times New Roman"/>
          <w:color w:val="000000"/>
          <w:kern w:val="0"/>
          <w:sz w:val="24"/>
          <w:szCs w:val="24"/>
        </w:rPr>
        <w:t>（GB15581-95）</w:t>
      </w:r>
      <w:r w:rsidRPr="00677D1F">
        <w:rPr>
          <w:rFonts w:asciiTheme="minorEastAsia" w:hAnsiTheme="minorEastAsia" w:cs="宋体" w:hint="eastAsia"/>
          <w:color w:val="000000"/>
          <w:kern w:val="0"/>
          <w:sz w:val="24"/>
          <w:szCs w:val="24"/>
        </w:rPr>
        <w:t>和《污水综合排放标准》（</w:t>
      </w:r>
      <w:r w:rsidRPr="00677D1F">
        <w:rPr>
          <w:rFonts w:asciiTheme="minorEastAsia" w:hAnsiTheme="minorEastAsia" w:cs="Times New Roman"/>
          <w:color w:val="000000"/>
          <w:kern w:val="0"/>
          <w:sz w:val="24"/>
          <w:szCs w:val="24"/>
        </w:rPr>
        <w:t>GB8978-1996</w:t>
      </w:r>
      <w:r w:rsidRPr="00677D1F">
        <w:rPr>
          <w:rFonts w:asciiTheme="minorEastAsia" w:hAnsiTheme="minorEastAsia" w:cs="宋体" w:hint="eastAsia"/>
          <w:color w:val="000000"/>
          <w:kern w:val="0"/>
          <w:sz w:val="24"/>
          <w:szCs w:val="24"/>
        </w:rPr>
        <w:t>）中三级标准的各标准规定的最严格的浓度限值，但本项目废水处理后用于厂区循环冷却补充用水，因此执行《再生水水质标准》（</w:t>
      </w:r>
      <w:r w:rsidRPr="00677D1F">
        <w:rPr>
          <w:rFonts w:asciiTheme="minorEastAsia" w:hAnsiTheme="minorEastAsia" w:cs="Times New Roman"/>
          <w:color w:val="000000"/>
          <w:kern w:val="0"/>
          <w:sz w:val="24"/>
          <w:szCs w:val="24"/>
        </w:rPr>
        <w:t>SL368-2006</w:t>
      </w:r>
      <w:r w:rsidRPr="00677D1F">
        <w:rPr>
          <w:rFonts w:asciiTheme="minorEastAsia" w:hAnsiTheme="minorEastAsia" w:cs="宋体" w:hint="eastAsia"/>
          <w:color w:val="000000"/>
          <w:kern w:val="0"/>
          <w:sz w:val="24"/>
          <w:szCs w:val="24"/>
        </w:rPr>
        <w:t>）中的“再生水利用于工业用水控制项目及指标”中的冷却用水控制指标值。</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本工程产生的各种固体废物的性质和去向，生活垃圾执行《生活垃圾填埋污染控制标准》（GB16889-2008）、一般工业固体废物执行《一般工业固体废物贮存、处置场所污染控制标准》（GB18599-2001）。企业产生的危险废物应按照《国家危险废物名录》法规，设置规范的分类收集容器（罐、场）进行分类收集，并交给有资质处置相关危险废物的机构实施无害化处置。危险废物在场地内临时贮存、处置执行《危险废物贮存污染物控制标准》（</w:t>
      </w:r>
      <w:r w:rsidRPr="00677D1F">
        <w:rPr>
          <w:rFonts w:asciiTheme="minorEastAsia" w:hAnsiTheme="minorEastAsia" w:cs="Times New Roman"/>
          <w:color w:val="000000"/>
          <w:kern w:val="0"/>
          <w:sz w:val="24"/>
          <w:szCs w:val="24"/>
        </w:rPr>
        <w:t>GB18597-2001</w:t>
      </w:r>
      <w:r w:rsidRPr="00677D1F">
        <w:rPr>
          <w:rFonts w:asciiTheme="minorEastAsia" w:hAnsiTheme="minorEastAsia" w:cs="宋体" w:hint="eastAsia"/>
          <w:color w:val="000000"/>
          <w:kern w:val="0"/>
          <w:sz w:val="24"/>
          <w:szCs w:val="24"/>
        </w:rPr>
        <w:t>）及《危险废物鉴别标准》（</w:t>
      </w:r>
      <w:r w:rsidRPr="00677D1F">
        <w:rPr>
          <w:rFonts w:asciiTheme="minorEastAsia" w:hAnsiTheme="minorEastAsia" w:cs="Times New Roman"/>
          <w:color w:val="000000"/>
          <w:kern w:val="0"/>
          <w:sz w:val="24"/>
          <w:szCs w:val="24"/>
        </w:rPr>
        <w:t>GB5085.1</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5085.7</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2007</w:t>
      </w:r>
      <w:r w:rsidRPr="00677D1F">
        <w:rPr>
          <w:rFonts w:asciiTheme="minorEastAsia" w:hAnsiTheme="minorEastAsia" w:cs="宋体" w:hint="eastAsia"/>
          <w:color w:val="000000"/>
          <w:kern w:val="0"/>
          <w:sz w:val="24"/>
          <w:szCs w:val="24"/>
        </w:rPr>
        <w:t>）；危险废物的转移依照《危险废物转移联单管理办法》（国家环境保护总局令第</w:t>
      </w:r>
      <w:r w:rsidRPr="00677D1F">
        <w:rPr>
          <w:rFonts w:asciiTheme="minorEastAsia" w:hAnsiTheme="minorEastAsia" w:cs="Times New Roman"/>
          <w:color w:val="000000"/>
          <w:kern w:val="0"/>
          <w:sz w:val="24"/>
          <w:szCs w:val="24"/>
        </w:rPr>
        <w:t>5</w:t>
      </w:r>
      <w:r w:rsidRPr="00677D1F">
        <w:rPr>
          <w:rFonts w:asciiTheme="minorEastAsia" w:hAnsiTheme="minorEastAsia" w:cs="宋体" w:hint="eastAsia"/>
          <w:color w:val="000000"/>
          <w:kern w:val="0"/>
          <w:sz w:val="24"/>
          <w:szCs w:val="24"/>
        </w:rPr>
        <w:t>号）进行监督和管理。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拟建项目执行的排放标准详见表</w:t>
      </w:r>
      <w:r w:rsidRPr="00677D1F">
        <w:rPr>
          <w:rFonts w:asciiTheme="minorEastAsia" w:hAnsiTheme="minorEastAsia" w:cs="Times New Roman"/>
          <w:color w:val="000000"/>
          <w:kern w:val="0"/>
          <w:sz w:val="24"/>
          <w:szCs w:val="24"/>
        </w:rPr>
        <w:t>2.3-5</w:t>
      </w:r>
      <w:r w:rsidRPr="00677D1F">
        <w:rPr>
          <w:rFonts w:asciiTheme="minorEastAsia" w:hAnsiTheme="minorEastAsia" w:cs="宋体" w:hint="eastAsia"/>
          <w:color w:val="000000"/>
          <w:kern w:val="0"/>
          <w:sz w:val="24"/>
          <w:szCs w:val="24"/>
        </w:rPr>
        <w:t>。</w:t>
      </w: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表2.3-5排放标准一览表</w:t>
      </w:r>
    </w:p>
    <w:tbl>
      <w:tblPr>
        <w:tblW w:w="9071"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47"/>
        <w:gridCol w:w="571"/>
        <w:gridCol w:w="764"/>
        <w:gridCol w:w="2286"/>
        <w:gridCol w:w="2477"/>
        <w:gridCol w:w="1526"/>
      </w:tblGrid>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b/>
                <w:bCs/>
                <w:sz w:val="18"/>
                <w:szCs w:val="18"/>
              </w:rPr>
            </w:pPr>
            <w:r w:rsidRPr="00677D1F">
              <w:rPr>
                <w:b/>
                <w:bCs/>
                <w:sz w:val="18"/>
                <w:szCs w:val="18"/>
              </w:rPr>
              <w:t>污染物类型</w:t>
            </w:r>
          </w:p>
        </w:tc>
        <w:tc>
          <w:tcPr>
            <w:tcW w:w="1335" w:type="dxa"/>
            <w:gridSpan w:val="2"/>
            <w:vAlign w:val="center"/>
          </w:tcPr>
          <w:p w:rsidR="00D228BE" w:rsidRPr="00677D1F" w:rsidRDefault="00332EB6" w:rsidP="00677D1F">
            <w:pPr>
              <w:pStyle w:val="TableParagraph"/>
              <w:contextualSpacing/>
              <w:jc w:val="center"/>
              <w:rPr>
                <w:b/>
                <w:bCs/>
                <w:sz w:val="18"/>
                <w:szCs w:val="18"/>
              </w:rPr>
            </w:pPr>
            <w:r w:rsidRPr="00677D1F">
              <w:rPr>
                <w:b/>
                <w:bCs/>
                <w:sz w:val="18"/>
                <w:szCs w:val="18"/>
              </w:rPr>
              <w:t>污染物</w:t>
            </w:r>
          </w:p>
        </w:tc>
        <w:tc>
          <w:tcPr>
            <w:tcW w:w="2286" w:type="dxa"/>
            <w:vAlign w:val="center"/>
          </w:tcPr>
          <w:p w:rsidR="00D228BE" w:rsidRPr="00677D1F" w:rsidRDefault="00332EB6" w:rsidP="00677D1F">
            <w:pPr>
              <w:pStyle w:val="TableParagraph"/>
              <w:contextualSpacing/>
              <w:jc w:val="center"/>
              <w:rPr>
                <w:b/>
                <w:bCs/>
                <w:sz w:val="18"/>
                <w:szCs w:val="18"/>
              </w:rPr>
            </w:pPr>
            <w:r w:rsidRPr="00677D1F">
              <w:rPr>
                <w:b/>
                <w:bCs/>
                <w:sz w:val="18"/>
                <w:szCs w:val="18"/>
              </w:rPr>
              <w:t>污染物排放浓度限值</w:t>
            </w:r>
          </w:p>
        </w:tc>
        <w:tc>
          <w:tcPr>
            <w:tcW w:w="2477" w:type="dxa"/>
            <w:vAlign w:val="center"/>
          </w:tcPr>
          <w:p w:rsidR="00D228BE" w:rsidRPr="00677D1F" w:rsidRDefault="00332EB6" w:rsidP="00677D1F">
            <w:pPr>
              <w:pStyle w:val="TableParagraph"/>
              <w:contextualSpacing/>
              <w:jc w:val="center"/>
              <w:rPr>
                <w:b/>
                <w:bCs/>
                <w:sz w:val="18"/>
                <w:szCs w:val="18"/>
              </w:rPr>
            </w:pPr>
            <w:r w:rsidRPr="00677D1F">
              <w:rPr>
                <w:b/>
                <w:bCs/>
                <w:sz w:val="18"/>
                <w:szCs w:val="18"/>
              </w:rPr>
              <w:t>标准来源</w:t>
            </w:r>
          </w:p>
        </w:tc>
        <w:tc>
          <w:tcPr>
            <w:tcW w:w="1526" w:type="dxa"/>
            <w:vAlign w:val="center"/>
          </w:tcPr>
          <w:p w:rsidR="00D228BE" w:rsidRPr="00677D1F" w:rsidRDefault="00332EB6" w:rsidP="00677D1F">
            <w:pPr>
              <w:pStyle w:val="TableParagraph"/>
              <w:contextualSpacing/>
              <w:jc w:val="center"/>
              <w:rPr>
                <w:b/>
                <w:bCs/>
                <w:sz w:val="18"/>
                <w:szCs w:val="18"/>
              </w:rPr>
            </w:pPr>
            <w:r w:rsidRPr="00677D1F">
              <w:rPr>
                <w:b/>
                <w:bCs/>
                <w:sz w:val="18"/>
                <w:szCs w:val="18"/>
              </w:rPr>
              <w:t>监控位置</w:t>
            </w:r>
          </w:p>
        </w:tc>
      </w:tr>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sz w:val="18"/>
                <w:szCs w:val="18"/>
              </w:rPr>
            </w:pPr>
            <w:r w:rsidRPr="00677D1F">
              <w:rPr>
                <w:sz w:val="18"/>
                <w:szCs w:val="18"/>
              </w:rPr>
              <w:t>施工尘</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1.0mg/m</w:t>
            </w:r>
            <w:r w:rsidRPr="00677D1F">
              <w:rPr>
                <w:rFonts w:eastAsia="宋体" w:hint="eastAsia"/>
                <w:sz w:val="18"/>
                <w:szCs w:val="18"/>
                <w:vertAlign w:val="superscript"/>
                <w:lang w:val="en-US"/>
              </w:rPr>
              <w:t>3</w:t>
            </w:r>
          </w:p>
        </w:tc>
        <w:tc>
          <w:tcPr>
            <w:tcW w:w="2477" w:type="dxa"/>
            <w:vAlign w:val="center"/>
          </w:tcPr>
          <w:p w:rsidR="00D228BE" w:rsidRPr="00677D1F" w:rsidRDefault="00332EB6" w:rsidP="00677D1F">
            <w:pPr>
              <w:pStyle w:val="TableParagraph"/>
              <w:contextualSpacing/>
              <w:jc w:val="center"/>
              <w:rPr>
                <w:sz w:val="18"/>
                <w:szCs w:val="18"/>
              </w:rPr>
            </w:pPr>
            <w:r w:rsidRPr="00677D1F">
              <w:rPr>
                <w:sz w:val="18"/>
                <w:szCs w:val="18"/>
              </w:rPr>
              <w:t>《大气污染物综合排放标准》（GB16297-1996）</w:t>
            </w:r>
          </w:p>
        </w:tc>
        <w:tc>
          <w:tcPr>
            <w:tcW w:w="1526" w:type="dxa"/>
            <w:vAlign w:val="center"/>
          </w:tcPr>
          <w:p w:rsidR="00D228BE" w:rsidRPr="00677D1F" w:rsidRDefault="00332EB6" w:rsidP="00677D1F">
            <w:pPr>
              <w:pStyle w:val="TableParagraph"/>
              <w:contextualSpacing/>
              <w:jc w:val="center"/>
              <w:rPr>
                <w:sz w:val="18"/>
                <w:szCs w:val="18"/>
              </w:rPr>
            </w:pPr>
            <w:r w:rsidRPr="00677D1F">
              <w:rPr>
                <w:sz w:val="18"/>
                <w:szCs w:val="18"/>
              </w:rPr>
              <w:t>厂界无组织监控点及对照点</w:t>
            </w:r>
          </w:p>
        </w:tc>
      </w:tr>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sz w:val="18"/>
                <w:szCs w:val="18"/>
              </w:rPr>
            </w:pPr>
            <w:r w:rsidRPr="00677D1F">
              <w:rPr>
                <w:sz w:val="18"/>
                <w:szCs w:val="18"/>
              </w:rPr>
              <w:t>海绵钛生产系统的原料贮存、输送、制备、配料等各产尘点</w:t>
            </w:r>
          </w:p>
          <w:p w:rsidR="00D228BE" w:rsidRPr="00677D1F" w:rsidRDefault="00332EB6" w:rsidP="00677D1F">
            <w:pPr>
              <w:pStyle w:val="TableParagraph"/>
              <w:contextualSpacing/>
              <w:jc w:val="center"/>
              <w:rPr>
                <w:sz w:val="18"/>
                <w:szCs w:val="18"/>
              </w:rPr>
            </w:pPr>
            <w:r w:rsidRPr="00677D1F">
              <w:rPr>
                <w:sz w:val="18"/>
                <w:szCs w:val="18"/>
              </w:rPr>
              <w:t>粉尘</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50mg/m</w:t>
            </w:r>
            <w:r w:rsidRPr="00677D1F">
              <w:rPr>
                <w:rFonts w:eastAsia="宋体" w:hint="eastAsia"/>
                <w:sz w:val="18"/>
                <w:szCs w:val="18"/>
                <w:vertAlign w:val="superscript"/>
                <w:lang w:val="en-US"/>
              </w:rPr>
              <w:t>3</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《镁、钛工业水污染物排 放 标 准 》(GB25468-2010)</w:t>
            </w:r>
          </w:p>
        </w:tc>
        <w:tc>
          <w:tcPr>
            <w:tcW w:w="1526" w:type="dxa"/>
            <w:vAlign w:val="center"/>
          </w:tcPr>
          <w:p w:rsidR="00D228BE" w:rsidRPr="00677D1F" w:rsidRDefault="00332EB6" w:rsidP="00677D1F">
            <w:pPr>
              <w:pStyle w:val="TableParagraph"/>
              <w:contextualSpacing/>
              <w:jc w:val="center"/>
              <w:rPr>
                <w:sz w:val="18"/>
                <w:szCs w:val="18"/>
              </w:rPr>
            </w:pPr>
            <w:r w:rsidRPr="00677D1F">
              <w:rPr>
                <w:sz w:val="18"/>
                <w:szCs w:val="18"/>
              </w:rPr>
              <w:t>生产设施排气筒采样口</w:t>
            </w: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高钛渣电炉烟气</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contextualSpacing/>
              <w:jc w:val="center"/>
              <w:rPr>
                <w:rFonts w:eastAsia="宋体"/>
                <w:sz w:val="18"/>
                <w:szCs w:val="18"/>
                <w:vertAlign w:val="superscript"/>
                <w:lang w:val="en-US"/>
              </w:rPr>
            </w:pPr>
            <w:r w:rsidRPr="00677D1F">
              <w:rPr>
                <w:sz w:val="18"/>
                <w:szCs w:val="18"/>
              </w:rPr>
              <w:t>70mg/m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污染物排放烟囱采样口</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400mg/m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氯化及精制尾气</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60mg/m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污染物排放烟囱采样口</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HCl</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80mg/m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镁生产( 镁电解槽、坩锅精炼炉、连 续 精 炼炉、还蒸等)</w:t>
            </w:r>
          </w:p>
          <w:p w:rsidR="00D228BE" w:rsidRPr="00677D1F" w:rsidRDefault="00332EB6" w:rsidP="00677D1F">
            <w:pPr>
              <w:pStyle w:val="TableParagraph"/>
              <w:contextualSpacing/>
              <w:jc w:val="center"/>
              <w:rPr>
                <w:sz w:val="18"/>
                <w:szCs w:val="18"/>
              </w:rPr>
            </w:pPr>
            <w:r w:rsidRPr="00677D1F">
              <w:rPr>
                <w:sz w:val="18"/>
                <w:szCs w:val="18"/>
              </w:rPr>
              <w:t>尾气</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70mg/m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污染物排放烟囱采样口</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400mg/m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60mg/m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HCl</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80mg/m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sz w:val="18"/>
                <w:szCs w:val="18"/>
              </w:rPr>
            </w:pPr>
            <w:r w:rsidRPr="00677D1F">
              <w:rPr>
                <w:sz w:val="18"/>
                <w:szCs w:val="18"/>
              </w:rPr>
              <w:t>氯气生产尾气</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2286" w:type="dxa"/>
            <w:vAlign w:val="center"/>
          </w:tcPr>
          <w:p w:rsidR="00D228BE" w:rsidRPr="00677D1F" w:rsidRDefault="00332EB6" w:rsidP="00677D1F">
            <w:pPr>
              <w:pStyle w:val="TableParagraph"/>
              <w:tabs>
                <w:tab w:val="left" w:pos="1842"/>
              </w:tabs>
              <w:contextualSpacing/>
              <w:jc w:val="center"/>
              <w:rPr>
                <w:sz w:val="18"/>
                <w:szCs w:val="18"/>
              </w:rPr>
            </w:pPr>
            <w:r w:rsidRPr="00677D1F">
              <w:rPr>
                <w:sz w:val="18"/>
                <w:szCs w:val="18"/>
              </w:rPr>
              <w:t>65mg/m</w:t>
            </w:r>
            <w:r w:rsidRPr="00677D1F">
              <w:rPr>
                <w:rFonts w:eastAsia="宋体" w:hint="eastAsia"/>
                <w:sz w:val="18"/>
                <w:szCs w:val="18"/>
                <w:vertAlign w:val="superscript"/>
                <w:lang w:val="en-US"/>
              </w:rPr>
              <w:t>3</w:t>
            </w:r>
            <w:r w:rsidRPr="00677D1F">
              <w:rPr>
                <w:sz w:val="18"/>
                <w:szCs w:val="18"/>
              </w:rPr>
              <w:t>、</w:t>
            </w:r>
          </w:p>
          <w:p w:rsidR="00D228BE" w:rsidRPr="00677D1F" w:rsidRDefault="00332EB6" w:rsidP="00677D1F">
            <w:pPr>
              <w:pStyle w:val="TableParagraph"/>
              <w:contextualSpacing/>
              <w:jc w:val="center"/>
              <w:rPr>
                <w:sz w:val="18"/>
                <w:szCs w:val="18"/>
              </w:rPr>
            </w:pPr>
            <w:r w:rsidRPr="00677D1F">
              <w:rPr>
                <w:sz w:val="18"/>
                <w:szCs w:val="18"/>
              </w:rPr>
              <w:t>0.52kg/h(25m)</w:t>
            </w:r>
          </w:p>
        </w:tc>
        <w:tc>
          <w:tcPr>
            <w:tcW w:w="2477" w:type="dxa"/>
            <w:vAlign w:val="center"/>
          </w:tcPr>
          <w:p w:rsidR="00D228BE" w:rsidRPr="00677D1F" w:rsidRDefault="00332EB6" w:rsidP="00677D1F">
            <w:pPr>
              <w:pStyle w:val="TableParagraph"/>
              <w:contextualSpacing/>
              <w:jc w:val="center"/>
              <w:rPr>
                <w:sz w:val="18"/>
                <w:szCs w:val="18"/>
              </w:rPr>
            </w:pPr>
            <w:r w:rsidRPr="00677D1F">
              <w:rPr>
                <w:sz w:val="18"/>
                <w:szCs w:val="18"/>
              </w:rPr>
              <w:t>《大气污染物综合排放标准》（GB16297-1996）</w:t>
            </w:r>
          </w:p>
        </w:tc>
        <w:tc>
          <w:tcPr>
            <w:tcW w:w="1526" w:type="dxa"/>
            <w:vAlign w:val="center"/>
          </w:tcPr>
          <w:p w:rsidR="00D228BE" w:rsidRPr="00677D1F" w:rsidRDefault="00332EB6" w:rsidP="00677D1F">
            <w:pPr>
              <w:pStyle w:val="TableParagraph"/>
              <w:contextualSpacing/>
              <w:jc w:val="center"/>
              <w:rPr>
                <w:sz w:val="18"/>
                <w:szCs w:val="18"/>
              </w:rPr>
            </w:pPr>
            <w:r w:rsidRPr="00677D1F">
              <w:rPr>
                <w:sz w:val="18"/>
                <w:szCs w:val="18"/>
              </w:rPr>
              <w:t>污染物排放烟囱采样口</w:t>
            </w:r>
          </w:p>
        </w:tc>
      </w:tr>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sz w:val="18"/>
                <w:szCs w:val="18"/>
              </w:rPr>
            </w:pPr>
            <w:r w:rsidRPr="00677D1F">
              <w:rPr>
                <w:sz w:val="18"/>
                <w:szCs w:val="18"/>
              </w:rPr>
              <w:t>铁合金熔炼烟气</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50mg/m</w:t>
            </w:r>
            <w:r w:rsidRPr="00677D1F">
              <w:rPr>
                <w:rFonts w:eastAsia="宋体" w:hint="eastAsia"/>
                <w:sz w:val="18"/>
                <w:szCs w:val="18"/>
                <w:vertAlign w:val="superscript"/>
                <w:lang w:val="en-US"/>
              </w:rPr>
              <w:t>3</w:t>
            </w:r>
          </w:p>
        </w:tc>
        <w:tc>
          <w:tcPr>
            <w:tcW w:w="2477" w:type="dxa"/>
            <w:vAlign w:val="center"/>
          </w:tcPr>
          <w:p w:rsidR="00D228BE" w:rsidRPr="00677D1F" w:rsidRDefault="00332EB6" w:rsidP="00677D1F">
            <w:pPr>
              <w:pStyle w:val="TableParagraph"/>
              <w:tabs>
                <w:tab w:val="left" w:pos="745"/>
                <w:tab w:val="left" w:pos="1383"/>
                <w:tab w:val="left" w:pos="2021"/>
              </w:tabs>
              <w:contextualSpacing/>
              <w:jc w:val="center"/>
              <w:rPr>
                <w:sz w:val="18"/>
                <w:szCs w:val="18"/>
              </w:rPr>
            </w:pPr>
            <w:r w:rsidRPr="00677D1F">
              <w:rPr>
                <w:sz w:val="18"/>
                <w:szCs w:val="18"/>
              </w:rPr>
              <w:t>《铁合金工业污染物排放标准》</w:t>
            </w:r>
          </w:p>
          <w:p w:rsidR="00D228BE" w:rsidRPr="00677D1F" w:rsidRDefault="00332EB6" w:rsidP="00677D1F">
            <w:pPr>
              <w:pStyle w:val="TableParagraph"/>
              <w:contextualSpacing/>
              <w:jc w:val="center"/>
              <w:rPr>
                <w:sz w:val="18"/>
                <w:szCs w:val="18"/>
              </w:rPr>
            </w:pPr>
            <w:r w:rsidRPr="00677D1F">
              <w:rPr>
                <w:sz w:val="18"/>
                <w:szCs w:val="18"/>
              </w:rPr>
              <w:t>(GB28666-2012)</w:t>
            </w:r>
          </w:p>
        </w:tc>
        <w:tc>
          <w:tcPr>
            <w:tcW w:w="1526" w:type="dxa"/>
            <w:vAlign w:val="center"/>
          </w:tcPr>
          <w:p w:rsidR="00D228BE" w:rsidRPr="00677D1F" w:rsidRDefault="00332EB6" w:rsidP="00677D1F">
            <w:pPr>
              <w:pStyle w:val="TableParagraph"/>
              <w:contextualSpacing/>
              <w:jc w:val="center"/>
              <w:rPr>
                <w:sz w:val="18"/>
                <w:szCs w:val="18"/>
              </w:rPr>
            </w:pPr>
            <w:r w:rsidRPr="00677D1F">
              <w:rPr>
                <w:sz w:val="18"/>
                <w:szCs w:val="18"/>
              </w:rPr>
              <w:t>排气筒采样口</w:t>
            </w: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锻造及板带生产、钛管生产的加热炉烟气</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烟尘</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200mg/m</w:t>
            </w:r>
            <w:r w:rsidRPr="00677D1F">
              <w:rPr>
                <w:rFonts w:eastAsia="宋体" w:hint="eastAsia"/>
                <w:sz w:val="18"/>
                <w:szCs w:val="18"/>
                <w:vertAlign w:val="superscript"/>
                <w:lang w:val="en-US"/>
              </w:rPr>
              <w:t>3</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《工业炉窑大气污染物排放标准》（GB9078-1996）</w:t>
            </w: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排气筒采样口</w:t>
            </w:r>
          </w:p>
        </w:tc>
      </w:tr>
      <w:tr w:rsidR="00D228BE" w:rsidRPr="00677D1F">
        <w:trPr>
          <w:trHeight w:val="340"/>
          <w:jc w:val="center"/>
        </w:trPr>
        <w:tc>
          <w:tcPr>
            <w:tcW w:w="1447" w:type="dxa"/>
            <w:vMerge/>
            <w:vAlign w:val="center"/>
          </w:tcPr>
          <w:p w:rsidR="00D228BE" w:rsidRPr="00677D1F" w:rsidRDefault="00D228BE" w:rsidP="00677D1F">
            <w:pPr>
              <w:pStyle w:val="TableParagraph"/>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850mg/m</w:t>
            </w:r>
            <w:r w:rsidRPr="00677D1F">
              <w:rPr>
                <w:rFonts w:eastAsia="宋体" w:hint="eastAsia"/>
                <w:sz w:val="18"/>
                <w:szCs w:val="18"/>
                <w:vertAlign w:val="superscript"/>
                <w:lang w:val="en-US"/>
              </w:rPr>
              <w:t>3</w:t>
            </w:r>
          </w:p>
        </w:tc>
        <w:tc>
          <w:tcPr>
            <w:tcW w:w="2477" w:type="dxa"/>
            <w:vMerge/>
            <w:vAlign w:val="center"/>
          </w:tcPr>
          <w:p w:rsidR="00D228BE" w:rsidRPr="00677D1F" w:rsidRDefault="00D228BE" w:rsidP="00677D1F">
            <w:pPr>
              <w:pStyle w:val="TableParagraph"/>
              <w:contextualSpacing/>
              <w:jc w:val="center"/>
              <w:rPr>
                <w:sz w:val="18"/>
                <w:szCs w:val="18"/>
              </w:rPr>
            </w:pPr>
          </w:p>
        </w:tc>
        <w:tc>
          <w:tcPr>
            <w:tcW w:w="1526" w:type="dxa"/>
            <w:vMerge/>
            <w:vAlign w:val="center"/>
          </w:tcPr>
          <w:p w:rsidR="00D228BE" w:rsidRPr="00677D1F" w:rsidRDefault="00D228BE" w:rsidP="00677D1F">
            <w:pPr>
              <w:pStyle w:val="TableParagraph"/>
              <w:contextualSpacing/>
              <w:jc w:val="center"/>
              <w:rPr>
                <w:sz w:val="18"/>
                <w:szCs w:val="18"/>
              </w:rPr>
            </w:pPr>
          </w:p>
        </w:tc>
      </w:tr>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sz w:val="18"/>
                <w:szCs w:val="18"/>
              </w:rPr>
            </w:pPr>
            <w:r w:rsidRPr="00677D1F">
              <w:rPr>
                <w:sz w:val="18"/>
                <w:szCs w:val="18"/>
              </w:rPr>
              <w:t>钛合金加工时酸洗处理酸雾</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氯化氢</w:t>
            </w:r>
          </w:p>
        </w:tc>
        <w:tc>
          <w:tcPr>
            <w:tcW w:w="2286" w:type="dxa"/>
            <w:vAlign w:val="center"/>
          </w:tcPr>
          <w:p w:rsidR="00D228BE" w:rsidRPr="00677D1F" w:rsidRDefault="00332EB6" w:rsidP="00677D1F">
            <w:pPr>
              <w:pStyle w:val="TableParagraph"/>
              <w:tabs>
                <w:tab w:val="left" w:pos="1842"/>
              </w:tabs>
              <w:contextualSpacing/>
              <w:jc w:val="center"/>
              <w:rPr>
                <w:sz w:val="18"/>
                <w:szCs w:val="18"/>
              </w:rPr>
            </w:pPr>
            <w:r w:rsidRPr="00677D1F">
              <w:rPr>
                <w:sz w:val="18"/>
                <w:szCs w:val="18"/>
              </w:rPr>
              <w:t>100mg/m</w:t>
            </w:r>
            <w:r w:rsidRPr="00677D1F">
              <w:rPr>
                <w:rFonts w:eastAsia="宋体" w:hint="eastAsia"/>
                <w:sz w:val="18"/>
                <w:szCs w:val="18"/>
                <w:vertAlign w:val="superscript"/>
                <w:lang w:val="en-US"/>
              </w:rPr>
              <w:t>3</w:t>
            </w:r>
            <w:r w:rsidRPr="00677D1F">
              <w:rPr>
                <w:sz w:val="18"/>
                <w:szCs w:val="18"/>
              </w:rPr>
              <w:t>、0.26kg/h(15m)</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《大气污染物综合排放标准》（GB16297-1996）</w:t>
            </w: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排气筒采样口</w:t>
            </w:r>
          </w:p>
        </w:tc>
      </w:tr>
      <w:tr w:rsidR="00D228BE" w:rsidRPr="00677D1F">
        <w:trPr>
          <w:trHeight w:val="340"/>
          <w:jc w:val="center"/>
        </w:trPr>
        <w:tc>
          <w:tcPr>
            <w:tcW w:w="1447" w:type="dxa"/>
            <w:vAlign w:val="center"/>
          </w:tcPr>
          <w:p w:rsidR="00D228BE" w:rsidRPr="00677D1F" w:rsidRDefault="00332EB6" w:rsidP="00677D1F">
            <w:pPr>
              <w:pStyle w:val="TableParagraph"/>
              <w:contextualSpacing/>
              <w:jc w:val="center"/>
              <w:rPr>
                <w:sz w:val="18"/>
                <w:szCs w:val="18"/>
              </w:rPr>
            </w:pPr>
            <w:r w:rsidRPr="00677D1F">
              <w:rPr>
                <w:sz w:val="18"/>
                <w:szCs w:val="18"/>
              </w:rPr>
              <w:t>钛材加工打打磨等产生的粉尘</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tabs>
                <w:tab w:val="left" w:pos="1842"/>
              </w:tabs>
              <w:contextualSpacing/>
              <w:jc w:val="center"/>
              <w:rPr>
                <w:sz w:val="18"/>
                <w:szCs w:val="18"/>
              </w:rPr>
            </w:pPr>
            <w:r w:rsidRPr="00677D1F">
              <w:rPr>
                <w:sz w:val="18"/>
                <w:szCs w:val="18"/>
              </w:rPr>
              <w:t>100mg/m</w:t>
            </w:r>
            <w:r w:rsidRPr="00677D1F">
              <w:rPr>
                <w:rFonts w:eastAsia="宋体" w:hint="eastAsia"/>
                <w:sz w:val="18"/>
                <w:szCs w:val="18"/>
                <w:vertAlign w:val="superscript"/>
                <w:lang w:val="en-US"/>
              </w:rPr>
              <w:t>3</w:t>
            </w:r>
            <w:r w:rsidRPr="00677D1F">
              <w:rPr>
                <w:sz w:val="18"/>
                <w:szCs w:val="18"/>
              </w:rPr>
              <w:t>、3.5kg/h(15m)</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厂界无组织</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颗粒物</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1.0mg/m</w:t>
            </w:r>
            <w:r w:rsidRPr="00677D1F">
              <w:rPr>
                <w:rFonts w:eastAsia="宋体" w:hint="eastAsia"/>
                <w:sz w:val="18"/>
                <w:szCs w:val="18"/>
                <w:vertAlign w:val="superscript"/>
                <w:lang w:val="en-US"/>
              </w:rPr>
              <w:t>3</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《镁、钛工业水污染物排 放 标 准》(GB25468-2010)</w:t>
            </w: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设在厂界外下风向和上风向2-50m 范围内设监控</w:t>
            </w:r>
          </w:p>
          <w:p w:rsidR="00D228BE" w:rsidRPr="00677D1F" w:rsidRDefault="00332EB6" w:rsidP="00677D1F">
            <w:pPr>
              <w:pStyle w:val="TableParagraph"/>
              <w:contextualSpacing/>
              <w:jc w:val="center"/>
              <w:rPr>
                <w:sz w:val="18"/>
                <w:szCs w:val="18"/>
              </w:rPr>
            </w:pPr>
            <w:r w:rsidRPr="00677D1F">
              <w:rPr>
                <w:sz w:val="18"/>
                <w:szCs w:val="18"/>
              </w:rPr>
              <w:t>点和参照点</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0.5mg/m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0.02mg/m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HCl</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0.15mg/m</w:t>
            </w:r>
            <w:r w:rsidRPr="00677D1F">
              <w:rPr>
                <w:rFonts w:eastAsia="宋体" w:hint="eastAsia"/>
                <w:sz w:val="18"/>
                <w:szCs w:val="18"/>
                <w:vertAlign w:val="superscript"/>
                <w:lang w:val="en-US"/>
              </w:rPr>
              <w:t>3</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施工噪声</w:t>
            </w:r>
          </w:p>
        </w:tc>
        <w:tc>
          <w:tcPr>
            <w:tcW w:w="571"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场界噪</w:t>
            </w:r>
          </w:p>
          <w:p w:rsidR="00D228BE" w:rsidRPr="00677D1F" w:rsidRDefault="00332EB6" w:rsidP="00677D1F">
            <w:pPr>
              <w:pStyle w:val="TableParagraph"/>
              <w:contextualSpacing/>
              <w:jc w:val="center"/>
              <w:rPr>
                <w:sz w:val="18"/>
                <w:szCs w:val="18"/>
              </w:rPr>
            </w:pPr>
            <w:r w:rsidRPr="00677D1F">
              <w:rPr>
                <w:sz w:val="18"/>
                <w:szCs w:val="18"/>
              </w:rPr>
              <w:t>声</w:t>
            </w:r>
          </w:p>
        </w:tc>
        <w:tc>
          <w:tcPr>
            <w:tcW w:w="764" w:type="dxa"/>
            <w:vAlign w:val="center"/>
          </w:tcPr>
          <w:p w:rsidR="00D228BE" w:rsidRPr="00677D1F" w:rsidRDefault="00332EB6" w:rsidP="00677D1F">
            <w:pPr>
              <w:pStyle w:val="TableParagraph"/>
              <w:contextualSpacing/>
              <w:jc w:val="center"/>
              <w:rPr>
                <w:sz w:val="18"/>
                <w:szCs w:val="18"/>
              </w:rPr>
            </w:pPr>
            <w:r w:rsidRPr="00677D1F">
              <w:rPr>
                <w:sz w:val="18"/>
                <w:szCs w:val="18"/>
              </w:rPr>
              <w:t>昼间</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70dB（A）</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《建筑施工场界环境噪声排放标准》（GB12523-2011）</w:t>
            </w: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施工场界外1m</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571" w:type="dxa"/>
            <w:vMerge/>
            <w:tcBorders>
              <w:top w:val="nil"/>
            </w:tcBorders>
            <w:vAlign w:val="center"/>
          </w:tcPr>
          <w:p w:rsidR="00D228BE" w:rsidRPr="00677D1F" w:rsidRDefault="00D228BE" w:rsidP="00677D1F">
            <w:pPr>
              <w:contextualSpacing/>
              <w:jc w:val="center"/>
              <w:rPr>
                <w:sz w:val="18"/>
                <w:szCs w:val="18"/>
              </w:rPr>
            </w:pPr>
          </w:p>
        </w:tc>
        <w:tc>
          <w:tcPr>
            <w:tcW w:w="764" w:type="dxa"/>
            <w:vAlign w:val="center"/>
          </w:tcPr>
          <w:p w:rsidR="00D228BE" w:rsidRPr="00677D1F" w:rsidRDefault="00332EB6" w:rsidP="00677D1F">
            <w:pPr>
              <w:pStyle w:val="TableParagraph"/>
              <w:contextualSpacing/>
              <w:jc w:val="center"/>
              <w:rPr>
                <w:sz w:val="18"/>
                <w:szCs w:val="18"/>
              </w:rPr>
            </w:pPr>
            <w:r w:rsidRPr="00677D1F">
              <w:rPr>
                <w:sz w:val="18"/>
                <w:szCs w:val="18"/>
              </w:rPr>
              <w:t>夜间</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55dB（A）</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运营噪声</w:t>
            </w:r>
          </w:p>
        </w:tc>
        <w:tc>
          <w:tcPr>
            <w:tcW w:w="571"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厂界噪声</w:t>
            </w:r>
          </w:p>
        </w:tc>
        <w:tc>
          <w:tcPr>
            <w:tcW w:w="764" w:type="dxa"/>
            <w:vAlign w:val="center"/>
          </w:tcPr>
          <w:p w:rsidR="00D228BE" w:rsidRPr="00677D1F" w:rsidRDefault="00332EB6" w:rsidP="00677D1F">
            <w:pPr>
              <w:pStyle w:val="TableParagraph"/>
              <w:contextualSpacing/>
              <w:jc w:val="center"/>
              <w:rPr>
                <w:sz w:val="18"/>
                <w:szCs w:val="18"/>
              </w:rPr>
            </w:pPr>
            <w:r w:rsidRPr="00677D1F">
              <w:rPr>
                <w:sz w:val="18"/>
                <w:szCs w:val="18"/>
              </w:rPr>
              <w:t>昼间</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65dB（A）</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《工业企业厂界环境噪声排放标准》（GB12348-2008）</w:t>
            </w: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占地厂界外1m</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571" w:type="dxa"/>
            <w:vMerge/>
            <w:tcBorders>
              <w:top w:val="nil"/>
            </w:tcBorders>
            <w:vAlign w:val="center"/>
          </w:tcPr>
          <w:p w:rsidR="00D228BE" w:rsidRPr="00677D1F" w:rsidRDefault="00D228BE" w:rsidP="00677D1F">
            <w:pPr>
              <w:contextualSpacing/>
              <w:jc w:val="center"/>
              <w:rPr>
                <w:sz w:val="18"/>
                <w:szCs w:val="18"/>
              </w:rPr>
            </w:pPr>
          </w:p>
        </w:tc>
        <w:tc>
          <w:tcPr>
            <w:tcW w:w="764" w:type="dxa"/>
            <w:vAlign w:val="center"/>
          </w:tcPr>
          <w:p w:rsidR="00D228BE" w:rsidRPr="00677D1F" w:rsidRDefault="00332EB6" w:rsidP="00677D1F">
            <w:pPr>
              <w:pStyle w:val="TableParagraph"/>
              <w:contextualSpacing/>
              <w:jc w:val="center"/>
              <w:rPr>
                <w:sz w:val="18"/>
                <w:szCs w:val="18"/>
              </w:rPr>
            </w:pPr>
            <w:r w:rsidRPr="00677D1F">
              <w:rPr>
                <w:sz w:val="18"/>
                <w:szCs w:val="18"/>
              </w:rPr>
              <w:t>夜间</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55dB（A）</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废水</w:t>
            </w: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pH 值</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6.5-8.5</w:t>
            </w:r>
          </w:p>
        </w:tc>
        <w:tc>
          <w:tcPr>
            <w:tcW w:w="2477"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《再生水水质标准》</w:t>
            </w:r>
          </w:p>
          <w:p w:rsidR="00D228BE" w:rsidRPr="00677D1F" w:rsidRDefault="00332EB6" w:rsidP="00677D1F">
            <w:pPr>
              <w:pStyle w:val="TableParagraph"/>
              <w:contextualSpacing/>
              <w:jc w:val="center"/>
              <w:rPr>
                <w:sz w:val="18"/>
                <w:szCs w:val="18"/>
              </w:rPr>
            </w:pPr>
            <w:r w:rsidRPr="00677D1F">
              <w:rPr>
                <w:sz w:val="18"/>
                <w:szCs w:val="18"/>
              </w:rPr>
              <w:t>（SL368-2006）</w:t>
            </w:r>
          </w:p>
        </w:tc>
        <w:tc>
          <w:tcPr>
            <w:tcW w:w="1526"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污水处理站排放口</w:t>
            </w: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悬浮物</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≤30mg/L</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BOD5</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≤10mg/L</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COD</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≤60mg/L</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r w:rsidR="00D228BE" w:rsidRPr="00677D1F">
        <w:trPr>
          <w:trHeight w:val="340"/>
          <w:jc w:val="center"/>
        </w:trPr>
        <w:tc>
          <w:tcPr>
            <w:tcW w:w="1447" w:type="dxa"/>
            <w:vMerge/>
            <w:tcBorders>
              <w:top w:val="nil"/>
            </w:tcBorders>
            <w:vAlign w:val="center"/>
          </w:tcPr>
          <w:p w:rsidR="00D228BE" w:rsidRPr="00677D1F" w:rsidRDefault="00D228BE" w:rsidP="00677D1F">
            <w:pPr>
              <w:contextualSpacing/>
              <w:jc w:val="center"/>
              <w:rPr>
                <w:sz w:val="18"/>
                <w:szCs w:val="18"/>
              </w:rPr>
            </w:pPr>
          </w:p>
        </w:tc>
        <w:tc>
          <w:tcPr>
            <w:tcW w:w="1335" w:type="dxa"/>
            <w:gridSpan w:val="2"/>
            <w:vAlign w:val="center"/>
          </w:tcPr>
          <w:p w:rsidR="00D228BE" w:rsidRPr="00677D1F" w:rsidRDefault="00332EB6" w:rsidP="00677D1F">
            <w:pPr>
              <w:pStyle w:val="TableParagraph"/>
              <w:contextualSpacing/>
              <w:jc w:val="center"/>
              <w:rPr>
                <w:sz w:val="18"/>
                <w:szCs w:val="18"/>
              </w:rPr>
            </w:pPr>
            <w:r w:rsidRPr="00677D1F">
              <w:rPr>
                <w:sz w:val="18"/>
                <w:szCs w:val="18"/>
              </w:rPr>
              <w:t>氨氮</w:t>
            </w:r>
          </w:p>
        </w:tc>
        <w:tc>
          <w:tcPr>
            <w:tcW w:w="2286" w:type="dxa"/>
            <w:vAlign w:val="center"/>
          </w:tcPr>
          <w:p w:rsidR="00D228BE" w:rsidRPr="00677D1F" w:rsidRDefault="00332EB6" w:rsidP="00677D1F">
            <w:pPr>
              <w:pStyle w:val="TableParagraph"/>
              <w:contextualSpacing/>
              <w:jc w:val="center"/>
              <w:rPr>
                <w:sz w:val="18"/>
                <w:szCs w:val="18"/>
              </w:rPr>
            </w:pPr>
            <w:r w:rsidRPr="00677D1F">
              <w:rPr>
                <w:sz w:val="18"/>
                <w:szCs w:val="18"/>
              </w:rPr>
              <w:t>≤10mg/L</w:t>
            </w:r>
          </w:p>
        </w:tc>
        <w:tc>
          <w:tcPr>
            <w:tcW w:w="2477" w:type="dxa"/>
            <w:vMerge/>
            <w:tcBorders>
              <w:top w:val="nil"/>
            </w:tcBorders>
            <w:vAlign w:val="center"/>
          </w:tcPr>
          <w:p w:rsidR="00D228BE" w:rsidRPr="00677D1F" w:rsidRDefault="00D228BE" w:rsidP="00677D1F">
            <w:pPr>
              <w:contextualSpacing/>
              <w:jc w:val="center"/>
              <w:rPr>
                <w:sz w:val="18"/>
                <w:szCs w:val="18"/>
              </w:rPr>
            </w:pPr>
          </w:p>
        </w:tc>
        <w:tc>
          <w:tcPr>
            <w:tcW w:w="1526" w:type="dxa"/>
            <w:vMerge/>
            <w:tcBorders>
              <w:top w:val="nil"/>
            </w:tcBorders>
            <w:vAlign w:val="center"/>
          </w:tcPr>
          <w:p w:rsidR="00D228BE" w:rsidRPr="00677D1F" w:rsidRDefault="00D228BE" w:rsidP="00677D1F">
            <w:pPr>
              <w:contextualSpacing/>
              <w:jc w:val="center"/>
              <w:rPr>
                <w:sz w:val="18"/>
                <w:szCs w:val="18"/>
              </w:rPr>
            </w:pPr>
          </w:p>
        </w:tc>
      </w:tr>
    </w:tbl>
    <w:p w:rsidR="00D228BE" w:rsidRPr="00677D1F" w:rsidRDefault="00D228BE" w:rsidP="00677D1F">
      <w:pPr>
        <w:widowControl/>
        <w:spacing w:line="360" w:lineRule="auto"/>
        <w:ind w:firstLineChars="200" w:firstLine="480"/>
        <w:contextualSpacing/>
        <w:rPr>
          <w:rFonts w:ascii="Times New Roman" w:eastAsia="宋体" w:hAnsi="Times New Roman" w:cs="Times New Roman"/>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imes New Roman" w:eastAsia="宋体" w:hAnsi="Times New Roman" w:cs="Times New Roman"/>
          <w:color w:val="000000"/>
          <w:kern w:val="0"/>
          <w:sz w:val="24"/>
          <w:szCs w:val="24"/>
        </w:rPr>
        <w:t>（</w:t>
      </w:r>
      <w:r w:rsidRPr="00677D1F">
        <w:rPr>
          <w:rFonts w:ascii="Times New Roman" w:eastAsia="宋体" w:hAnsi="Times New Roman" w:cs="Times New Roman"/>
          <w:color w:val="000000"/>
          <w:kern w:val="0"/>
          <w:sz w:val="24"/>
          <w:szCs w:val="24"/>
        </w:rPr>
        <w:t>3</w:t>
      </w:r>
      <w:r w:rsidRPr="00677D1F">
        <w:rPr>
          <w:rFonts w:ascii="Times New Roman" w:eastAsia="宋体" w:hAnsi="Times New Roman" w:cs="Times New Roman"/>
          <w:color w:val="000000"/>
          <w:kern w:val="0"/>
          <w:sz w:val="24"/>
          <w:szCs w:val="24"/>
        </w:rPr>
        <w:t>）</w:t>
      </w:r>
      <w:r w:rsidRPr="00677D1F">
        <w:rPr>
          <w:rFonts w:ascii="宋体" w:eastAsia="宋体" w:hAnsi="宋体" w:cs="宋体" w:hint="eastAsia"/>
          <w:color w:val="000000"/>
          <w:kern w:val="0"/>
          <w:sz w:val="24"/>
          <w:szCs w:val="24"/>
        </w:rPr>
        <w:t>其它标准</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卫生防护距离参照《氯碱厂卫生防护距离标准》（</w:t>
      </w:r>
      <w:r w:rsidRPr="00677D1F">
        <w:rPr>
          <w:rFonts w:ascii="Times New Roman" w:eastAsia="宋体" w:hAnsi="Times New Roman" w:cs="Times New Roman"/>
          <w:color w:val="000000"/>
          <w:kern w:val="0"/>
          <w:sz w:val="24"/>
          <w:szCs w:val="24"/>
        </w:rPr>
        <w:t>GB18071-2000</w:t>
      </w:r>
      <w:r w:rsidRPr="00677D1F">
        <w:rPr>
          <w:rFonts w:ascii="宋体" w:eastAsia="宋体" w:hAnsi="宋体" w:cs="宋体" w:hint="eastAsia"/>
          <w:color w:val="000000"/>
          <w:kern w:val="0"/>
          <w:sz w:val="24"/>
          <w:szCs w:val="24"/>
        </w:rPr>
        <w:t>）；清洁生产标准参照《清洁生产标准氯碱工业（烧碱）》（</w:t>
      </w:r>
      <w:r w:rsidRPr="00677D1F">
        <w:rPr>
          <w:rFonts w:ascii="Times New Roman" w:eastAsia="宋体" w:hAnsi="Times New Roman" w:cs="Times New Roman"/>
          <w:color w:val="000000"/>
          <w:kern w:val="0"/>
          <w:sz w:val="24"/>
          <w:szCs w:val="24"/>
        </w:rPr>
        <w:t>HJ475-2009</w:t>
      </w:r>
      <w:r w:rsidRPr="00677D1F">
        <w:rPr>
          <w:rFonts w:ascii="宋体" w:eastAsia="宋体" w:hAnsi="宋体" w:cs="宋体" w:hint="eastAsia"/>
          <w:color w:val="000000"/>
          <w:kern w:val="0"/>
          <w:sz w:val="24"/>
          <w:szCs w:val="24"/>
        </w:rPr>
        <w:t>）《清洁生产标准</w:t>
      </w:r>
      <w:r w:rsidRPr="00677D1F">
        <w:rPr>
          <w:rFonts w:ascii="Times New Roman" w:eastAsia="宋体" w:hAnsi="Times New Roman" w:cs="Times New Roman"/>
          <w:color w:val="000000"/>
          <w:kern w:val="0"/>
          <w:sz w:val="24"/>
          <w:szCs w:val="24"/>
        </w:rPr>
        <w:t>-</w:t>
      </w:r>
      <w:r w:rsidRPr="00677D1F">
        <w:rPr>
          <w:rFonts w:ascii="宋体" w:eastAsia="宋体" w:hAnsi="宋体" w:cs="宋体" w:hint="eastAsia"/>
          <w:color w:val="000000"/>
          <w:kern w:val="0"/>
          <w:sz w:val="24"/>
          <w:szCs w:val="24"/>
        </w:rPr>
        <w:t>钢铁行业（铁合金）》（</w:t>
      </w:r>
      <w:r w:rsidRPr="00677D1F">
        <w:rPr>
          <w:rFonts w:ascii="Times New Roman" w:eastAsia="宋体" w:hAnsi="Times New Roman" w:cs="Times New Roman"/>
          <w:color w:val="000000"/>
          <w:kern w:val="0"/>
          <w:sz w:val="24"/>
          <w:szCs w:val="24"/>
        </w:rPr>
        <w:t>HJ470-2009</w:t>
      </w:r>
      <w:r w:rsidRPr="00677D1F">
        <w:rPr>
          <w:rFonts w:ascii="宋体" w:eastAsia="宋体" w:hAnsi="宋体" w:cs="宋体" w:hint="eastAsia"/>
          <w:color w:val="000000"/>
          <w:kern w:val="0"/>
          <w:sz w:val="24"/>
          <w:szCs w:val="24"/>
        </w:rPr>
        <w:t>）。</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2.4</w:t>
      </w:r>
      <w:r w:rsidRPr="00677D1F">
        <w:rPr>
          <w:rFonts w:ascii="宋体" w:hAnsi="宋体" w:hint="eastAsia"/>
          <w:bCs w:val="0"/>
          <w:kern w:val="2"/>
          <w:sz w:val="30"/>
          <w:szCs w:val="30"/>
        </w:rPr>
        <w:t>评价工作等级和评价重点</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2.4.1</w:t>
      </w:r>
      <w:r w:rsidRPr="00677D1F">
        <w:rPr>
          <w:rFonts w:ascii="宋体" w:hAnsi="宋体" w:hint="eastAsia"/>
          <w:sz w:val="28"/>
          <w:szCs w:val="28"/>
        </w:rPr>
        <w:t>评价工作等级</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2.4.1.1</w:t>
      </w:r>
      <w:r w:rsidRPr="00677D1F">
        <w:rPr>
          <w:rFonts w:ascii="宋体" w:eastAsia="宋体" w:hAnsi="宋体" w:cs="宋体" w:hint="eastAsia"/>
          <w:b/>
          <w:bCs/>
          <w:color w:val="000000"/>
          <w:kern w:val="0"/>
          <w:sz w:val="24"/>
          <w:szCs w:val="24"/>
        </w:rPr>
        <w:t>大气环境影响评价</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拟建项目运营期间主要大气污染物为烟</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粉</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尘、</w:t>
      </w:r>
      <w:r w:rsidRPr="00677D1F">
        <w:rPr>
          <w:rFonts w:asciiTheme="minorEastAsia" w:hAnsiTheme="minorEastAsia" w:cs="Times New Roman"/>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NO2</w:t>
      </w:r>
      <w:r w:rsidRPr="00677D1F">
        <w:rPr>
          <w:rFonts w:asciiTheme="minorEastAsia" w:hAnsiTheme="minorEastAsia" w:cs="宋体" w:hint="eastAsia"/>
          <w:color w:val="000000"/>
          <w:kern w:val="0"/>
          <w:sz w:val="24"/>
          <w:szCs w:val="24"/>
        </w:rPr>
        <w:t>和</w:t>
      </w:r>
      <w:r w:rsidRPr="00677D1F">
        <w:rPr>
          <w:rFonts w:asciiTheme="minorEastAsia" w:hAnsiTheme="minorEastAsia" w:cs="Times New Roman"/>
          <w:color w:val="000000"/>
          <w:kern w:val="0"/>
          <w:sz w:val="24"/>
          <w:szCs w:val="24"/>
        </w:rPr>
        <w:t>Cl2</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HCl</w:t>
      </w:r>
      <w:r w:rsidRPr="00677D1F">
        <w:rPr>
          <w:rFonts w:asciiTheme="minorEastAsia" w:hAnsiTheme="minorEastAsia" w:cs="宋体" w:hint="eastAsia"/>
          <w:color w:val="000000"/>
          <w:kern w:val="0"/>
          <w:sz w:val="24"/>
          <w:szCs w:val="24"/>
        </w:rPr>
        <w:t>，根据工程分析污染物源强计算结果，采用《环境影响评价技术导则大气环境》（</w:t>
      </w:r>
      <w:r w:rsidRPr="00677D1F">
        <w:rPr>
          <w:rFonts w:asciiTheme="minorEastAsia" w:hAnsiTheme="minorEastAsia" w:cs="Times New Roman"/>
          <w:color w:val="000000"/>
          <w:kern w:val="0"/>
          <w:sz w:val="24"/>
          <w:szCs w:val="24"/>
        </w:rPr>
        <w:t>HJ2.2-2008</w:t>
      </w:r>
      <w:r w:rsidRPr="00677D1F">
        <w:rPr>
          <w:rFonts w:asciiTheme="minorEastAsia" w:hAnsiTheme="minorEastAsia" w:cs="宋体" w:hint="eastAsia"/>
          <w:color w:val="000000"/>
          <w:kern w:val="0"/>
          <w:sz w:val="24"/>
          <w:szCs w:val="24"/>
        </w:rPr>
        <w:t>）推荐的估算模式计算</w:t>
      </w:r>
      <w:r w:rsidRPr="00677D1F">
        <w:rPr>
          <w:rFonts w:asciiTheme="minorEastAsia" w:hAnsiTheme="minorEastAsia" w:cs="Times New Roman"/>
          <w:color w:val="000000"/>
          <w:kern w:val="0"/>
          <w:sz w:val="24"/>
          <w:szCs w:val="24"/>
        </w:rPr>
        <w:t>PM10</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NO2</w:t>
      </w:r>
      <w:r w:rsidRPr="00677D1F">
        <w:rPr>
          <w:rFonts w:asciiTheme="minorEastAsia" w:hAnsiTheme="minorEastAsia" w:cs="宋体" w:hint="eastAsia"/>
          <w:color w:val="000000"/>
          <w:kern w:val="0"/>
          <w:sz w:val="24"/>
          <w:szCs w:val="24"/>
        </w:rPr>
        <w:t>和</w:t>
      </w:r>
      <w:r w:rsidRPr="00677D1F">
        <w:rPr>
          <w:rFonts w:asciiTheme="minorEastAsia" w:hAnsiTheme="minorEastAsia" w:cs="Times New Roman"/>
          <w:color w:val="000000"/>
          <w:kern w:val="0"/>
          <w:sz w:val="24"/>
          <w:szCs w:val="24"/>
        </w:rPr>
        <w:t>Cl2</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HCl</w:t>
      </w:r>
      <w:r w:rsidRPr="00677D1F">
        <w:rPr>
          <w:rFonts w:asciiTheme="minorEastAsia" w:hAnsiTheme="minorEastAsia" w:cs="宋体" w:hint="eastAsia"/>
          <w:color w:val="000000"/>
          <w:kern w:val="0"/>
          <w:sz w:val="24"/>
          <w:szCs w:val="24"/>
        </w:rPr>
        <w:t>的最大影响程度和最远影响范围，确定评价工作等级。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）拟建项目污染源</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根据工程分析，本项目主要污染源参数统计见表</w:t>
      </w:r>
      <w:r w:rsidRPr="00677D1F">
        <w:rPr>
          <w:rFonts w:asciiTheme="minorEastAsia" w:hAnsiTheme="minorEastAsia" w:cs="Times New Roman"/>
          <w:color w:val="000000"/>
          <w:kern w:val="0"/>
          <w:sz w:val="24"/>
          <w:szCs w:val="24"/>
        </w:rPr>
        <w:t>2.4-1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表2.4-1本项目主要污染源参数一览表</w:t>
      </w:r>
    </w:p>
    <w:tbl>
      <w:tblPr>
        <w:tblW w:w="9197"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6"/>
        <w:gridCol w:w="1450"/>
        <w:gridCol w:w="939"/>
        <w:gridCol w:w="900"/>
        <w:gridCol w:w="1260"/>
        <w:gridCol w:w="1260"/>
        <w:gridCol w:w="900"/>
        <w:gridCol w:w="541"/>
        <w:gridCol w:w="598"/>
        <w:gridCol w:w="593"/>
      </w:tblGrid>
      <w:tr w:rsidR="00D228BE" w:rsidRPr="00677D1F">
        <w:trPr>
          <w:trHeight w:val="390"/>
        </w:trPr>
        <w:tc>
          <w:tcPr>
            <w:tcW w:w="756"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序号</w:t>
            </w:r>
          </w:p>
        </w:tc>
        <w:tc>
          <w:tcPr>
            <w:tcW w:w="1450"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污染源名称</w:t>
            </w:r>
          </w:p>
        </w:tc>
        <w:tc>
          <w:tcPr>
            <w:tcW w:w="939"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排气筒高度 及内径(m)</w:t>
            </w:r>
          </w:p>
        </w:tc>
        <w:tc>
          <w:tcPr>
            <w:tcW w:w="900"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废气温度 (℃)</w:t>
            </w:r>
          </w:p>
        </w:tc>
        <w:tc>
          <w:tcPr>
            <w:tcW w:w="1260"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废气量</w:t>
            </w: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(Nm</w:t>
            </w:r>
            <w:r w:rsidRPr="00677D1F">
              <w:rPr>
                <w:rFonts w:asciiTheme="minorEastAsia" w:eastAsiaTheme="minorEastAsia" w:hAnsiTheme="minorEastAsia" w:cstheme="minorEastAsia" w:hint="eastAsia"/>
                <w:sz w:val="18"/>
                <w:szCs w:val="18"/>
                <w:vertAlign w:val="superscript"/>
                <w:lang w:val="en-US"/>
              </w:rPr>
              <w:t>3</w:t>
            </w:r>
            <w:r w:rsidRPr="00677D1F">
              <w:rPr>
                <w:rFonts w:asciiTheme="minorEastAsia" w:eastAsiaTheme="minorEastAsia" w:hAnsiTheme="minorEastAsia" w:cstheme="minorEastAsia" w:hint="eastAsia"/>
                <w:sz w:val="18"/>
                <w:szCs w:val="18"/>
              </w:rPr>
              <w:t>/h)</w:t>
            </w:r>
          </w:p>
        </w:tc>
        <w:tc>
          <w:tcPr>
            <w:tcW w:w="3892" w:type="dxa"/>
            <w:gridSpan w:val="5"/>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污染物排放速率(kg/h)</w:t>
            </w:r>
          </w:p>
        </w:tc>
      </w:tr>
      <w:tr w:rsidR="00D228BE" w:rsidRPr="00677D1F">
        <w:trPr>
          <w:trHeight w:val="318"/>
        </w:trPr>
        <w:tc>
          <w:tcPr>
            <w:tcW w:w="756"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450"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939"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900"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260"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PM10</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SO2</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NOx</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Cl2</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HCl</w:t>
            </w:r>
          </w:p>
        </w:tc>
      </w:tr>
      <w:tr w:rsidR="00D228BE" w:rsidRPr="00677D1F">
        <w:trPr>
          <w:trHeight w:val="333"/>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原料库粉尘</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62550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3.13</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472"/>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钛精矿熔炼及冷却工段粉尘</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20/0.6</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232890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11.64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455"/>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3</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钛渣破碎及成品库</w:t>
            </w: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粉尘</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50400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2.52</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237"/>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4</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氯化原料库粉尘</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17850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0.893</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609"/>
        </w:trPr>
        <w:tc>
          <w:tcPr>
            <w:tcW w:w="756" w:type="dxa"/>
            <w:vAlign w:val="center"/>
          </w:tcPr>
          <w:p w:rsidR="00D228BE" w:rsidRPr="00677D1F" w:rsidRDefault="00D228BE" w:rsidP="00677D1F">
            <w:pPr>
              <w:pStyle w:val="TableParagraph"/>
              <w:contextualSpacing/>
              <w:jc w:val="center"/>
              <w:rPr>
                <w:rFonts w:asciiTheme="minorEastAsia" w:eastAsiaTheme="minorEastAsia" w:hAnsiTheme="minorEastAsia" w:cstheme="minorEastAsia"/>
                <w:sz w:val="18"/>
                <w:szCs w:val="18"/>
              </w:rPr>
            </w:pP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5</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四氯钛化制备车间的粉尘</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14175</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0.71</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489"/>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6</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精矿熔炼电炉废气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45/1.8</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250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230000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16.1</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26.47</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D228BE" w:rsidP="00677D1F">
            <w:pPr>
              <w:pStyle w:val="TableParagraph"/>
              <w:contextualSpacing/>
              <w:jc w:val="center"/>
              <w:rPr>
                <w:rFonts w:asciiTheme="minorEastAsia" w:eastAsiaTheme="minorEastAsia" w:hAnsiTheme="minorEastAsia" w:cstheme="minorEastAsia"/>
                <w:sz w:val="18"/>
                <w:szCs w:val="18"/>
              </w:rPr>
            </w:pPr>
          </w:p>
        </w:tc>
      </w:tr>
      <w:tr w:rsidR="00D228BE" w:rsidRPr="00677D1F">
        <w:trPr>
          <w:trHeight w:val="590"/>
        </w:trPr>
        <w:tc>
          <w:tcPr>
            <w:tcW w:w="756" w:type="dxa"/>
            <w:vAlign w:val="center"/>
          </w:tcPr>
          <w:p w:rsidR="00D228BE" w:rsidRPr="00677D1F" w:rsidRDefault="00D228BE" w:rsidP="00677D1F">
            <w:pPr>
              <w:pStyle w:val="TableParagraph"/>
              <w:contextualSpacing/>
              <w:jc w:val="center"/>
              <w:rPr>
                <w:rFonts w:asciiTheme="minorEastAsia" w:eastAsiaTheme="minorEastAsia" w:hAnsiTheme="minorEastAsia" w:cstheme="minorEastAsia"/>
                <w:sz w:val="18"/>
                <w:szCs w:val="18"/>
              </w:rPr>
            </w:pP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7</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氯化和精制尾气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80/3.0</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D228BE" w:rsidP="00677D1F">
            <w:pPr>
              <w:pStyle w:val="TableParagraph"/>
              <w:contextualSpacing/>
              <w:jc w:val="center"/>
              <w:rPr>
                <w:rFonts w:asciiTheme="minorEastAsia" w:eastAsiaTheme="minorEastAsia" w:hAnsiTheme="minorEastAsia" w:cstheme="minorEastAsia"/>
                <w:sz w:val="18"/>
                <w:szCs w:val="18"/>
              </w:rPr>
            </w:pP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12500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0.4125</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0.175</w:t>
            </w:r>
          </w:p>
        </w:tc>
      </w:tr>
      <w:tr w:rsidR="00D228BE" w:rsidRPr="00677D1F">
        <w:trPr>
          <w:trHeight w:val="537"/>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8</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镁生产系统及还蒸废气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50/2.0</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9000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0.324</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0.09</w:t>
            </w:r>
          </w:p>
        </w:tc>
      </w:tr>
      <w:tr w:rsidR="00D228BE" w:rsidRPr="00677D1F">
        <w:trPr>
          <w:trHeight w:val="297"/>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9</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氯气生产系统</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25/0.8</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4000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0.08</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448"/>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lastRenderedPageBreak/>
              <w:t>10</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酸性废气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15/0.4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常温</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10000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0.04</w:t>
            </w:r>
          </w:p>
        </w:tc>
      </w:tr>
      <w:tr w:rsidR="00D228BE" w:rsidRPr="00677D1F">
        <w:trPr>
          <w:trHeight w:val="480"/>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11</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煅造加热炉烟气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15/0.4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150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1000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0.07×</w:t>
            </w:r>
            <w:r w:rsidRPr="00677D1F">
              <w:rPr>
                <w:rFonts w:asciiTheme="minorEastAsia" w:eastAsiaTheme="minorEastAsia" w:hAnsiTheme="minorEastAsia" w:cstheme="minorEastAsia" w:hint="eastAsia"/>
                <w:sz w:val="18"/>
                <w:szCs w:val="18"/>
                <w:lang w:val="en-US"/>
              </w:rPr>
              <w:t>10</w:t>
            </w:r>
            <w:r w:rsidRPr="00677D1F">
              <w:rPr>
                <w:rFonts w:asciiTheme="minorEastAsia" w:eastAsiaTheme="minorEastAsia" w:hAnsiTheme="minorEastAsia" w:cstheme="minorEastAsia" w:hint="eastAsia"/>
                <w:sz w:val="18"/>
                <w:szCs w:val="18"/>
                <w:vertAlign w:val="superscript"/>
                <w:lang w:val="en-US"/>
              </w:rPr>
              <w:t>-4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vertAlign w:val="superscript"/>
                <w:lang w:val="en-US"/>
              </w:rPr>
            </w:pPr>
            <w:r w:rsidRPr="00677D1F">
              <w:rPr>
                <w:rFonts w:asciiTheme="minorEastAsia" w:eastAsiaTheme="minorEastAsia" w:hAnsiTheme="minorEastAsia" w:cstheme="minorEastAsia" w:hint="eastAsia"/>
                <w:sz w:val="18"/>
                <w:szCs w:val="18"/>
              </w:rPr>
              <w:t>0.16×</w:t>
            </w:r>
            <w:r w:rsidRPr="00677D1F">
              <w:rPr>
                <w:rFonts w:asciiTheme="minorEastAsia" w:eastAsiaTheme="minorEastAsia" w:hAnsiTheme="minorEastAsia" w:cstheme="minorEastAsia" w:hint="eastAsia"/>
                <w:sz w:val="18"/>
                <w:szCs w:val="18"/>
                <w:lang w:val="en-US"/>
              </w:rPr>
              <w:t>10</w:t>
            </w:r>
            <w:r w:rsidRPr="00677D1F">
              <w:rPr>
                <w:rFonts w:asciiTheme="minorEastAsia" w:eastAsiaTheme="minorEastAsia" w:hAnsiTheme="minorEastAsia" w:cstheme="minorEastAsia" w:hint="eastAsia"/>
                <w:sz w:val="18"/>
                <w:szCs w:val="18"/>
                <w:vertAlign w:val="superscript"/>
                <w:lang w:val="en-US"/>
              </w:rPr>
              <w:t>-4</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0.34</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551"/>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12</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板带加热炉烟气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20/0.5</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150</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2565</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0.18×</w:t>
            </w:r>
            <w:r w:rsidRPr="00677D1F">
              <w:rPr>
                <w:rFonts w:asciiTheme="minorEastAsia" w:eastAsiaTheme="minorEastAsia" w:hAnsiTheme="minorEastAsia" w:cstheme="minorEastAsia" w:hint="eastAsia"/>
                <w:sz w:val="18"/>
                <w:szCs w:val="18"/>
                <w:lang w:val="en-US"/>
              </w:rPr>
              <w:t>10</w:t>
            </w:r>
            <w:r w:rsidRPr="00677D1F">
              <w:rPr>
                <w:rFonts w:asciiTheme="minorEastAsia" w:eastAsiaTheme="minorEastAsia" w:hAnsiTheme="minorEastAsia" w:cstheme="minorEastAsia" w:hint="eastAsia"/>
                <w:sz w:val="18"/>
                <w:szCs w:val="18"/>
                <w:vertAlign w:val="superscript"/>
                <w:lang w:val="en-US"/>
              </w:rPr>
              <w:t>-4</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0.41×</w:t>
            </w:r>
            <w:r w:rsidRPr="00677D1F">
              <w:rPr>
                <w:rFonts w:asciiTheme="minorEastAsia" w:eastAsiaTheme="minorEastAsia" w:hAnsiTheme="minorEastAsia" w:cstheme="minorEastAsia" w:hint="eastAsia"/>
                <w:sz w:val="18"/>
                <w:szCs w:val="18"/>
                <w:lang w:val="en-US"/>
              </w:rPr>
              <w:t>10</w:t>
            </w:r>
            <w:r w:rsidRPr="00677D1F">
              <w:rPr>
                <w:rFonts w:asciiTheme="minorEastAsia" w:eastAsiaTheme="minorEastAsia" w:hAnsiTheme="minorEastAsia" w:cstheme="minorEastAsia" w:hint="eastAsia"/>
                <w:sz w:val="18"/>
                <w:szCs w:val="18"/>
                <w:vertAlign w:val="superscript"/>
                <w:lang w:val="en-US"/>
              </w:rPr>
              <w:t>-4</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0.87</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r w:rsidR="00D228BE" w:rsidRPr="00677D1F">
        <w:trPr>
          <w:trHeight w:val="481"/>
        </w:trPr>
        <w:tc>
          <w:tcPr>
            <w:tcW w:w="756"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13</w:t>
            </w:r>
          </w:p>
        </w:tc>
        <w:tc>
          <w:tcPr>
            <w:tcW w:w="145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无组织废气</w:t>
            </w:r>
          </w:p>
        </w:tc>
        <w:tc>
          <w:tcPr>
            <w:tcW w:w="93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126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6.6t/a</w:t>
            </w:r>
          </w:p>
        </w:tc>
        <w:tc>
          <w:tcPr>
            <w:tcW w:w="900"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4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59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56t/a</w:t>
            </w:r>
          </w:p>
        </w:tc>
        <w:tc>
          <w:tcPr>
            <w:tcW w:w="593"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）最大地面浓度占标率</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Pi</w:t>
      </w:r>
      <w:r w:rsidRPr="00677D1F">
        <w:rPr>
          <w:rFonts w:asciiTheme="minorEastAsia" w:hAnsiTheme="minorEastAsia" w:cs="宋体" w:hint="eastAsia"/>
          <w:color w:val="000000"/>
          <w:kern w:val="0"/>
          <w:sz w:val="24"/>
          <w:szCs w:val="24"/>
        </w:rPr>
        <w:t>计算公式如下：</w:t>
      </w:r>
    </w:p>
    <w:p w:rsidR="00D228BE" w:rsidRPr="00677D1F" w:rsidRDefault="00550417" w:rsidP="00677D1F">
      <w:pPr>
        <w:widowControl/>
        <w:spacing w:line="360" w:lineRule="auto"/>
        <w:ind w:firstLineChars="200" w:firstLine="480"/>
        <w:contextualSpacing/>
        <w:rPr>
          <w:rFonts w:asciiTheme="minorEastAsia" w:hAnsiTheme="minorEastAsia" w:cs="宋体"/>
          <w:color w:val="000000"/>
          <w:kern w:val="0"/>
          <w:sz w:val="24"/>
          <w:szCs w:val="24"/>
        </w:rPr>
      </w:pPr>
      <m:oMathPara>
        <m:oMath>
          <m:sSub>
            <m:sSubPr>
              <m:ctrlPr>
                <w:rPr>
                  <w:rFonts w:ascii="Cambria Math" w:hAnsi="Cambria Math" w:cs="宋体"/>
                  <w:color w:val="000000"/>
                  <w:kern w:val="0"/>
                  <w:sz w:val="24"/>
                  <w:szCs w:val="24"/>
                </w:rPr>
              </m:ctrlPr>
            </m:sSubPr>
            <m:e>
              <m:r>
                <m:rPr>
                  <m:sty m:val="p"/>
                </m:rPr>
                <w:rPr>
                  <w:rFonts w:ascii="Cambria Math" w:hAnsi="Cambria Math" w:cs="宋体"/>
                  <w:color w:val="000000"/>
                  <w:kern w:val="0"/>
                  <w:sz w:val="24"/>
                  <w:szCs w:val="24"/>
                </w:rPr>
                <m:t>P</m:t>
              </m:r>
            </m:e>
            <m:sub>
              <m:r>
                <w:rPr>
                  <w:rFonts w:ascii="Cambria Math" w:hAnsi="Cambria Math" w:cs="宋体"/>
                  <w:color w:val="000000"/>
                  <w:kern w:val="0"/>
                  <w:sz w:val="24"/>
                  <w:szCs w:val="24"/>
                </w:rPr>
                <m:t>i</m:t>
              </m:r>
            </m:sub>
          </m:sSub>
          <m:r>
            <m:rPr>
              <m:sty m:val="p"/>
            </m:rPr>
            <w:rPr>
              <w:rFonts w:ascii="Cambria Math" w:hAnsi="Cambria Math" w:cs="宋体"/>
              <w:color w:val="000000"/>
              <w:kern w:val="0"/>
              <w:sz w:val="24"/>
              <w:szCs w:val="24"/>
            </w:rPr>
            <m:t>=</m:t>
          </m:r>
          <m:f>
            <m:fPr>
              <m:ctrlPr>
                <w:rPr>
                  <w:rFonts w:ascii="Cambria Math" w:hAnsi="Cambria Math" w:cs="宋体"/>
                  <w:color w:val="000000"/>
                  <w:kern w:val="0"/>
                  <w:sz w:val="24"/>
                  <w:szCs w:val="24"/>
                </w:rPr>
              </m:ctrlPr>
            </m:fPr>
            <m:num>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C</m:t>
                  </m:r>
                </m:e>
                <m:sub>
                  <m:r>
                    <w:rPr>
                      <w:rFonts w:ascii="Cambria Math" w:hAnsi="Cambria Math" w:cs="宋体"/>
                      <w:color w:val="000000"/>
                      <w:kern w:val="0"/>
                      <w:sz w:val="24"/>
                      <w:szCs w:val="24"/>
                    </w:rPr>
                    <m:t>i</m:t>
                  </m:r>
                </m:sub>
              </m:sSub>
            </m:num>
            <m:den>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C</m:t>
                  </m:r>
                </m:e>
                <m:sub>
                  <m:r>
                    <w:rPr>
                      <w:rFonts w:ascii="Cambria Math" w:hAnsi="Cambria Math" w:cs="宋体"/>
                      <w:color w:val="000000"/>
                      <w:kern w:val="0"/>
                      <w:sz w:val="24"/>
                      <w:szCs w:val="24"/>
                    </w:rPr>
                    <m:t>0i</m:t>
                  </m:r>
                </m:sub>
              </m:sSub>
            </m:den>
          </m:f>
          <m:r>
            <w:rPr>
              <w:rFonts w:ascii="Cambria Math" w:hAnsi="Cambria Math" w:cs="宋体"/>
              <w:color w:val="000000"/>
              <w:kern w:val="0"/>
              <w:sz w:val="24"/>
              <w:szCs w:val="24"/>
            </w:rPr>
            <m:t>×100%</m:t>
          </m:r>
        </m:oMath>
      </m:oMathPara>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Times New Roman"/>
          <w:color w:val="000000"/>
          <w:kern w:val="0"/>
          <w:sz w:val="24"/>
          <w:szCs w:val="24"/>
        </w:rPr>
        <w:t>P</w:t>
      </w:r>
      <w:r w:rsidRPr="00677D1F">
        <w:rPr>
          <w:rFonts w:asciiTheme="minorEastAsia" w:hAnsiTheme="minorEastAsia" w:cs="Times New Roman"/>
          <w:color w:val="000000"/>
          <w:kern w:val="0"/>
          <w:sz w:val="24"/>
          <w:szCs w:val="24"/>
          <w:vertAlign w:val="subscript"/>
        </w:rPr>
        <w:t>i</w:t>
      </w:r>
      <w:r w:rsidRPr="00677D1F">
        <w:rPr>
          <w:rFonts w:asciiTheme="minorEastAsia" w:hAnsiTheme="minorEastAsia" w:cs="Times New Roman" w:hint="eastAsia"/>
          <w:color w:val="000000"/>
          <w:kern w:val="0"/>
          <w:sz w:val="24"/>
          <w:szCs w:val="24"/>
        </w:rPr>
        <w:t>——</w:t>
      </w:r>
      <w:r w:rsidRPr="00677D1F">
        <w:rPr>
          <w:rFonts w:asciiTheme="minorEastAsia" w:hAnsiTheme="minorEastAsia" w:cs="宋体" w:hint="eastAsia"/>
          <w:color w:val="000000"/>
          <w:kern w:val="0"/>
          <w:sz w:val="24"/>
          <w:szCs w:val="24"/>
        </w:rPr>
        <w:t>第</w:t>
      </w:r>
      <w:r w:rsidRPr="00677D1F">
        <w:rPr>
          <w:rFonts w:asciiTheme="minorEastAsia" w:hAnsiTheme="minorEastAsia" w:cs="Times New Roman"/>
          <w:color w:val="000000"/>
          <w:kern w:val="0"/>
          <w:sz w:val="24"/>
          <w:szCs w:val="24"/>
        </w:rPr>
        <w:t>i</w:t>
      </w:r>
      <w:r w:rsidRPr="00677D1F">
        <w:rPr>
          <w:rFonts w:asciiTheme="minorEastAsia" w:hAnsiTheme="minorEastAsia" w:cs="宋体" w:hint="eastAsia"/>
          <w:color w:val="000000"/>
          <w:kern w:val="0"/>
          <w:sz w:val="24"/>
          <w:szCs w:val="24"/>
        </w:rPr>
        <w:t>个污染物的最大地面浓度占标率，</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500" w:firstLine="120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C</w:t>
      </w:r>
      <w:r w:rsidRPr="00677D1F">
        <w:rPr>
          <w:rFonts w:asciiTheme="minorEastAsia" w:hAnsiTheme="minorEastAsia" w:cs="Times New Roman"/>
          <w:color w:val="000000"/>
          <w:kern w:val="0"/>
          <w:sz w:val="24"/>
          <w:szCs w:val="24"/>
          <w:vertAlign w:val="subscript"/>
        </w:rPr>
        <w:t>i</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采用估算模式计算出的第</w:t>
      </w:r>
      <w:r w:rsidRPr="00677D1F">
        <w:rPr>
          <w:rFonts w:asciiTheme="minorEastAsia" w:hAnsiTheme="minorEastAsia" w:cs="Times New Roman"/>
          <w:color w:val="000000"/>
          <w:kern w:val="0"/>
          <w:sz w:val="24"/>
          <w:szCs w:val="24"/>
        </w:rPr>
        <w:t>i</w:t>
      </w:r>
      <w:r w:rsidRPr="00677D1F">
        <w:rPr>
          <w:rFonts w:asciiTheme="minorEastAsia" w:hAnsiTheme="minorEastAsia" w:cs="宋体" w:hint="eastAsia"/>
          <w:color w:val="000000"/>
          <w:kern w:val="0"/>
          <w:sz w:val="24"/>
          <w:szCs w:val="24"/>
        </w:rPr>
        <w:t>个污染物的最大地面浓度，</w:t>
      </w:r>
      <w:r w:rsidRPr="00677D1F">
        <w:rPr>
          <w:rFonts w:asciiTheme="minorEastAsia" w:hAnsiTheme="minorEastAsia" w:cs="Times New Roman"/>
          <w:color w:val="000000"/>
          <w:kern w:val="0"/>
          <w:sz w:val="24"/>
          <w:szCs w:val="24"/>
        </w:rPr>
        <w:t>mg/m</w:t>
      </w:r>
      <w:r w:rsidRPr="00677D1F">
        <w:rPr>
          <w:rFonts w:asciiTheme="minorEastAsia" w:hAnsiTheme="minorEastAsia" w:cs="Times New Roman"/>
          <w:color w:val="000000"/>
          <w:kern w:val="0"/>
          <w:sz w:val="24"/>
          <w:szCs w:val="24"/>
          <w:vertAlign w:val="superscript"/>
        </w:rPr>
        <w:t>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500" w:firstLine="120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C</w:t>
      </w:r>
      <w:r w:rsidRPr="00677D1F">
        <w:rPr>
          <w:rFonts w:asciiTheme="minorEastAsia" w:hAnsiTheme="minorEastAsia" w:cs="Times New Roman"/>
          <w:color w:val="000000"/>
          <w:kern w:val="0"/>
          <w:sz w:val="24"/>
          <w:szCs w:val="24"/>
          <w:vertAlign w:val="subscript"/>
        </w:rPr>
        <w:t>0i</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第</w:t>
      </w:r>
      <w:r w:rsidRPr="00677D1F">
        <w:rPr>
          <w:rFonts w:asciiTheme="minorEastAsia" w:hAnsiTheme="minorEastAsia" w:cs="Times New Roman"/>
          <w:color w:val="000000"/>
          <w:kern w:val="0"/>
          <w:sz w:val="24"/>
          <w:szCs w:val="24"/>
        </w:rPr>
        <w:t>i</w:t>
      </w:r>
      <w:r w:rsidRPr="00677D1F">
        <w:rPr>
          <w:rFonts w:asciiTheme="minorEastAsia" w:hAnsiTheme="minorEastAsia" w:cs="宋体" w:hint="eastAsia"/>
          <w:color w:val="000000"/>
          <w:kern w:val="0"/>
          <w:sz w:val="24"/>
          <w:szCs w:val="24"/>
        </w:rPr>
        <w:t>个污染物的环境空气质量标准，</w:t>
      </w:r>
      <w:r w:rsidRPr="00677D1F">
        <w:rPr>
          <w:rFonts w:asciiTheme="minorEastAsia" w:hAnsiTheme="minorEastAsia" w:cs="Times New Roman"/>
          <w:color w:val="000000"/>
          <w:kern w:val="0"/>
          <w:sz w:val="24"/>
          <w:szCs w:val="24"/>
        </w:rPr>
        <w:t>mg/m</w:t>
      </w:r>
      <w:r w:rsidRPr="00677D1F">
        <w:rPr>
          <w:rFonts w:asciiTheme="minorEastAsia" w:hAnsiTheme="minorEastAsia" w:cs="Times New Roman"/>
          <w:color w:val="000000"/>
          <w:kern w:val="0"/>
          <w:sz w:val="24"/>
          <w:szCs w:val="24"/>
          <w:vertAlign w:val="superscript"/>
        </w:rPr>
        <w:t>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）估算统计结果</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根据估算模式计算结果见表</w:t>
      </w:r>
      <w:r w:rsidRPr="00677D1F">
        <w:rPr>
          <w:rFonts w:asciiTheme="minorEastAsia" w:hAnsiTheme="minorEastAsia" w:cs="Times New Roman"/>
          <w:color w:val="000000"/>
          <w:kern w:val="0"/>
          <w:sz w:val="24"/>
          <w:szCs w:val="24"/>
        </w:rPr>
        <w:t>2.4-2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表2.4-2本项目主要污染源估算</w:t>
      </w:r>
    </w:p>
    <w:tbl>
      <w:tblPr>
        <w:tblW w:w="9071" w:type="dxa"/>
        <w:jc w:val="center"/>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60"/>
        <w:gridCol w:w="1475"/>
        <w:gridCol w:w="1813"/>
        <w:gridCol w:w="2198"/>
        <w:gridCol w:w="1425"/>
      </w:tblGrid>
      <w:tr w:rsidR="00D228BE" w:rsidRPr="00677D1F">
        <w:trPr>
          <w:trHeight w:val="340"/>
          <w:jc w:val="center"/>
        </w:trPr>
        <w:tc>
          <w:tcPr>
            <w:tcW w:w="2160" w:type="dxa"/>
            <w:vAlign w:val="center"/>
          </w:tcPr>
          <w:p w:rsidR="00D228BE" w:rsidRPr="00677D1F" w:rsidRDefault="00332EB6" w:rsidP="00677D1F">
            <w:pPr>
              <w:pStyle w:val="TableParagraph"/>
              <w:contextualSpacing/>
              <w:jc w:val="center"/>
              <w:rPr>
                <w:sz w:val="18"/>
                <w:szCs w:val="18"/>
              </w:rPr>
            </w:pPr>
            <w:r w:rsidRPr="00677D1F">
              <w:rPr>
                <w:sz w:val="18"/>
                <w:szCs w:val="18"/>
              </w:rPr>
              <w:t>污染源</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污染因子</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最大小时浓度(mg/</w:t>
            </w:r>
            <w:r w:rsidRPr="00677D1F">
              <w:rPr>
                <w:rFonts w:eastAsia="宋体" w:hint="eastAsia"/>
                <w:sz w:val="18"/>
                <w:szCs w:val="18"/>
                <w:lang w:val="en-US"/>
              </w:rPr>
              <w:t>m</w:t>
            </w:r>
            <w:r w:rsidRPr="00677D1F">
              <w:rPr>
                <w:rFonts w:eastAsia="宋体" w:hint="eastAsia"/>
                <w:sz w:val="18"/>
                <w:szCs w:val="18"/>
                <w:vertAlign w:val="superscript"/>
                <w:lang w:val="en-US"/>
              </w:rPr>
              <w:t>3</w:t>
            </w:r>
            <w:r w:rsidRPr="00677D1F">
              <w:rPr>
                <w:sz w:val="18"/>
                <w:szCs w:val="18"/>
              </w:rPr>
              <w:t>)</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最大小时浓度占标率（%）</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D10%（m）</w:t>
            </w:r>
          </w:p>
        </w:tc>
      </w:tr>
      <w:tr w:rsidR="00D228BE" w:rsidRPr="00677D1F">
        <w:trPr>
          <w:trHeight w:val="340"/>
          <w:jc w:val="center"/>
        </w:trPr>
        <w:tc>
          <w:tcPr>
            <w:tcW w:w="2160" w:type="dxa"/>
            <w:vAlign w:val="center"/>
          </w:tcPr>
          <w:p w:rsidR="00D228BE" w:rsidRPr="00677D1F" w:rsidRDefault="00332EB6" w:rsidP="00677D1F">
            <w:pPr>
              <w:pStyle w:val="TableParagraph"/>
              <w:contextualSpacing/>
              <w:jc w:val="center"/>
              <w:rPr>
                <w:sz w:val="18"/>
                <w:szCs w:val="18"/>
              </w:rPr>
            </w:pPr>
            <w:r w:rsidRPr="00677D1F">
              <w:rPr>
                <w:sz w:val="18"/>
                <w:szCs w:val="18"/>
              </w:rPr>
              <w:t>生产性粉尘</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PM10</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0.0162</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3.61</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精矿熔炼电炉废气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PM10</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0.0108</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2.39</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0.0177</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3.54</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氯化和精制尾气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0.00273</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2.73</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HCl</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0.00117</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2.33</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镁生产系统及还蒸废气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0.00445</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4.45</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HCl</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0.00124</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2.27</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Align w:val="center"/>
          </w:tcPr>
          <w:p w:rsidR="00D228BE" w:rsidRPr="00677D1F" w:rsidRDefault="00332EB6" w:rsidP="00677D1F">
            <w:pPr>
              <w:pStyle w:val="TableParagraph"/>
              <w:contextualSpacing/>
              <w:jc w:val="center"/>
              <w:rPr>
                <w:sz w:val="18"/>
                <w:szCs w:val="18"/>
              </w:rPr>
            </w:pPr>
            <w:r w:rsidRPr="00677D1F">
              <w:rPr>
                <w:sz w:val="18"/>
                <w:szCs w:val="18"/>
              </w:rPr>
              <w:t>氯气生产系统</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0.00304</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3.04</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Align w:val="center"/>
          </w:tcPr>
          <w:p w:rsidR="00D228BE" w:rsidRPr="00677D1F" w:rsidRDefault="00332EB6" w:rsidP="00677D1F">
            <w:pPr>
              <w:pStyle w:val="TableParagraph"/>
              <w:contextualSpacing/>
              <w:jc w:val="center"/>
              <w:rPr>
                <w:sz w:val="18"/>
                <w:szCs w:val="18"/>
              </w:rPr>
            </w:pPr>
            <w:r w:rsidRPr="00677D1F">
              <w:rPr>
                <w:sz w:val="18"/>
                <w:szCs w:val="18"/>
              </w:rPr>
              <w:t>酸性废气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HCl</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0.0015</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2.95</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煅造加热炉烟气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PM10</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微量</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微量</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NO2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0.043</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18.45</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577</w:t>
            </w:r>
          </w:p>
        </w:tc>
      </w:tr>
      <w:tr w:rsidR="00D228BE" w:rsidRPr="00677D1F">
        <w:trPr>
          <w:trHeight w:val="340"/>
          <w:jc w:val="center"/>
        </w:trPr>
        <w:tc>
          <w:tcPr>
            <w:tcW w:w="2160"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板带加热炉烟气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PM10</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微量</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SO2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微量</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NO2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0.0502</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20.93</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1102</w:t>
            </w:r>
          </w:p>
        </w:tc>
      </w:tr>
      <w:tr w:rsidR="00D228BE" w:rsidRPr="00677D1F">
        <w:trPr>
          <w:trHeight w:val="340"/>
          <w:jc w:val="center"/>
        </w:trPr>
        <w:tc>
          <w:tcPr>
            <w:tcW w:w="2160" w:type="dxa"/>
            <w:vMerge w:val="restart"/>
            <w:vAlign w:val="center"/>
          </w:tcPr>
          <w:p w:rsidR="00D228BE" w:rsidRPr="00677D1F" w:rsidRDefault="00332EB6" w:rsidP="00677D1F">
            <w:pPr>
              <w:pStyle w:val="TableParagraph"/>
              <w:contextualSpacing/>
              <w:jc w:val="center"/>
              <w:rPr>
                <w:sz w:val="18"/>
                <w:szCs w:val="18"/>
              </w:rPr>
            </w:pPr>
            <w:r w:rsidRPr="00677D1F">
              <w:rPr>
                <w:sz w:val="18"/>
                <w:szCs w:val="18"/>
              </w:rPr>
              <w:t>无组织废气</w:t>
            </w: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PM10</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0.00402</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0.89</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0</w:t>
            </w:r>
          </w:p>
        </w:tc>
      </w:tr>
      <w:tr w:rsidR="00D228BE" w:rsidRPr="00677D1F">
        <w:trPr>
          <w:trHeight w:val="340"/>
          <w:jc w:val="center"/>
        </w:trPr>
        <w:tc>
          <w:tcPr>
            <w:tcW w:w="2160" w:type="dxa"/>
            <w:vMerge/>
            <w:tcBorders>
              <w:top w:val="nil"/>
            </w:tcBorders>
            <w:vAlign w:val="center"/>
          </w:tcPr>
          <w:p w:rsidR="00D228BE" w:rsidRPr="00677D1F" w:rsidRDefault="00D228BE" w:rsidP="00677D1F">
            <w:pPr>
              <w:contextualSpacing/>
              <w:jc w:val="center"/>
              <w:rPr>
                <w:sz w:val="18"/>
                <w:szCs w:val="18"/>
              </w:rPr>
            </w:pPr>
          </w:p>
        </w:tc>
        <w:tc>
          <w:tcPr>
            <w:tcW w:w="1475" w:type="dxa"/>
            <w:vAlign w:val="center"/>
          </w:tcPr>
          <w:p w:rsidR="00D228BE" w:rsidRPr="00677D1F" w:rsidRDefault="00332EB6" w:rsidP="00677D1F">
            <w:pPr>
              <w:pStyle w:val="TableParagraph"/>
              <w:contextualSpacing/>
              <w:jc w:val="center"/>
              <w:rPr>
                <w:sz w:val="18"/>
                <w:szCs w:val="18"/>
              </w:rPr>
            </w:pPr>
            <w:r w:rsidRPr="00677D1F">
              <w:rPr>
                <w:sz w:val="18"/>
                <w:szCs w:val="18"/>
              </w:rPr>
              <w:t>Cl2</w:t>
            </w:r>
          </w:p>
        </w:tc>
        <w:tc>
          <w:tcPr>
            <w:tcW w:w="1813" w:type="dxa"/>
            <w:vAlign w:val="center"/>
          </w:tcPr>
          <w:p w:rsidR="00D228BE" w:rsidRPr="00677D1F" w:rsidRDefault="00332EB6" w:rsidP="00677D1F">
            <w:pPr>
              <w:pStyle w:val="TableParagraph"/>
              <w:contextualSpacing/>
              <w:jc w:val="center"/>
              <w:rPr>
                <w:sz w:val="18"/>
                <w:szCs w:val="18"/>
              </w:rPr>
            </w:pPr>
            <w:r w:rsidRPr="00677D1F">
              <w:rPr>
                <w:sz w:val="18"/>
                <w:szCs w:val="18"/>
              </w:rPr>
              <w:t>0.0265</w:t>
            </w:r>
          </w:p>
        </w:tc>
        <w:tc>
          <w:tcPr>
            <w:tcW w:w="2198" w:type="dxa"/>
            <w:vAlign w:val="center"/>
          </w:tcPr>
          <w:p w:rsidR="00D228BE" w:rsidRPr="00677D1F" w:rsidRDefault="00332EB6" w:rsidP="00677D1F">
            <w:pPr>
              <w:pStyle w:val="TableParagraph"/>
              <w:contextualSpacing/>
              <w:jc w:val="center"/>
              <w:rPr>
                <w:sz w:val="18"/>
                <w:szCs w:val="18"/>
              </w:rPr>
            </w:pPr>
            <w:r w:rsidRPr="00677D1F">
              <w:rPr>
                <w:sz w:val="18"/>
                <w:szCs w:val="18"/>
              </w:rPr>
              <w:t>26.47</w:t>
            </w:r>
          </w:p>
        </w:tc>
        <w:tc>
          <w:tcPr>
            <w:tcW w:w="1425" w:type="dxa"/>
            <w:vAlign w:val="center"/>
          </w:tcPr>
          <w:p w:rsidR="00D228BE" w:rsidRPr="00677D1F" w:rsidRDefault="00332EB6" w:rsidP="00677D1F">
            <w:pPr>
              <w:pStyle w:val="TableParagraph"/>
              <w:contextualSpacing/>
              <w:jc w:val="center"/>
              <w:rPr>
                <w:sz w:val="18"/>
                <w:szCs w:val="18"/>
              </w:rPr>
            </w:pPr>
            <w:r w:rsidRPr="00677D1F">
              <w:rPr>
                <w:sz w:val="18"/>
                <w:szCs w:val="18"/>
              </w:rPr>
              <w:t>12300</w:t>
            </w:r>
          </w:p>
        </w:tc>
      </w:tr>
    </w:tbl>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Times New Roman"/>
          <w:color w:val="000000"/>
          <w:kern w:val="0"/>
          <w:sz w:val="24"/>
          <w:szCs w:val="24"/>
        </w:rPr>
        <w:t>4</w:t>
      </w:r>
      <w:r w:rsidRPr="00677D1F">
        <w:rPr>
          <w:rFonts w:asciiTheme="minorEastAsia" w:hAnsiTheme="minorEastAsia" w:cs="宋体" w:hint="eastAsia"/>
          <w:color w:val="000000"/>
          <w:kern w:val="0"/>
          <w:sz w:val="24"/>
          <w:szCs w:val="24"/>
        </w:rPr>
        <w:t>）评价等级划分依据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评价等级划分依据见表</w:t>
      </w:r>
      <w:r w:rsidRPr="00677D1F">
        <w:rPr>
          <w:rFonts w:asciiTheme="minorEastAsia" w:hAnsiTheme="minorEastAsia" w:cs="Times New Roman"/>
          <w:color w:val="000000"/>
          <w:kern w:val="0"/>
          <w:sz w:val="24"/>
          <w:szCs w:val="24"/>
        </w:rPr>
        <w:t>2.4-3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表2.4-3评价工作等级划分依据表</w:t>
      </w:r>
    </w:p>
    <w:tbl>
      <w:tblPr>
        <w:tblW w:w="9071" w:type="dxa"/>
        <w:jc w:val="center"/>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30"/>
        <w:gridCol w:w="6241"/>
      </w:tblGrid>
      <w:tr w:rsidR="00D228BE" w:rsidRPr="00677D1F">
        <w:trPr>
          <w:trHeight w:val="340"/>
          <w:jc w:val="center"/>
        </w:trPr>
        <w:tc>
          <w:tcPr>
            <w:tcW w:w="2830" w:type="dxa"/>
          </w:tcPr>
          <w:p w:rsidR="00D228BE" w:rsidRPr="00677D1F" w:rsidRDefault="00332EB6" w:rsidP="00677D1F">
            <w:pPr>
              <w:pStyle w:val="TableParagraph"/>
              <w:contextualSpacing/>
              <w:jc w:val="center"/>
              <w:rPr>
                <w:sz w:val="21"/>
                <w:szCs w:val="21"/>
              </w:rPr>
            </w:pPr>
            <w:r w:rsidRPr="00677D1F">
              <w:rPr>
                <w:sz w:val="21"/>
                <w:szCs w:val="21"/>
              </w:rPr>
              <w:t>评价工作等级</w:t>
            </w:r>
          </w:p>
        </w:tc>
        <w:tc>
          <w:tcPr>
            <w:tcW w:w="6241" w:type="dxa"/>
          </w:tcPr>
          <w:p w:rsidR="00D228BE" w:rsidRPr="00677D1F" w:rsidRDefault="00332EB6" w:rsidP="00677D1F">
            <w:pPr>
              <w:pStyle w:val="TableParagraph"/>
              <w:contextualSpacing/>
              <w:jc w:val="center"/>
              <w:rPr>
                <w:sz w:val="21"/>
                <w:szCs w:val="21"/>
              </w:rPr>
            </w:pPr>
            <w:r w:rsidRPr="00677D1F">
              <w:rPr>
                <w:sz w:val="21"/>
                <w:szCs w:val="21"/>
              </w:rPr>
              <w:t>评价工作分级判据</w:t>
            </w:r>
          </w:p>
        </w:tc>
      </w:tr>
      <w:tr w:rsidR="00D228BE" w:rsidRPr="00677D1F">
        <w:trPr>
          <w:trHeight w:val="340"/>
          <w:jc w:val="center"/>
        </w:trPr>
        <w:tc>
          <w:tcPr>
            <w:tcW w:w="2830" w:type="dxa"/>
          </w:tcPr>
          <w:p w:rsidR="00D228BE" w:rsidRPr="00677D1F" w:rsidRDefault="00332EB6" w:rsidP="00677D1F">
            <w:pPr>
              <w:pStyle w:val="TableParagraph"/>
              <w:contextualSpacing/>
              <w:jc w:val="center"/>
              <w:rPr>
                <w:rFonts w:eastAsia="宋体"/>
                <w:sz w:val="21"/>
                <w:szCs w:val="21"/>
              </w:rPr>
            </w:pPr>
            <w:r w:rsidRPr="00677D1F">
              <w:rPr>
                <w:sz w:val="21"/>
                <w:szCs w:val="21"/>
              </w:rPr>
              <w:t>一级</w:t>
            </w:r>
            <w:r w:rsidRPr="00677D1F">
              <w:rPr>
                <w:rFonts w:eastAsia="宋体" w:hint="eastAsia"/>
                <w:sz w:val="21"/>
                <w:szCs w:val="21"/>
              </w:rPr>
              <w:t>评价</w:t>
            </w:r>
          </w:p>
        </w:tc>
        <w:tc>
          <w:tcPr>
            <w:tcW w:w="6241" w:type="dxa"/>
          </w:tcPr>
          <w:p w:rsidR="00D228BE" w:rsidRPr="00677D1F" w:rsidRDefault="00332EB6" w:rsidP="00677D1F">
            <w:pPr>
              <w:pStyle w:val="TableParagraph"/>
              <w:contextualSpacing/>
              <w:jc w:val="center"/>
              <w:rPr>
                <w:rFonts w:ascii="Times New Roman" w:eastAsia="宋体" w:hAnsi="Times New Roman"/>
                <w:sz w:val="21"/>
                <w:szCs w:val="21"/>
                <w:lang w:val="en-US"/>
              </w:rPr>
            </w:pPr>
            <w:r w:rsidRPr="00677D1F">
              <w:rPr>
                <w:rFonts w:ascii="Times New Roman" w:eastAsia="Times New Roman" w:hAnsi="Times New Roman"/>
                <w:sz w:val="21"/>
                <w:szCs w:val="21"/>
              </w:rPr>
              <w:t>P</w:t>
            </w:r>
            <w:r w:rsidRPr="00677D1F">
              <w:rPr>
                <w:rFonts w:ascii="Times New Roman" w:eastAsia="Times New Roman" w:hAnsi="Times New Roman"/>
                <w:sz w:val="21"/>
                <w:szCs w:val="21"/>
                <w:vertAlign w:val="subscript"/>
              </w:rPr>
              <w:t>max</w:t>
            </w:r>
            <w:r w:rsidRPr="00677D1F">
              <w:rPr>
                <w:rFonts w:ascii="Times New Roman" w:eastAsia="宋体" w:hAnsi="Times New Roman" w:hint="eastAsia"/>
                <w:sz w:val="21"/>
                <w:szCs w:val="21"/>
              </w:rPr>
              <w:t>≥</w:t>
            </w:r>
            <w:r w:rsidRPr="00677D1F">
              <w:rPr>
                <w:rFonts w:ascii="Times New Roman" w:eastAsia="宋体" w:hAnsi="Times New Roman" w:hint="eastAsia"/>
                <w:sz w:val="21"/>
                <w:szCs w:val="21"/>
                <w:lang w:val="en-US"/>
              </w:rPr>
              <w:t>10%</w:t>
            </w:r>
          </w:p>
        </w:tc>
      </w:tr>
      <w:tr w:rsidR="00D228BE" w:rsidRPr="00677D1F">
        <w:trPr>
          <w:trHeight w:val="340"/>
          <w:jc w:val="center"/>
        </w:trPr>
        <w:tc>
          <w:tcPr>
            <w:tcW w:w="2830" w:type="dxa"/>
          </w:tcPr>
          <w:p w:rsidR="00D228BE" w:rsidRPr="00677D1F" w:rsidRDefault="00332EB6" w:rsidP="00677D1F">
            <w:pPr>
              <w:pStyle w:val="TableParagraph"/>
              <w:contextualSpacing/>
              <w:jc w:val="center"/>
              <w:rPr>
                <w:rFonts w:eastAsia="宋体"/>
                <w:sz w:val="21"/>
                <w:szCs w:val="21"/>
              </w:rPr>
            </w:pPr>
            <w:r w:rsidRPr="00677D1F">
              <w:rPr>
                <w:sz w:val="21"/>
                <w:szCs w:val="21"/>
              </w:rPr>
              <w:t>二级</w:t>
            </w:r>
            <w:r w:rsidRPr="00677D1F">
              <w:rPr>
                <w:rFonts w:eastAsia="宋体" w:hint="eastAsia"/>
                <w:sz w:val="21"/>
                <w:szCs w:val="21"/>
              </w:rPr>
              <w:t>评价</w:t>
            </w:r>
          </w:p>
        </w:tc>
        <w:tc>
          <w:tcPr>
            <w:tcW w:w="6241" w:type="dxa"/>
          </w:tcPr>
          <w:p w:rsidR="00D228BE" w:rsidRPr="00677D1F" w:rsidRDefault="00332EB6" w:rsidP="00677D1F">
            <w:pPr>
              <w:pStyle w:val="TableParagraph"/>
              <w:contextualSpacing/>
              <w:jc w:val="center"/>
              <w:rPr>
                <w:rFonts w:eastAsia="宋体"/>
                <w:sz w:val="21"/>
                <w:szCs w:val="21"/>
                <w:lang w:val="en-US"/>
              </w:rPr>
            </w:pPr>
            <w:r w:rsidRPr="00677D1F">
              <w:rPr>
                <w:rFonts w:ascii="Times New Roman" w:eastAsia="宋体" w:hAnsi="Times New Roman" w:hint="eastAsia"/>
                <w:sz w:val="21"/>
                <w:szCs w:val="21"/>
                <w:lang w:val="en-US"/>
              </w:rPr>
              <w:t>1%</w:t>
            </w:r>
            <w:r w:rsidRPr="00677D1F">
              <w:rPr>
                <w:rFonts w:ascii="Times New Roman" w:eastAsia="宋体" w:hAnsi="Times New Roman" w:hint="eastAsia"/>
                <w:sz w:val="21"/>
                <w:szCs w:val="21"/>
              </w:rPr>
              <w:t>≤</w:t>
            </w:r>
            <w:r w:rsidRPr="00677D1F">
              <w:rPr>
                <w:rFonts w:ascii="Times New Roman" w:eastAsia="Times New Roman" w:hAnsi="Times New Roman"/>
                <w:sz w:val="21"/>
                <w:szCs w:val="21"/>
              </w:rPr>
              <w:t>P</w:t>
            </w:r>
            <w:r w:rsidRPr="00677D1F">
              <w:rPr>
                <w:rFonts w:ascii="Times New Roman" w:eastAsia="Times New Roman" w:hAnsi="Times New Roman"/>
                <w:sz w:val="21"/>
                <w:szCs w:val="21"/>
                <w:vertAlign w:val="subscript"/>
              </w:rPr>
              <w:t>max</w:t>
            </w:r>
            <w:r w:rsidRPr="00677D1F">
              <w:rPr>
                <w:rFonts w:ascii="Times New Roman" w:eastAsia="宋体" w:hAnsi="Times New Roman" w:hint="eastAsia"/>
                <w:sz w:val="21"/>
                <w:szCs w:val="21"/>
              </w:rPr>
              <w:t>＜</w:t>
            </w:r>
            <w:r w:rsidRPr="00677D1F">
              <w:rPr>
                <w:rFonts w:ascii="Times New Roman" w:eastAsia="宋体" w:hAnsi="Times New Roman" w:hint="eastAsia"/>
                <w:sz w:val="21"/>
                <w:szCs w:val="21"/>
                <w:lang w:val="en-US"/>
              </w:rPr>
              <w:t>10%</w:t>
            </w:r>
          </w:p>
        </w:tc>
      </w:tr>
      <w:tr w:rsidR="00D228BE" w:rsidRPr="00677D1F">
        <w:trPr>
          <w:trHeight w:val="340"/>
          <w:jc w:val="center"/>
        </w:trPr>
        <w:tc>
          <w:tcPr>
            <w:tcW w:w="2830" w:type="dxa"/>
          </w:tcPr>
          <w:p w:rsidR="00D228BE" w:rsidRPr="00677D1F" w:rsidRDefault="00332EB6" w:rsidP="00677D1F">
            <w:pPr>
              <w:pStyle w:val="TableParagraph"/>
              <w:contextualSpacing/>
              <w:jc w:val="center"/>
              <w:rPr>
                <w:rFonts w:eastAsia="宋体"/>
                <w:sz w:val="21"/>
                <w:szCs w:val="21"/>
              </w:rPr>
            </w:pPr>
            <w:r w:rsidRPr="00677D1F">
              <w:rPr>
                <w:sz w:val="21"/>
                <w:szCs w:val="21"/>
              </w:rPr>
              <w:t>三级</w:t>
            </w:r>
            <w:r w:rsidRPr="00677D1F">
              <w:rPr>
                <w:rFonts w:eastAsia="宋体" w:hint="eastAsia"/>
                <w:sz w:val="21"/>
                <w:szCs w:val="21"/>
              </w:rPr>
              <w:t>评价</w:t>
            </w:r>
          </w:p>
        </w:tc>
        <w:tc>
          <w:tcPr>
            <w:tcW w:w="6241" w:type="dxa"/>
          </w:tcPr>
          <w:p w:rsidR="00D228BE" w:rsidRPr="00677D1F" w:rsidRDefault="00332EB6" w:rsidP="00677D1F">
            <w:pPr>
              <w:pStyle w:val="TableParagraph"/>
              <w:contextualSpacing/>
              <w:jc w:val="center"/>
              <w:rPr>
                <w:sz w:val="21"/>
                <w:szCs w:val="21"/>
              </w:rPr>
            </w:pPr>
            <w:r w:rsidRPr="00677D1F">
              <w:rPr>
                <w:rFonts w:ascii="Times New Roman" w:eastAsia="Times New Roman" w:hAnsi="Times New Roman"/>
                <w:sz w:val="21"/>
                <w:szCs w:val="21"/>
              </w:rPr>
              <w:t>P</w:t>
            </w:r>
            <w:r w:rsidRPr="00677D1F">
              <w:rPr>
                <w:rFonts w:ascii="Times New Roman" w:eastAsia="Times New Roman" w:hAnsi="Times New Roman"/>
                <w:sz w:val="21"/>
                <w:szCs w:val="21"/>
                <w:vertAlign w:val="subscript"/>
              </w:rPr>
              <w:t>max</w:t>
            </w:r>
            <w:r w:rsidRPr="00677D1F">
              <w:rPr>
                <w:rFonts w:ascii="Times New Roman" w:eastAsia="宋体" w:hAnsi="Times New Roman" w:hint="eastAsia"/>
                <w:sz w:val="21"/>
                <w:szCs w:val="21"/>
              </w:rPr>
              <w:t>＜</w:t>
            </w:r>
            <w:r w:rsidRPr="00677D1F">
              <w:rPr>
                <w:rFonts w:ascii="Times New Roman" w:eastAsia="宋体" w:hAnsi="Times New Roman" w:hint="eastAsia"/>
                <w:sz w:val="21"/>
                <w:szCs w:val="21"/>
                <w:lang w:val="en-US"/>
              </w:rPr>
              <w:t>1%</w:t>
            </w:r>
          </w:p>
        </w:tc>
      </w:tr>
    </w:tbl>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5</w:t>
      </w:r>
      <w:r w:rsidRPr="00677D1F">
        <w:rPr>
          <w:rFonts w:asciiTheme="minorEastAsia" w:hAnsiTheme="minorEastAsia" w:cs="宋体" w:hint="eastAsia"/>
          <w:color w:val="000000"/>
          <w:kern w:val="0"/>
          <w:sz w:val="24"/>
          <w:szCs w:val="24"/>
        </w:rPr>
        <w:t>）评价等级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Times New Roman"/>
          <w:color w:val="000000"/>
          <w:kern w:val="0"/>
          <w:sz w:val="24"/>
          <w:szCs w:val="24"/>
        </w:rPr>
        <w:t>2.4-2</w:t>
      </w:r>
      <w:r w:rsidRPr="00677D1F">
        <w:rPr>
          <w:rFonts w:asciiTheme="minorEastAsia" w:hAnsiTheme="minorEastAsia" w:cs="宋体" w:hint="eastAsia"/>
          <w:color w:val="000000"/>
          <w:kern w:val="0"/>
          <w:sz w:val="24"/>
          <w:szCs w:val="24"/>
        </w:rPr>
        <w:t>和表</w:t>
      </w:r>
      <w:r w:rsidRPr="00677D1F">
        <w:rPr>
          <w:rFonts w:asciiTheme="minorEastAsia" w:hAnsiTheme="minorEastAsia" w:cs="Times New Roman"/>
          <w:color w:val="000000"/>
          <w:kern w:val="0"/>
          <w:sz w:val="24"/>
          <w:szCs w:val="24"/>
        </w:rPr>
        <w:t>2.4-3</w:t>
      </w:r>
      <w:r w:rsidRPr="00677D1F">
        <w:rPr>
          <w:rFonts w:asciiTheme="minorEastAsia" w:hAnsiTheme="minorEastAsia" w:cs="宋体" w:hint="eastAsia"/>
          <w:color w:val="000000"/>
          <w:kern w:val="0"/>
          <w:sz w:val="24"/>
          <w:szCs w:val="24"/>
        </w:rPr>
        <w:t>可以看出，采用估算模式计算后，拟建项目大气污染物</w:t>
      </w:r>
      <w:r w:rsidRPr="00677D1F">
        <w:rPr>
          <w:rFonts w:asciiTheme="minorEastAsia" w:hAnsiTheme="minorEastAsia" w:cs="Times New Roman"/>
          <w:color w:val="000000"/>
          <w:kern w:val="0"/>
          <w:sz w:val="24"/>
          <w:szCs w:val="24"/>
        </w:rPr>
        <w:t>Cl</w:t>
      </w:r>
      <w:r w:rsidRPr="00677D1F">
        <w:rPr>
          <w:rFonts w:asciiTheme="minorEastAsia" w:hAnsiTheme="minorEastAsia" w:cs="Times New Roman"/>
          <w:color w:val="000000"/>
          <w:kern w:val="0"/>
          <w:sz w:val="24"/>
          <w:szCs w:val="24"/>
          <w:vertAlign w:val="subscript"/>
        </w:rPr>
        <w:t>2</w:t>
      </w:r>
      <w:r w:rsidRPr="00677D1F">
        <w:rPr>
          <w:rFonts w:asciiTheme="minorEastAsia" w:hAnsiTheme="minorEastAsia" w:cs="宋体" w:hint="eastAsia"/>
          <w:color w:val="000000"/>
          <w:kern w:val="0"/>
          <w:sz w:val="24"/>
          <w:szCs w:val="24"/>
        </w:rPr>
        <w:t>排放最大落地浓度占标率</w:t>
      </w:r>
      <w:r w:rsidRPr="00677D1F">
        <w:rPr>
          <w:rFonts w:asciiTheme="minorEastAsia" w:hAnsiTheme="minorEastAsia" w:cs="Times New Roman"/>
          <w:color w:val="000000"/>
          <w:kern w:val="0"/>
          <w:sz w:val="24"/>
          <w:szCs w:val="24"/>
        </w:rPr>
        <w:t>Pi</w:t>
      </w:r>
      <w:r w:rsidRPr="00677D1F">
        <w:rPr>
          <w:rFonts w:asciiTheme="minorEastAsia" w:hAnsiTheme="minorEastAsia" w:cs="宋体" w:hint="eastAsia"/>
          <w:color w:val="000000"/>
          <w:kern w:val="0"/>
          <w:sz w:val="24"/>
          <w:szCs w:val="24"/>
        </w:rPr>
        <w:t>值最大为</w:t>
      </w:r>
      <w:r w:rsidRPr="00677D1F">
        <w:rPr>
          <w:rFonts w:asciiTheme="minorEastAsia" w:hAnsiTheme="minorEastAsia" w:cs="Times New Roman"/>
          <w:color w:val="000000"/>
          <w:kern w:val="0"/>
          <w:sz w:val="24"/>
          <w:szCs w:val="24"/>
        </w:rPr>
        <w:t>26.47%</w:t>
      </w:r>
      <w:r w:rsidRPr="00677D1F">
        <w:rPr>
          <w:rFonts w:asciiTheme="minorEastAsia" w:hAnsiTheme="minorEastAsia" w:cs="宋体" w:hint="eastAsia"/>
          <w:color w:val="000000"/>
          <w:kern w:val="0"/>
          <w:sz w:val="24"/>
          <w:szCs w:val="24"/>
        </w:rPr>
        <w:t>，根据《环境影响评价技术导则大气环境》（</w:t>
      </w:r>
      <w:r w:rsidRPr="00677D1F">
        <w:rPr>
          <w:rFonts w:asciiTheme="minorEastAsia" w:hAnsiTheme="minorEastAsia" w:cs="Times New Roman"/>
          <w:color w:val="000000"/>
          <w:kern w:val="0"/>
          <w:sz w:val="24"/>
          <w:szCs w:val="24"/>
        </w:rPr>
        <w:t>HJ2.2-20</w:t>
      </w:r>
      <w:r w:rsidRPr="00677D1F">
        <w:rPr>
          <w:rFonts w:asciiTheme="minorEastAsia" w:hAnsiTheme="minorEastAsia" w:cs="Times New Roman" w:hint="eastAsia"/>
          <w:color w:val="000000"/>
          <w:kern w:val="0"/>
          <w:sz w:val="24"/>
          <w:szCs w:val="24"/>
        </w:rPr>
        <w:t>1</w:t>
      </w:r>
      <w:r w:rsidRPr="00677D1F">
        <w:rPr>
          <w:rFonts w:asciiTheme="minorEastAsia" w:hAnsiTheme="minorEastAsia" w:cs="Times New Roman"/>
          <w:color w:val="000000"/>
          <w:kern w:val="0"/>
          <w:sz w:val="24"/>
          <w:szCs w:val="24"/>
        </w:rPr>
        <w:t>8</w:t>
      </w:r>
      <w:r w:rsidRPr="00677D1F">
        <w:rPr>
          <w:rFonts w:asciiTheme="minorEastAsia" w:hAnsiTheme="minorEastAsia" w:cs="宋体" w:hint="eastAsia"/>
          <w:color w:val="000000"/>
          <w:kern w:val="0"/>
          <w:sz w:val="24"/>
          <w:szCs w:val="24"/>
        </w:rPr>
        <w:t>）评价等级判定依据，拟建项目大气环境影响评价等级为一级。</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2.4.1.2</w:t>
      </w:r>
      <w:r w:rsidRPr="00677D1F">
        <w:rPr>
          <w:rFonts w:ascii="宋体" w:eastAsia="宋体" w:hAnsi="宋体" w:cs="宋体" w:hint="eastAsia"/>
          <w:b/>
          <w:bCs/>
          <w:color w:val="000000"/>
          <w:kern w:val="0"/>
          <w:sz w:val="24"/>
          <w:szCs w:val="24"/>
        </w:rPr>
        <w:t>声环境影响评价等级</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本项目区位于声环境功能区3类，周围没有声环境敏感目标，但投产后部分厂界噪声值增加3-5dB（A）。根据《环境影响评价技术导则声环境》（HJ2.4-2009）中的</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5.2.3条</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规定：建设项目所处的声环境功能区为GB3096规定的1类、2类地区，或建设项目建设前后评价范围内敏感目标</w:t>
      </w:r>
      <w:r w:rsidRPr="00677D1F">
        <w:rPr>
          <w:rFonts w:ascii="宋体" w:eastAsia="宋体" w:hAnsi="宋体" w:cs="宋体" w:hint="eastAsia"/>
          <w:color w:val="000000"/>
          <w:kern w:val="0"/>
          <w:sz w:val="24"/>
          <w:szCs w:val="24"/>
        </w:rPr>
        <w:t>噪声级增高量达3-5dB（A）[含5dB（A）]，或受噪声影响人口数量增加较多时，按二级评价。因此确定拟建项目的声环境影响评价等级为二级。</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2.4.1.3</w:t>
      </w:r>
      <w:r w:rsidRPr="00677D1F">
        <w:rPr>
          <w:rFonts w:ascii="宋体" w:eastAsia="宋体" w:hAnsi="宋体" w:cs="宋体" w:hint="eastAsia"/>
          <w:b/>
          <w:bCs/>
          <w:color w:val="000000"/>
          <w:kern w:val="0"/>
          <w:sz w:val="24"/>
          <w:szCs w:val="24"/>
        </w:rPr>
        <w:t>地表水环境影响评价等级</w:t>
      </w:r>
    </w:p>
    <w:p w:rsidR="00D228BE" w:rsidRPr="00677D1F" w:rsidRDefault="00332EB6" w:rsidP="00677D1F">
      <w:pPr>
        <w:pStyle w:val="af3"/>
        <w:adjustRightInd/>
        <w:snapToGrid/>
        <w:spacing w:line="360" w:lineRule="auto"/>
        <w:ind w:firstLine="480"/>
        <w:contextualSpacing/>
        <w:rPr>
          <w:szCs w:val="24"/>
        </w:rPr>
      </w:pPr>
      <w:r w:rsidRPr="00677D1F">
        <w:rPr>
          <w:szCs w:val="24"/>
        </w:rPr>
        <w:t>按</w:t>
      </w:r>
      <w:r w:rsidRPr="00677D1F">
        <w:rPr>
          <w:szCs w:val="24"/>
          <w:lang w:val="zh-CN"/>
        </w:rPr>
        <w:t>《环境影响评价技术导则</w:t>
      </w:r>
      <w:r w:rsidRPr="00677D1F">
        <w:rPr>
          <w:szCs w:val="24"/>
          <w:lang w:val="zh-CN"/>
        </w:rPr>
        <w:t xml:space="preserve"> </w:t>
      </w:r>
      <w:r w:rsidRPr="00677D1F">
        <w:rPr>
          <w:szCs w:val="24"/>
          <w:lang w:val="zh-CN"/>
        </w:rPr>
        <w:t>地表水环境》（</w:t>
      </w:r>
      <w:r w:rsidRPr="00677D1F">
        <w:rPr>
          <w:szCs w:val="24"/>
          <w:lang w:val="zh-CN"/>
        </w:rPr>
        <w:t>HJ/T2.3-</w:t>
      </w:r>
      <w:r w:rsidRPr="00677D1F">
        <w:rPr>
          <w:szCs w:val="24"/>
        </w:rPr>
        <w:t>2018</w:t>
      </w:r>
      <w:r w:rsidRPr="00677D1F">
        <w:rPr>
          <w:szCs w:val="24"/>
          <w:lang w:val="zh-CN"/>
        </w:rPr>
        <w:t>）地面水环境影响评价工作</w:t>
      </w:r>
      <w:r w:rsidRPr="00677D1F">
        <w:rPr>
          <w:szCs w:val="24"/>
        </w:rPr>
        <w:t>等级按照影响类型、排放方式、排放量或影响情况、受纳水体环境质量现状、水环境保护目标等综合确定。</w:t>
      </w:r>
    </w:p>
    <w:p w:rsidR="00D228BE" w:rsidRPr="00677D1F" w:rsidRDefault="00332EB6" w:rsidP="00677D1F">
      <w:pPr>
        <w:pStyle w:val="af3"/>
        <w:adjustRightInd/>
        <w:snapToGrid/>
        <w:spacing w:line="360" w:lineRule="auto"/>
        <w:ind w:firstLine="480"/>
        <w:contextualSpacing/>
        <w:rPr>
          <w:szCs w:val="24"/>
        </w:rPr>
      </w:pPr>
      <w:r w:rsidRPr="00677D1F">
        <w:rPr>
          <w:szCs w:val="24"/>
        </w:rPr>
        <w:t>评价等级判定见表</w:t>
      </w:r>
      <w:r w:rsidRPr="00677D1F">
        <w:rPr>
          <w:szCs w:val="24"/>
        </w:rPr>
        <w:t>2.4-</w:t>
      </w:r>
      <w:r w:rsidRPr="00677D1F">
        <w:rPr>
          <w:rFonts w:hint="eastAsia"/>
          <w:szCs w:val="24"/>
        </w:rPr>
        <w:t>4</w:t>
      </w:r>
      <w:r w:rsidRPr="00677D1F">
        <w:rPr>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表2.4-4  地表水水污染型建设项目评价等级判定</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000"/>
        <w:gridCol w:w="4753"/>
      </w:tblGrid>
      <w:tr w:rsidR="00D228BE" w:rsidRPr="00677D1F">
        <w:trPr>
          <w:trHeight w:val="340"/>
        </w:trPr>
        <w:tc>
          <w:tcPr>
            <w:tcW w:w="2250" w:type="dxa"/>
            <w:vMerge w:val="restart"/>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评价等级</w:t>
            </w:r>
          </w:p>
        </w:tc>
        <w:tc>
          <w:tcPr>
            <w:tcW w:w="6753" w:type="dxa"/>
            <w:gridSpan w:val="2"/>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判定依据</w:t>
            </w:r>
          </w:p>
        </w:tc>
      </w:tr>
      <w:tr w:rsidR="00D228BE" w:rsidRPr="00677D1F">
        <w:trPr>
          <w:trHeight w:val="340"/>
        </w:trPr>
        <w:tc>
          <w:tcPr>
            <w:tcW w:w="2250" w:type="dxa"/>
            <w:vMerge/>
            <w:vAlign w:val="center"/>
          </w:tcPr>
          <w:p w:rsidR="00D228BE" w:rsidRPr="00677D1F" w:rsidRDefault="00D228BE" w:rsidP="00677D1F">
            <w:pPr>
              <w:pStyle w:val="af3"/>
              <w:adjustRightInd/>
              <w:snapToGrid/>
              <w:spacing w:line="240" w:lineRule="auto"/>
              <w:ind w:firstLineChars="0" w:firstLine="0"/>
              <w:contextualSpacing/>
              <w:jc w:val="center"/>
              <w:rPr>
                <w:sz w:val="21"/>
              </w:rPr>
            </w:pPr>
          </w:p>
        </w:tc>
        <w:tc>
          <w:tcPr>
            <w:tcW w:w="2000"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排放方式</w:t>
            </w:r>
          </w:p>
        </w:tc>
        <w:tc>
          <w:tcPr>
            <w:tcW w:w="4753"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废水排放量</w:t>
            </w:r>
            <w:r w:rsidRPr="00677D1F">
              <w:rPr>
                <w:sz w:val="21"/>
              </w:rPr>
              <w:t>Q/(m</w:t>
            </w:r>
            <w:r w:rsidRPr="00677D1F">
              <w:rPr>
                <w:sz w:val="21"/>
                <w:vertAlign w:val="superscript"/>
              </w:rPr>
              <w:t>3</w:t>
            </w:r>
            <w:r w:rsidRPr="00677D1F">
              <w:rPr>
                <w:sz w:val="21"/>
              </w:rPr>
              <w:t>/d)</w:t>
            </w:r>
            <w:r w:rsidRPr="00677D1F">
              <w:rPr>
                <w:sz w:val="21"/>
              </w:rPr>
              <w:t>；水污染当量数</w:t>
            </w:r>
            <w:r w:rsidRPr="00677D1F">
              <w:rPr>
                <w:sz w:val="21"/>
              </w:rPr>
              <w:t>W/(</w:t>
            </w:r>
            <w:r w:rsidRPr="00677D1F">
              <w:rPr>
                <w:sz w:val="21"/>
              </w:rPr>
              <w:t>无量纲）</w:t>
            </w:r>
          </w:p>
        </w:tc>
      </w:tr>
      <w:tr w:rsidR="00D228BE" w:rsidRPr="00677D1F">
        <w:trPr>
          <w:trHeight w:val="340"/>
        </w:trPr>
        <w:tc>
          <w:tcPr>
            <w:tcW w:w="2250"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一级</w:t>
            </w:r>
          </w:p>
        </w:tc>
        <w:tc>
          <w:tcPr>
            <w:tcW w:w="2000"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直接排放</w:t>
            </w:r>
          </w:p>
        </w:tc>
        <w:tc>
          <w:tcPr>
            <w:tcW w:w="4753"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Q≥20000</w:t>
            </w:r>
            <w:r w:rsidRPr="00677D1F">
              <w:rPr>
                <w:sz w:val="21"/>
              </w:rPr>
              <w:t>或</w:t>
            </w:r>
            <w:r w:rsidRPr="00677D1F">
              <w:rPr>
                <w:sz w:val="21"/>
              </w:rPr>
              <w:t>W≥600000</w:t>
            </w:r>
          </w:p>
        </w:tc>
      </w:tr>
      <w:tr w:rsidR="00D228BE" w:rsidRPr="00677D1F">
        <w:trPr>
          <w:trHeight w:val="340"/>
        </w:trPr>
        <w:tc>
          <w:tcPr>
            <w:tcW w:w="2250"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二级</w:t>
            </w:r>
          </w:p>
        </w:tc>
        <w:tc>
          <w:tcPr>
            <w:tcW w:w="2000" w:type="dxa"/>
            <w:vAlign w:val="center"/>
          </w:tcPr>
          <w:p w:rsidR="00D228BE" w:rsidRPr="00677D1F" w:rsidRDefault="00332EB6" w:rsidP="00677D1F">
            <w:pPr>
              <w:pStyle w:val="af3"/>
              <w:adjustRightInd/>
              <w:snapToGrid/>
              <w:spacing w:line="240" w:lineRule="auto"/>
              <w:ind w:firstLineChars="0" w:firstLine="0"/>
              <w:contextualSpacing/>
              <w:jc w:val="center"/>
              <w:rPr>
                <w:sz w:val="21"/>
                <w:lang w:val="zh-CN"/>
              </w:rPr>
            </w:pPr>
            <w:r w:rsidRPr="00677D1F">
              <w:rPr>
                <w:sz w:val="21"/>
              </w:rPr>
              <w:t>直接排放</w:t>
            </w:r>
          </w:p>
        </w:tc>
        <w:tc>
          <w:tcPr>
            <w:tcW w:w="4753"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其他</w:t>
            </w:r>
          </w:p>
        </w:tc>
      </w:tr>
      <w:tr w:rsidR="00D228BE" w:rsidRPr="00677D1F">
        <w:trPr>
          <w:trHeight w:val="340"/>
        </w:trPr>
        <w:tc>
          <w:tcPr>
            <w:tcW w:w="2250"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三级</w:t>
            </w:r>
            <w:r w:rsidRPr="00677D1F">
              <w:rPr>
                <w:sz w:val="21"/>
              </w:rPr>
              <w:t>A</w:t>
            </w:r>
          </w:p>
        </w:tc>
        <w:tc>
          <w:tcPr>
            <w:tcW w:w="2000" w:type="dxa"/>
            <w:vAlign w:val="center"/>
          </w:tcPr>
          <w:p w:rsidR="00D228BE" w:rsidRPr="00677D1F" w:rsidRDefault="00332EB6" w:rsidP="00677D1F">
            <w:pPr>
              <w:pStyle w:val="af3"/>
              <w:adjustRightInd/>
              <w:snapToGrid/>
              <w:spacing w:line="240" w:lineRule="auto"/>
              <w:ind w:firstLineChars="0" w:firstLine="0"/>
              <w:contextualSpacing/>
              <w:jc w:val="center"/>
              <w:rPr>
                <w:sz w:val="21"/>
                <w:lang w:val="zh-CN"/>
              </w:rPr>
            </w:pPr>
            <w:r w:rsidRPr="00677D1F">
              <w:rPr>
                <w:sz w:val="21"/>
              </w:rPr>
              <w:t>直接排放</w:t>
            </w:r>
          </w:p>
        </w:tc>
        <w:tc>
          <w:tcPr>
            <w:tcW w:w="4753" w:type="dxa"/>
            <w:vAlign w:val="center"/>
          </w:tcPr>
          <w:p w:rsidR="00D228BE" w:rsidRPr="00677D1F" w:rsidRDefault="00332EB6" w:rsidP="00677D1F">
            <w:pPr>
              <w:pStyle w:val="af3"/>
              <w:adjustRightInd/>
              <w:snapToGrid/>
              <w:spacing w:line="240" w:lineRule="auto"/>
              <w:ind w:firstLineChars="0" w:firstLine="0"/>
              <w:contextualSpacing/>
              <w:jc w:val="center"/>
              <w:rPr>
                <w:sz w:val="21"/>
              </w:rPr>
            </w:pPr>
            <w:r w:rsidRPr="00677D1F">
              <w:rPr>
                <w:sz w:val="21"/>
              </w:rPr>
              <w:t>Q</w:t>
            </w:r>
            <w:r w:rsidRPr="00677D1F">
              <w:rPr>
                <w:sz w:val="21"/>
              </w:rPr>
              <w:t>＜</w:t>
            </w:r>
            <w:r w:rsidRPr="00677D1F">
              <w:rPr>
                <w:sz w:val="21"/>
              </w:rPr>
              <w:t>200</w:t>
            </w:r>
            <w:r w:rsidRPr="00677D1F">
              <w:rPr>
                <w:sz w:val="21"/>
              </w:rPr>
              <w:t>且</w:t>
            </w:r>
            <w:r w:rsidRPr="00677D1F">
              <w:rPr>
                <w:sz w:val="21"/>
              </w:rPr>
              <w:t>W≥6000</w:t>
            </w:r>
          </w:p>
        </w:tc>
      </w:tr>
      <w:tr w:rsidR="00D228BE" w:rsidRPr="00677D1F">
        <w:trPr>
          <w:trHeight w:val="340"/>
        </w:trPr>
        <w:tc>
          <w:tcPr>
            <w:tcW w:w="2250" w:type="dxa"/>
            <w:vAlign w:val="center"/>
          </w:tcPr>
          <w:p w:rsidR="00D228BE" w:rsidRPr="00677D1F" w:rsidRDefault="00332EB6" w:rsidP="00677D1F">
            <w:pPr>
              <w:pStyle w:val="af6"/>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t>三级</w:t>
            </w:r>
            <w:r w:rsidRPr="00677D1F">
              <w:rPr>
                <w:rFonts w:ascii="Times New Roman" w:eastAsia="宋体" w:hAnsi="Times New Roman" w:cs="Times New Roman"/>
                <w:lang w:val="zh-CN"/>
              </w:rPr>
              <w:t>B</w:t>
            </w:r>
          </w:p>
        </w:tc>
        <w:tc>
          <w:tcPr>
            <w:tcW w:w="2000" w:type="dxa"/>
            <w:vAlign w:val="center"/>
          </w:tcPr>
          <w:p w:rsidR="00D228BE" w:rsidRPr="00677D1F" w:rsidRDefault="00332EB6" w:rsidP="00677D1F">
            <w:pPr>
              <w:pStyle w:val="af6"/>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t>间接排放</w:t>
            </w:r>
          </w:p>
        </w:tc>
        <w:tc>
          <w:tcPr>
            <w:tcW w:w="4753" w:type="dxa"/>
            <w:vAlign w:val="center"/>
          </w:tcPr>
          <w:p w:rsidR="00D228BE" w:rsidRPr="00677D1F" w:rsidRDefault="00332EB6" w:rsidP="00677D1F">
            <w:pPr>
              <w:pStyle w:val="af6"/>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t>-</w:t>
            </w:r>
          </w:p>
        </w:tc>
      </w:tr>
    </w:tbl>
    <w:p w:rsidR="00D228BE" w:rsidRPr="00677D1F" w:rsidRDefault="00332EB6" w:rsidP="00677D1F">
      <w:pPr>
        <w:pStyle w:val="af6"/>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lastRenderedPageBreak/>
        <w:t>根据本项目属于水污染型建设项目，项目产生生产废水循环使用不外排，生活污水排放量为</w:t>
      </w:r>
      <w:r w:rsidRPr="00677D1F">
        <w:rPr>
          <w:rFonts w:ascii="Times New Roman" w:eastAsia="宋体" w:hAnsi="Times New Roman" w:cs="Times New Roman"/>
          <w:lang w:val="zh-CN"/>
        </w:rPr>
        <w:t>200m</w:t>
      </w:r>
      <w:r w:rsidRPr="00677D1F">
        <w:rPr>
          <w:rFonts w:ascii="Times New Roman" w:eastAsia="宋体" w:hAnsi="Times New Roman" w:cs="Times New Roman"/>
          <w:vertAlign w:val="superscript"/>
          <w:lang w:val="zh-CN"/>
        </w:rPr>
        <w:t>3</w:t>
      </w:r>
      <w:r w:rsidRPr="00677D1F">
        <w:rPr>
          <w:rFonts w:ascii="Times New Roman" w:eastAsia="宋体" w:hAnsi="Times New Roman" w:cs="Times New Roman"/>
          <w:lang w:val="zh-CN"/>
        </w:rPr>
        <w:t>/a</w:t>
      </w:r>
      <w:r w:rsidRPr="00677D1F">
        <w:rPr>
          <w:rFonts w:ascii="Times New Roman" w:eastAsia="宋体" w:hAnsi="Times New Roman" w:cs="Times New Roman"/>
          <w:lang w:val="zh-CN"/>
        </w:rPr>
        <w:t>（</w:t>
      </w:r>
      <w:r w:rsidRPr="00677D1F">
        <w:rPr>
          <w:rFonts w:ascii="Times New Roman" w:eastAsia="宋体" w:hAnsi="Times New Roman" w:cs="Times New Roman"/>
          <w:lang w:val="zh-CN"/>
        </w:rPr>
        <w:t>0.8m</w:t>
      </w:r>
      <w:r w:rsidRPr="00677D1F">
        <w:rPr>
          <w:rFonts w:ascii="Times New Roman" w:eastAsia="宋体" w:hAnsi="Times New Roman" w:cs="Times New Roman"/>
          <w:vertAlign w:val="superscript"/>
          <w:lang w:val="zh-CN"/>
        </w:rPr>
        <w:t>3</w:t>
      </w:r>
      <w:r w:rsidRPr="00677D1F">
        <w:rPr>
          <w:rFonts w:ascii="Times New Roman" w:eastAsia="宋体" w:hAnsi="Times New Roman" w:cs="Times New Roman"/>
          <w:lang w:val="zh-CN"/>
        </w:rPr>
        <w:t>/d)</w:t>
      </w:r>
      <w:r w:rsidRPr="00677D1F">
        <w:rPr>
          <w:rFonts w:ascii="Times New Roman" w:eastAsia="宋体" w:hAnsi="Times New Roman" w:cs="Times New Roman"/>
          <w:lang w:val="zh-CN"/>
        </w:rPr>
        <w:t>），且生活污水排入</w:t>
      </w:r>
      <w:r w:rsidRPr="00677D1F">
        <w:rPr>
          <w:rFonts w:ascii="Times New Roman" w:eastAsia="宋体" w:hAnsi="Times New Roman" w:cs="Times New Roman" w:hint="eastAsia"/>
          <w:lang w:val="zh-CN"/>
        </w:rPr>
        <w:t>园区污水处理管网</w:t>
      </w:r>
      <w:r w:rsidRPr="00677D1F">
        <w:rPr>
          <w:rFonts w:ascii="Times New Roman" w:eastAsia="宋体" w:hAnsi="Times New Roman" w:cs="Times New Roman"/>
          <w:lang w:val="zh-CN"/>
        </w:rPr>
        <w:t>，因此建设项目地表水评价等级为三级</w:t>
      </w:r>
      <w:r w:rsidRPr="00677D1F">
        <w:rPr>
          <w:rFonts w:ascii="Times New Roman" w:eastAsia="宋体" w:hAnsi="Times New Roman" w:cs="Times New Roman"/>
          <w:lang w:val="zh-CN"/>
        </w:rPr>
        <w:t>B</w:t>
      </w:r>
      <w:r w:rsidRPr="00677D1F">
        <w:rPr>
          <w:rFonts w:ascii="Times New Roman" w:eastAsia="宋体" w:hAnsi="Times New Roman" w:cs="Times New Roman"/>
          <w:lang w:val="zh-CN"/>
        </w:rPr>
        <w:t>，根据导则要求评价等级为三级</w:t>
      </w:r>
      <w:r w:rsidRPr="00677D1F">
        <w:rPr>
          <w:rFonts w:ascii="Times New Roman" w:eastAsia="宋体" w:hAnsi="Times New Roman" w:cs="Times New Roman"/>
          <w:lang w:val="zh-CN"/>
        </w:rPr>
        <w:t>B</w:t>
      </w:r>
      <w:r w:rsidRPr="00677D1F">
        <w:rPr>
          <w:rFonts w:ascii="Times New Roman" w:eastAsia="宋体" w:hAnsi="Times New Roman" w:cs="Times New Roman"/>
          <w:lang w:val="zh-CN"/>
        </w:rPr>
        <w:t>可不进行水环境影响预测，因此本项目仅对地表水进行现状描述进行分析。</w:t>
      </w:r>
    </w:p>
    <w:p w:rsidR="00D228BE" w:rsidRPr="00677D1F" w:rsidRDefault="00332EB6" w:rsidP="00677D1F">
      <w:pPr>
        <w:widowControl/>
        <w:spacing w:line="360" w:lineRule="auto"/>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2.4.1.4</w:t>
      </w:r>
      <w:r w:rsidRPr="00677D1F">
        <w:rPr>
          <w:rFonts w:ascii="宋体" w:eastAsia="宋体" w:hAnsi="宋体" w:cs="宋体" w:hint="eastAsia"/>
          <w:b/>
          <w:bCs/>
          <w:color w:val="000000"/>
          <w:kern w:val="0"/>
          <w:sz w:val="24"/>
          <w:szCs w:val="24"/>
        </w:rPr>
        <w:t>地下水环境影响评价等级</w:t>
      </w:r>
    </w:p>
    <w:p w:rsidR="00D228BE" w:rsidRPr="00677D1F" w:rsidRDefault="00332EB6" w:rsidP="00677D1F">
      <w:pPr>
        <w:pStyle w:val="af6"/>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t>根据《环境影响评价技术导则</w:t>
      </w:r>
      <w:r w:rsidRPr="00677D1F">
        <w:rPr>
          <w:rFonts w:ascii="Times New Roman" w:eastAsia="宋体" w:hAnsi="Times New Roman" w:cs="Times New Roman"/>
          <w:lang w:val="zh-CN"/>
        </w:rPr>
        <w:t xml:space="preserve"> </w:t>
      </w:r>
      <w:r w:rsidRPr="00677D1F">
        <w:rPr>
          <w:rFonts w:ascii="Times New Roman" w:eastAsia="宋体" w:hAnsi="Times New Roman" w:cs="Times New Roman"/>
          <w:lang w:val="zh-CN"/>
        </w:rPr>
        <w:t>地下水环境》（</w:t>
      </w:r>
      <w:r w:rsidRPr="00677D1F">
        <w:rPr>
          <w:rFonts w:ascii="Times New Roman" w:eastAsia="宋体" w:hAnsi="Times New Roman" w:cs="Times New Roman"/>
          <w:lang w:val="zh-CN"/>
        </w:rPr>
        <w:t>HJ610-2016</w:t>
      </w:r>
      <w:r w:rsidRPr="00677D1F">
        <w:rPr>
          <w:rFonts w:ascii="Times New Roman" w:eastAsia="宋体" w:hAnsi="Times New Roman" w:cs="Times New Roman"/>
          <w:lang w:val="zh-CN"/>
        </w:rPr>
        <w:t>）地下水环境影响评价工作级别的划分根据下列条件进行，即：建设项目所属的地下水环境影响评价项目类别和建设项目的地下水环境敏感程度。综合判定本项目地下水环境影响评价工作等级，并按所划定的工作等级开展评价工作。</w:t>
      </w:r>
    </w:p>
    <w:p w:rsidR="00D228BE" w:rsidRPr="00677D1F" w:rsidRDefault="00332EB6" w:rsidP="00677D1F">
      <w:pPr>
        <w:pStyle w:val="af6"/>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t>根据《环境影响评价技术导则</w:t>
      </w:r>
      <w:r w:rsidRPr="00677D1F">
        <w:rPr>
          <w:rFonts w:ascii="Times New Roman" w:eastAsia="宋体" w:hAnsi="Times New Roman" w:cs="Times New Roman"/>
          <w:lang w:val="zh-CN"/>
        </w:rPr>
        <w:t xml:space="preserve"> </w:t>
      </w:r>
      <w:r w:rsidRPr="00677D1F">
        <w:rPr>
          <w:rFonts w:ascii="Times New Roman" w:eastAsia="宋体" w:hAnsi="Times New Roman" w:cs="Times New Roman"/>
          <w:lang w:val="zh-CN"/>
        </w:rPr>
        <w:t>地下水环境》（</w:t>
      </w:r>
      <w:r w:rsidRPr="00677D1F">
        <w:rPr>
          <w:rFonts w:ascii="Times New Roman" w:eastAsia="宋体" w:hAnsi="Times New Roman" w:cs="Times New Roman"/>
          <w:lang w:val="zh-CN"/>
        </w:rPr>
        <w:t>HJ</w:t>
      </w:r>
      <w:r w:rsidRPr="00677D1F">
        <w:rPr>
          <w:rFonts w:ascii="Times New Roman" w:eastAsia="宋体" w:hAnsi="Times New Roman" w:cs="Times New Roman" w:hint="eastAsia"/>
        </w:rPr>
        <w:t xml:space="preserve"> </w:t>
      </w:r>
      <w:r w:rsidRPr="00677D1F">
        <w:rPr>
          <w:rFonts w:ascii="Times New Roman" w:eastAsia="宋体" w:hAnsi="Times New Roman" w:cs="Times New Roman"/>
          <w:lang w:val="zh-CN"/>
        </w:rPr>
        <w:t>610-2016</w:t>
      </w:r>
      <w:r w:rsidRPr="00677D1F">
        <w:rPr>
          <w:rFonts w:ascii="Times New Roman" w:eastAsia="宋体" w:hAnsi="Times New Roman" w:cs="Times New Roman"/>
          <w:lang w:val="zh-CN"/>
        </w:rPr>
        <w:t>）附录</w:t>
      </w:r>
      <w:r w:rsidRPr="00677D1F">
        <w:rPr>
          <w:rFonts w:ascii="Times New Roman" w:eastAsia="宋体" w:hAnsi="Times New Roman" w:cs="Times New Roman"/>
          <w:lang w:val="zh-CN"/>
        </w:rPr>
        <w:t>A</w:t>
      </w:r>
      <w:r w:rsidRPr="00677D1F">
        <w:rPr>
          <w:rFonts w:ascii="Times New Roman" w:eastAsia="宋体" w:hAnsi="Times New Roman" w:cs="Times New Roman"/>
          <w:lang w:val="zh-CN"/>
        </w:rPr>
        <w:t>地下水环境影响评价行业分类表，详见表</w:t>
      </w:r>
      <w:r w:rsidRPr="00677D1F">
        <w:rPr>
          <w:rFonts w:ascii="Times New Roman" w:eastAsia="宋体" w:hAnsi="Times New Roman" w:cs="Times New Roman"/>
          <w:lang w:val="zh-CN"/>
        </w:rPr>
        <w:t>2</w:t>
      </w:r>
      <w:r w:rsidRPr="00677D1F">
        <w:rPr>
          <w:rFonts w:ascii="Times New Roman" w:eastAsia="宋体" w:hAnsi="Times New Roman" w:cs="Times New Roman"/>
        </w:rPr>
        <w:t>.</w:t>
      </w:r>
      <w:r w:rsidRPr="00677D1F">
        <w:rPr>
          <w:rFonts w:ascii="Times New Roman" w:eastAsia="宋体" w:hAnsi="Times New Roman" w:cs="Times New Roman"/>
          <w:lang w:val="zh-CN"/>
        </w:rPr>
        <w:t>4-</w:t>
      </w:r>
      <w:r w:rsidRPr="00677D1F">
        <w:rPr>
          <w:rFonts w:ascii="Times New Roman" w:eastAsia="宋体" w:hAnsi="Times New Roman" w:cs="Times New Roman" w:hint="eastAsia"/>
        </w:rPr>
        <w:t>5</w:t>
      </w:r>
      <w:r w:rsidRPr="00677D1F">
        <w:rPr>
          <w:rFonts w:ascii="Times New Roman" w:eastAsia="宋体" w:hAnsi="Times New Roman" w:cs="Times New Roman"/>
          <w:lang w:val="zh-CN"/>
        </w:rPr>
        <w:t>确定该类项目属于地下水环境影响评价项目类别中的</w:t>
      </w:r>
      <w:r w:rsidRPr="00677D1F">
        <w:rPr>
          <w:rFonts w:ascii="Times New Roman" w:eastAsia="宋体" w:hAnsi="Times New Roman" w:cs="Times New Roman"/>
          <w:lang w:val="zh-CN"/>
        </w:rPr>
        <w:t>Ⅰ</w:t>
      </w:r>
      <w:r w:rsidRPr="00677D1F">
        <w:rPr>
          <w:rFonts w:ascii="Times New Roman" w:eastAsia="宋体" w:hAnsi="Times New Roman" w:cs="Times New Roman"/>
          <w:lang w:val="zh-CN"/>
        </w:rPr>
        <w:t>类；再根据地下水环境敏感程度分级表，祥见表</w:t>
      </w:r>
      <w:r w:rsidRPr="00677D1F">
        <w:rPr>
          <w:rFonts w:ascii="Times New Roman" w:eastAsia="宋体" w:hAnsi="Times New Roman" w:cs="Times New Roman"/>
          <w:lang w:val="zh-CN"/>
        </w:rPr>
        <w:t>2</w:t>
      </w:r>
      <w:r w:rsidRPr="00677D1F">
        <w:rPr>
          <w:rFonts w:ascii="Times New Roman" w:eastAsia="宋体" w:hAnsi="Times New Roman" w:cs="Times New Roman"/>
        </w:rPr>
        <w:t>.</w:t>
      </w:r>
      <w:r w:rsidRPr="00677D1F">
        <w:rPr>
          <w:rFonts w:ascii="Times New Roman" w:eastAsia="宋体" w:hAnsi="Times New Roman" w:cs="Times New Roman"/>
          <w:lang w:val="zh-CN"/>
        </w:rPr>
        <w:t>4-</w:t>
      </w:r>
      <w:r w:rsidRPr="00677D1F">
        <w:rPr>
          <w:rFonts w:ascii="Times New Roman" w:eastAsia="宋体" w:hAnsi="Times New Roman" w:cs="Times New Roman" w:hint="eastAsia"/>
        </w:rPr>
        <w:t>6</w:t>
      </w:r>
      <w:r w:rsidRPr="00677D1F">
        <w:rPr>
          <w:rFonts w:ascii="Times New Roman" w:eastAsia="宋体" w:hAnsi="Times New Roman" w:cs="Times New Roman"/>
          <w:lang w:val="zh-CN"/>
        </w:rPr>
        <w:t>，本项目所在地不属于集中式饮用水水源地准保护区、补给径流区及与地下水环境保护相关的其它保护区，也不属于《建设项目环境影响评价分类管理目录》中规定的环境敏感区，因此，判定项目所在区域地下水环境敏感特征为</w:t>
      </w:r>
      <w:r w:rsidRPr="00677D1F">
        <w:rPr>
          <w:rFonts w:ascii="Times New Roman" w:eastAsia="宋体" w:hAnsi="Times New Roman" w:cs="Times New Roman"/>
          <w:lang w:val="zh-CN"/>
        </w:rPr>
        <w:t>“</w:t>
      </w:r>
      <w:r w:rsidRPr="00677D1F">
        <w:rPr>
          <w:rFonts w:ascii="Times New Roman" w:eastAsia="宋体" w:hAnsi="Times New Roman" w:cs="Times New Roman"/>
          <w:lang w:val="zh-CN"/>
        </w:rPr>
        <w:t>不敏感</w:t>
      </w:r>
      <w:r w:rsidRPr="00677D1F">
        <w:rPr>
          <w:rFonts w:ascii="Times New Roman" w:eastAsia="宋体" w:hAnsi="Times New Roman" w:cs="Times New Roman"/>
          <w:lang w:val="zh-CN"/>
        </w:rPr>
        <w:t>”</w:t>
      </w:r>
      <w:r w:rsidRPr="00677D1F">
        <w:rPr>
          <w:rFonts w:ascii="Times New Roman" w:eastAsia="宋体" w:hAnsi="Times New Roman" w:cs="Times New Roman"/>
          <w:lang w:val="zh-CN"/>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表2.4-5  地下水环境影响评价行业分类表</w:t>
      </w:r>
    </w:p>
    <w:tbl>
      <w:tblPr>
        <w:tblW w:w="8922"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81"/>
        <w:gridCol w:w="2399"/>
        <w:gridCol w:w="2542"/>
      </w:tblGrid>
      <w:tr w:rsidR="00D228BE" w:rsidRPr="00677D1F">
        <w:trPr>
          <w:trHeight w:val="340"/>
          <w:jc w:val="center"/>
        </w:trPr>
        <w:tc>
          <w:tcPr>
            <w:tcW w:w="3981" w:type="dxa"/>
            <w:vMerge w:val="restart"/>
            <w:tcBorders>
              <w:tl2br w:val="single" w:sz="4" w:space="0" w:color="auto"/>
            </w:tcBorders>
            <w:vAlign w:val="center"/>
          </w:tcPr>
          <w:p w:rsidR="00D228BE" w:rsidRPr="00677D1F" w:rsidRDefault="00332EB6" w:rsidP="00677D1F">
            <w:pPr>
              <w:pStyle w:val="af6"/>
              <w:spacing w:line="240" w:lineRule="auto"/>
              <w:ind w:firstLineChars="0" w:firstLine="0"/>
              <w:contextualSpacing/>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 xml:space="preserve">                   </w:t>
            </w:r>
            <w:r w:rsidRPr="00677D1F">
              <w:rPr>
                <w:rFonts w:ascii="Times New Roman" w:eastAsia="宋体" w:hAnsi="Times New Roman" w:cs="Times New Roman"/>
                <w:b/>
                <w:bCs/>
                <w:sz w:val="21"/>
                <w:szCs w:val="21"/>
              </w:rPr>
              <w:t>环评类别</w:t>
            </w:r>
          </w:p>
          <w:p w:rsidR="00D228BE" w:rsidRPr="00677D1F" w:rsidRDefault="00332EB6" w:rsidP="00677D1F">
            <w:pPr>
              <w:pStyle w:val="af6"/>
              <w:spacing w:line="240" w:lineRule="auto"/>
              <w:ind w:firstLineChars="0" w:firstLine="0"/>
              <w:contextualSpacing/>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行业类别</w:t>
            </w:r>
          </w:p>
        </w:tc>
        <w:tc>
          <w:tcPr>
            <w:tcW w:w="2399" w:type="dxa"/>
            <w:vMerge w:val="restart"/>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报告书</w:t>
            </w:r>
          </w:p>
        </w:tc>
        <w:tc>
          <w:tcPr>
            <w:tcW w:w="2542"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项目类别</w:t>
            </w:r>
          </w:p>
        </w:tc>
      </w:tr>
      <w:tr w:rsidR="00D228BE" w:rsidRPr="00677D1F">
        <w:trPr>
          <w:trHeight w:val="340"/>
          <w:jc w:val="center"/>
        </w:trPr>
        <w:tc>
          <w:tcPr>
            <w:tcW w:w="3981" w:type="dxa"/>
            <w:vMerge/>
            <w:vAlign w:val="center"/>
          </w:tcPr>
          <w:p w:rsidR="00D228BE" w:rsidRPr="00677D1F" w:rsidRDefault="00D228BE" w:rsidP="00677D1F">
            <w:pPr>
              <w:pStyle w:val="af6"/>
              <w:spacing w:line="240" w:lineRule="auto"/>
              <w:ind w:firstLineChars="0" w:firstLine="0"/>
              <w:contextualSpacing/>
              <w:rPr>
                <w:rFonts w:ascii="Times New Roman" w:eastAsia="宋体" w:hAnsi="Times New Roman" w:cs="Times New Roman"/>
                <w:b/>
                <w:bCs/>
                <w:sz w:val="21"/>
                <w:szCs w:val="21"/>
              </w:rPr>
            </w:pPr>
          </w:p>
        </w:tc>
        <w:tc>
          <w:tcPr>
            <w:tcW w:w="2399" w:type="dxa"/>
            <w:vMerge/>
            <w:vAlign w:val="center"/>
          </w:tcPr>
          <w:p w:rsidR="00D228BE" w:rsidRPr="00677D1F" w:rsidRDefault="00D228BE" w:rsidP="00677D1F">
            <w:pPr>
              <w:pStyle w:val="af6"/>
              <w:spacing w:line="240" w:lineRule="auto"/>
              <w:ind w:firstLineChars="0" w:firstLine="0"/>
              <w:contextualSpacing/>
              <w:jc w:val="center"/>
              <w:rPr>
                <w:rFonts w:ascii="Times New Roman" w:eastAsia="宋体" w:hAnsi="Times New Roman" w:cs="Times New Roman"/>
                <w:b/>
                <w:bCs/>
                <w:sz w:val="21"/>
                <w:szCs w:val="21"/>
              </w:rPr>
            </w:pPr>
          </w:p>
        </w:tc>
        <w:tc>
          <w:tcPr>
            <w:tcW w:w="2542"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报告书</w:t>
            </w:r>
          </w:p>
        </w:tc>
      </w:tr>
      <w:tr w:rsidR="00D228BE" w:rsidRPr="00677D1F">
        <w:trPr>
          <w:trHeight w:val="340"/>
          <w:jc w:val="center"/>
        </w:trPr>
        <w:tc>
          <w:tcPr>
            <w:tcW w:w="3981"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U</w:t>
            </w:r>
            <w:r w:rsidRPr="00677D1F">
              <w:rPr>
                <w:rFonts w:ascii="Times New Roman" w:eastAsia="宋体" w:hAnsi="Times New Roman" w:cs="Times New Roman"/>
                <w:sz w:val="21"/>
                <w:szCs w:val="21"/>
              </w:rPr>
              <w:t>城镇基础设施及房地产</w:t>
            </w:r>
          </w:p>
        </w:tc>
        <w:tc>
          <w:tcPr>
            <w:tcW w:w="4941" w:type="dxa"/>
            <w:gridSpan w:val="2"/>
            <w:vAlign w:val="center"/>
          </w:tcPr>
          <w:p w:rsidR="00D228BE" w:rsidRPr="00677D1F" w:rsidRDefault="00D228BE" w:rsidP="00677D1F">
            <w:pPr>
              <w:pStyle w:val="af6"/>
              <w:spacing w:line="240" w:lineRule="auto"/>
              <w:ind w:firstLineChars="0" w:firstLine="0"/>
              <w:contextualSpacing/>
              <w:jc w:val="center"/>
              <w:rPr>
                <w:rFonts w:ascii="Times New Roman" w:eastAsia="宋体" w:hAnsi="Times New Roman" w:cs="Times New Roman"/>
                <w:sz w:val="21"/>
                <w:szCs w:val="21"/>
              </w:rPr>
            </w:pPr>
          </w:p>
        </w:tc>
      </w:tr>
      <w:tr w:rsidR="00D228BE" w:rsidRPr="00677D1F">
        <w:trPr>
          <w:trHeight w:val="340"/>
          <w:jc w:val="center"/>
        </w:trPr>
        <w:tc>
          <w:tcPr>
            <w:tcW w:w="3981"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151</w:t>
            </w:r>
            <w:r w:rsidRPr="00677D1F">
              <w:rPr>
                <w:rFonts w:ascii="Times New Roman" w:eastAsia="宋体" w:hAnsi="Times New Roman" w:cs="Times New Roman"/>
                <w:sz w:val="21"/>
                <w:szCs w:val="21"/>
              </w:rPr>
              <w:t>、危险废物（含医疗废物）集中处置及综合利用</w:t>
            </w:r>
          </w:p>
        </w:tc>
        <w:tc>
          <w:tcPr>
            <w:tcW w:w="2399"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全部</w:t>
            </w:r>
          </w:p>
        </w:tc>
        <w:tc>
          <w:tcPr>
            <w:tcW w:w="2542"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lang w:val="zh-CN"/>
              </w:rPr>
              <w:t>Ⅰ</w:t>
            </w:r>
            <w:r w:rsidRPr="00677D1F">
              <w:rPr>
                <w:rFonts w:ascii="Times New Roman" w:eastAsia="宋体" w:hAnsi="Times New Roman" w:cs="Times New Roman"/>
                <w:sz w:val="21"/>
                <w:szCs w:val="21"/>
              </w:rPr>
              <w:t>类</w:t>
            </w:r>
          </w:p>
        </w:tc>
      </w:tr>
    </w:tbl>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表2.4-6  地下水环境敏感程度分级表</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7842"/>
      </w:tblGrid>
      <w:tr w:rsidR="00D228BE" w:rsidRPr="00677D1F">
        <w:trPr>
          <w:trHeight w:val="340"/>
          <w:jc w:val="center"/>
        </w:trPr>
        <w:tc>
          <w:tcPr>
            <w:tcW w:w="1161"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敏感程度</w:t>
            </w:r>
          </w:p>
        </w:tc>
        <w:tc>
          <w:tcPr>
            <w:tcW w:w="7842"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地下水环境敏感特征</w:t>
            </w:r>
          </w:p>
        </w:tc>
      </w:tr>
      <w:tr w:rsidR="00D228BE" w:rsidRPr="00677D1F">
        <w:trPr>
          <w:trHeight w:val="340"/>
          <w:jc w:val="center"/>
        </w:trPr>
        <w:tc>
          <w:tcPr>
            <w:tcW w:w="1161"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敏感</w:t>
            </w:r>
          </w:p>
        </w:tc>
        <w:tc>
          <w:tcPr>
            <w:tcW w:w="7842" w:type="dxa"/>
            <w:vAlign w:val="center"/>
          </w:tcPr>
          <w:p w:rsidR="00D228BE" w:rsidRPr="00677D1F" w:rsidRDefault="00332EB6" w:rsidP="00677D1F">
            <w:pPr>
              <w:pStyle w:val="af6"/>
              <w:spacing w:line="240" w:lineRule="auto"/>
              <w:ind w:firstLineChars="0" w:firstLine="0"/>
              <w:contextualSpacing/>
              <w:rPr>
                <w:rFonts w:ascii="Times New Roman" w:eastAsia="宋体" w:hAnsi="Times New Roman" w:cs="Times New Roman"/>
                <w:sz w:val="21"/>
                <w:szCs w:val="21"/>
              </w:rPr>
            </w:pPr>
            <w:r w:rsidRPr="00677D1F">
              <w:rPr>
                <w:rFonts w:ascii="Times New Roman" w:eastAsia="宋体" w:hAnsi="Times New Roman" w:cs="Times New Roman"/>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D228BE" w:rsidRPr="00677D1F">
        <w:trPr>
          <w:trHeight w:val="340"/>
          <w:jc w:val="center"/>
        </w:trPr>
        <w:tc>
          <w:tcPr>
            <w:tcW w:w="1161"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较敏感</w:t>
            </w:r>
          </w:p>
        </w:tc>
        <w:tc>
          <w:tcPr>
            <w:tcW w:w="7842" w:type="dxa"/>
            <w:vAlign w:val="center"/>
          </w:tcPr>
          <w:p w:rsidR="00D228BE" w:rsidRPr="00677D1F" w:rsidRDefault="00332EB6" w:rsidP="00677D1F">
            <w:pPr>
              <w:pStyle w:val="af6"/>
              <w:spacing w:line="240" w:lineRule="auto"/>
              <w:ind w:firstLineChars="0" w:firstLine="0"/>
              <w:contextualSpacing/>
              <w:rPr>
                <w:rFonts w:ascii="Times New Roman" w:eastAsia="宋体" w:hAnsi="Times New Roman" w:cs="Times New Roman"/>
                <w:sz w:val="21"/>
                <w:szCs w:val="21"/>
              </w:rPr>
            </w:pPr>
            <w:r w:rsidRPr="00677D1F">
              <w:rPr>
                <w:rFonts w:ascii="Times New Roman" w:eastAsia="宋体" w:hAnsi="Times New Roman" w:cs="Times New Roman"/>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677D1F">
              <w:rPr>
                <w:rFonts w:ascii="Times New Roman" w:eastAsia="宋体" w:hAnsi="Times New Roman" w:cs="Times New Roman"/>
                <w:sz w:val="21"/>
                <w:szCs w:val="21"/>
              </w:rPr>
              <w:t>a</w:t>
            </w:r>
            <w:r w:rsidRPr="00677D1F">
              <w:rPr>
                <w:rFonts w:ascii="Times New Roman" w:eastAsia="宋体" w:hAnsi="Times New Roman" w:cs="Times New Roman"/>
                <w:sz w:val="21"/>
                <w:szCs w:val="21"/>
              </w:rPr>
              <w:t>。</w:t>
            </w:r>
          </w:p>
        </w:tc>
      </w:tr>
      <w:tr w:rsidR="00D228BE" w:rsidRPr="00677D1F">
        <w:trPr>
          <w:trHeight w:val="340"/>
          <w:jc w:val="center"/>
        </w:trPr>
        <w:tc>
          <w:tcPr>
            <w:tcW w:w="1161"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不敏感</w:t>
            </w:r>
          </w:p>
        </w:tc>
        <w:tc>
          <w:tcPr>
            <w:tcW w:w="7842" w:type="dxa"/>
            <w:vAlign w:val="center"/>
          </w:tcPr>
          <w:p w:rsidR="00D228BE" w:rsidRPr="00677D1F" w:rsidRDefault="00332EB6" w:rsidP="00677D1F">
            <w:pPr>
              <w:pStyle w:val="af6"/>
              <w:spacing w:line="240" w:lineRule="auto"/>
              <w:ind w:firstLineChars="0" w:firstLine="0"/>
              <w:contextualSpacing/>
              <w:rPr>
                <w:rFonts w:ascii="Times New Roman" w:eastAsia="宋体" w:hAnsi="Times New Roman" w:cs="Times New Roman"/>
                <w:sz w:val="21"/>
                <w:szCs w:val="21"/>
              </w:rPr>
            </w:pPr>
            <w:r w:rsidRPr="00677D1F">
              <w:rPr>
                <w:rFonts w:ascii="Times New Roman" w:eastAsia="宋体" w:hAnsi="Times New Roman" w:cs="Times New Roman"/>
                <w:sz w:val="21"/>
                <w:szCs w:val="21"/>
              </w:rPr>
              <w:t>上述地区之外的其它地区。</w:t>
            </w:r>
          </w:p>
        </w:tc>
      </w:tr>
      <w:tr w:rsidR="00D228BE" w:rsidRPr="00677D1F">
        <w:trPr>
          <w:trHeight w:val="340"/>
          <w:jc w:val="center"/>
        </w:trPr>
        <w:tc>
          <w:tcPr>
            <w:tcW w:w="9003" w:type="dxa"/>
            <w:gridSpan w:val="2"/>
            <w:vAlign w:val="center"/>
          </w:tcPr>
          <w:p w:rsidR="00D228BE" w:rsidRPr="00677D1F" w:rsidRDefault="00332EB6" w:rsidP="00677D1F">
            <w:pPr>
              <w:pStyle w:val="af6"/>
              <w:spacing w:line="240" w:lineRule="auto"/>
              <w:ind w:firstLineChars="0" w:firstLine="0"/>
              <w:contextualSpacing/>
              <w:rPr>
                <w:rFonts w:ascii="Times New Roman" w:eastAsia="宋体" w:hAnsi="Times New Roman" w:cs="Times New Roman"/>
                <w:sz w:val="21"/>
                <w:szCs w:val="21"/>
              </w:rPr>
            </w:pPr>
            <w:r w:rsidRPr="00677D1F">
              <w:rPr>
                <w:rFonts w:ascii="Times New Roman" w:eastAsia="宋体" w:hAnsi="Times New Roman" w:cs="Times New Roman"/>
                <w:sz w:val="21"/>
                <w:szCs w:val="21"/>
              </w:rPr>
              <w:t>注：</w:t>
            </w:r>
            <w:r w:rsidRPr="00677D1F">
              <w:rPr>
                <w:rFonts w:ascii="Times New Roman" w:eastAsia="宋体" w:hAnsi="Times New Roman" w:cs="Times New Roman"/>
                <w:sz w:val="21"/>
                <w:szCs w:val="21"/>
              </w:rPr>
              <w:t>a“</w:t>
            </w:r>
            <w:r w:rsidRPr="00677D1F">
              <w:rPr>
                <w:rFonts w:ascii="Times New Roman" w:eastAsia="宋体" w:hAnsi="Times New Roman" w:cs="Times New Roman"/>
                <w:sz w:val="21"/>
                <w:szCs w:val="21"/>
              </w:rPr>
              <w:t>环境敏感区</w:t>
            </w:r>
            <w:r w:rsidRPr="00677D1F">
              <w:rPr>
                <w:rFonts w:ascii="Times New Roman" w:eastAsia="宋体" w:hAnsi="Times New Roman" w:cs="Times New Roman"/>
                <w:sz w:val="21"/>
                <w:szCs w:val="21"/>
              </w:rPr>
              <w:t>”</w:t>
            </w:r>
            <w:r w:rsidRPr="00677D1F">
              <w:rPr>
                <w:rFonts w:ascii="Times New Roman" w:eastAsia="宋体" w:hAnsi="Times New Roman" w:cs="Times New Roman"/>
                <w:sz w:val="21"/>
                <w:szCs w:val="21"/>
              </w:rPr>
              <w:t>是指《建设项目环境影响评价分类管理名录》中所界定的涉及地下水的环境敏感区。</w:t>
            </w:r>
          </w:p>
        </w:tc>
      </w:tr>
    </w:tbl>
    <w:p w:rsidR="00D228BE" w:rsidRPr="00677D1F" w:rsidRDefault="00332EB6" w:rsidP="00677D1F">
      <w:pPr>
        <w:pStyle w:val="af6"/>
        <w:widowControl/>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lastRenderedPageBreak/>
        <w:t>根据《环境影响评价技术导则</w:t>
      </w:r>
      <w:r w:rsidRPr="00677D1F">
        <w:rPr>
          <w:rFonts w:ascii="Times New Roman" w:eastAsia="宋体" w:hAnsi="Times New Roman" w:cs="Times New Roman"/>
          <w:lang w:val="zh-CN"/>
        </w:rPr>
        <w:t xml:space="preserve"> </w:t>
      </w:r>
      <w:r w:rsidRPr="00677D1F">
        <w:rPr>
          <w:rFonts w:ascii="Times New Roman" w:eastAsia="宋体" w:hAnsi="Times New Roman" w:cs="Times New Roman"/>
          <w:lang w:val="zh-CN"/>
        </w:rPr>
        <w:t>地下水环境》（</w:t>
      </w:r>
      <w:r w:rsidRPr="00677D1F">
        <w:rPr>
          <w:rFonts w:ascii="Times New Roman" w:eastAsia="宋体" w:hAnsi="Times New Roman" w:cs="Times New Roman"/>
          <w:lang w:val="zh-CN"/>
        </w:rPr>
        <w:t>HJ610-2016</w:t>
      </w:r>
      <w:r w:rsidRPr="00677D1F">
        <w:rPr>
          <w:rFonts w:ascii="Times New Roman" w:eastAsia="宋体" w:hAnsi="Times New Roman" w:cs="Times New Roman"/>
          <w:lang w:val="zh-CN"/>
        </w:rPr>
        <w:t>），建设项目地下水环境影响评价工作等级划分见表</w:t>
      </w:r>
      <w:r w:rsidRPr="00677D1F">
        <w:rPr>
          <w:rFonts w:ascii="Times New Roman" w:eastAsia="宋体" w:hAnsi="Times New Roman" w:cs="Times New Roman"/>
          <w:lang w:val="zh-CN"/>
        </w:rPr>
        <w:t>2</w:t>
      </w:r>
      <w:r w:rsidRPr="00677D1F">
        <w:rPr>
          <w:rFonts w:ascii="Times New Roman" w:eastAsia="宋体" w:hAnsi="Times New Roman" w:cs="Times New Roman"/>
        </w:rPr>
        <w:t>.</w:t>
      </w:r>
      <w:r w:rsidRPr="00677D1F">
        <w:rPr>
          <w:rFonts w:ascii="Times New Roman" w:eastAsia="宋体" w:hAnsi="Times New Roman" w:cs="Times New Roman"/>
          <w:lang w:val="zh-CN"/>
        </w:rPr>
        <w:t>4-</w:t>
      </w:r>
      <w:r w:rsidRPr="00677D1F">
        <w:rPr>
          <w:rFonts w:ascii="Times New Roman" w:eastAsia="宋体" w:hAnsi="Times New Roman" w:cs="Times New Roman" w:hint="eastAsia"/>
        </w:rPr>
        <w:t>7</w:t>
      </w:r>
      <w:r w:rsidRPr="00677D1F">
        <w:rPr>
          <w:rFonts w:ascii="Times New Roman" w:eastAsia="宋体" w:hAnsi="Times New Roman" w:cs="Times New Roman"/>
          <w:lang w:val="zh-CN"/>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表2.4-7  地下水评价工作等级分级表</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5"/>
        <w:gridCol w:w="1547"/>
        <w:gridCol w:w="1547"/>
        <w:gridCol w:w="1548"/>
      </w:tblGrid>
      <w:tr w:rsidR="00D228BE" w:rsidRPr="00677D1F">
        <w:trPr>
          <w:trHeight w:val="340"/>
          <w:jc w:val="center"/>
        </w:trPr>
        <w:tc>
          <w:tcPr>
            <w:tcW w:w="4305" w:type="dxa"/>
            <w:tcBorders>
              <w:tl2br w:val="single" w:sz="4" w:space="0" w:color="auto"/>
            </w:tcBorders>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 xml:space="preserve">                 </w:t>
            </w:r>
            <w:r w:rsidRPr="00677D1F">
              <w:rPr>
                <w:rFonts w:ascii="Times New Roman" w:eastAsia="宋体" w:hAnsi="Times New Roman" w:cs="Times New Roman"/>
                <w:b/>
                <w:bCs/>
                <w:sz w:val="21"/>
                <w:szCs w:val="21"/>
              </w:rPr>
              <w:t>项目类别</w:t>
            </w:r>
          </w:p>
          <w:p w:rsidR="00D228BE" w:rsidRPr="00677D1F" w:rsidRDefault="00332EB6" w:rsidP="00677D1F">
            <w:pPr>
              <w:pStyle w:val="af6"/>
              <w:spacing w:line="240" w:lineRule="auto"/>
              <w:ind w:firstLineChars="0" w:firstLine="0"/>
              <w:contextualSpacing/>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rPr>
              <w:t>环境敏感程度</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lang w:val="zh-CN"/>
              </w:rPr>
              <w:t>I</w:t>
            </w:r>
            <w:r w:rsidRPr="00677D1F">
              <w:rPr>
                <w:rFonts w:ascii="Times New Roman" w:eastAsia="宋体" w:hAnsi="Times New Roman" w:cs="Times New Roman"/>
                <w:b/>
                <w:bCs/>
                <w:sz w:val="21"/>
                <w:szCs w:val="21"/>
                <w:lang w:val="zh-CN"/>
              </w:rPr>
              <w:t>类项目</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lang w:val="zh-CN"/>
              </w:rPr>
              <w:t>II</w:t>
            </w:r>
            <w:r w:rsidRPr="00677D1F">
              <w:rPr>
                <w:rFonts w:ascii="Times New Roman" w:eastAsia="宋体" w:hAnsi="Times New Roman" w:cs="Times New Roman"/>
                <w:b/>
                <w:bCs/>
                <w:sz w:val="21"/>
                <w:szCs w:val="21"/>
                <w:lang w:val="zh-CN"/>
              </w:rPr>
              <w:t>类项目</w:t>
            </w:r>
          </w:p>
        </w:tc>
        <w:tc>
          <w:tcPr>
            <w:tcW w:w="1548"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b/>
                <w:bCs/>
                <w:sz w:val="21"/>
                <w:szCs w:val="21"/>
              </w:rPr>
            </w:pPr>
            <w:r w:rsidRPr="00677D1F">
              <w:rPr>
                <w:rFonts w:ascii="Times New Roman" w:eastAsia="宋体" w:hAnsi="Times New Roman" w:cs="Times New Roman"/>
                <w:b/>
                <w:bCs/>
                <w:sz w:val="21"/>
                <w:szCs w:val="21"/>
                <w:lang w:val="zh-CN"/>
              </w:rPr>
              <w:t>Ⅲ</w:t>
            </w:r>
            <w:r w:rsidRPr="00677D1F">
              <w:rPr>
                <w:rFonts w:ascii="Times New Roman" w:eastAsia="宋体" w:hAnsi="Times New Roman" w:cs="Times New Roman"/>
                <w:b/>
                <w:bCs/>
                <w:sz w:val="21"/>
                <w:szCs w:val="21"/>
                <w:lang w:val="zh-CN"/>
              </w:rPr>
              <w:t>类项目</w:t>
            </w:r>
          </w:p>
        </w:tc>
      </w:tr>
      <w:tr w:rsidR="00D228BE" w:rsidRPr="00677D1F">
        <w:trPr>
          <w:trHeight w:val="340"/>
          <w:jc w:val="center"/>
        </w:trPr>
        <w:tc>
          <w:tcPr>
            <w:tcW w:w="4305"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敏感</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一</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一</w:t>
            </w:r>
          </w:p>
        </w:tc>
        <w:tc>
          <w:tcPr>
            <w:tcW w:w="1548"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二</w:t>
            </w:r>
          </w:p>
        </w:tc>
      </w:tr>
      <w:tr w:rsidR="00D228BE" w:rsidRPr="00677D1F">
        <w:trPr>
          <w:trHeight w:val="340"/>
          <w:jc w:val="center"/>
        </w:trPr>
        <w:tc>
          <w:tcPr>
            <w:tcW w:w="4305"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较敏感</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一</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二</w:t>
            </w:r>
          </w:p>
        </w:tc>
        <w:tc>
          <w:tcPr>
            <w:tcW w:w="1548"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三</w:t>
            </w:r>
          </w:p>
        </w:tc>
      </w:tr>
      <w:tr w:rsidR="00D228BE" w:rsidRPr="00677D1F">
        <w:trPr>
          <w:trHeight w:val="340"/>
          <w:jc w:val="center"/>
        </w:trPr>
        <w:tc>
          <w:tcPr>
            <w:tcW w:w="4305"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不敏感</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二</w:t>
            </w:r>
          </w:p>
        </w:tc>
        <w:tc>
          <w:tcPr>
            <w:tcW w:w="1547"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三</w:t>
            </w:r>
          </w:p>
        </w:tc>
        <w:tc>
          <w:tcPr>
            <w:tcW w:w="1548" w:type="dxa"/>
            <w:vAlign w:val="center"/>
          </w:tcPr>
          <w:p w:rsidR="00D228BE" w:rsidRPr="00677D1F" w:rsidRDefault="00332EB6" w:rsidP="00677D1F">
            <w:pPr>
              <w:pStyle w:val="af6"/>
              <w:spacing w:line="240" w:lineRule="auto"/>
              <w:ind w:firstLineChars="0" w:firstLine="0"/>
              <w:contextualSpacing/>
              <w:jc w:val="center"/>
              <w:rPr>
                <w:rFonts w:ascii="Times New Roman" w:eastAsia="宋体" w:hAnsi="Times New Roman" w:cs="Times New Roman"/>
                <w:sz w:val="21"/>
                <w:szCs w:val="21"/>
              </w:rPr>
            </w:pPr>
            <w:r w:rsidRPr="00677D1F">
              <w:rPr>
                <w:rFonts w:ascii="Times New Roman" w:eastAsia="宋体" w:hAnsi="Times New Roman" w:cs="Times New Roman"/>
                <w:sz w:val="21"/>
                <w:szCs w:val="21"/>
              </w:rPr>
              <w:t>三</w:t>
            </w:r>
          </w:p>
        </w:tc>
      </w:tr>
    </w:tbl>
    <w:p w:rsidR="00D228BE" w:rsidRPr="00677D1F" w:rsidRDefault="00332EB6" w:rsidP="00677D1F">
      <w:pPr>
        <w:pStyle w:val="af6"/>
        <w:widowControl/>
        <w:spacing w:line="360" w:lineRule="auto"/>
        <w:ind w:firstLine="480"/>
        <w:contextualSpacing/>
        <w:rPr>
          <w:rFonts w:ascii="Times New Roman" w:eastAsia="宋体" w:hAnsi="Times New Roman" w:cs="Times New Roman"/>
          <w:lang w:val="zh-CN"/>
        </w:rPr>
      </w:pPr>
      <w:r w:rsidRPr="00677D1F">
        <w:rPr>
          <w:rFonts w:ascii="Times New Roman" w:eastAsia="宋体" w:hAnsi="Times New Roman" w:cs="Times New Roman"/>
          <w:lang w:val="zh-CN"/>
        </w:rPr>
        <w:t>根据《环境影响评价技术导则</w:t>
      </w:r>
      <w:r w:rsidRPr="00677D1F">
        <w:rPr>
          <w:rFonts w:ascii="Times New Roman" w:eastAsia="宋体" w:hAnsi="Times New Roman" w:cs="Times New Roman"/>
          <w:lang w:val="zh-CN"/>
        </w:rPr>
        <w:t xml:space="preserve"> </w:t>
      </w:r>
      <w:r w:rsidRPr="00677D1F">
        <w:rPr>
          <w:rFonts w:ascii="Times New Roman" w:eastAsia="宋体" w:hAnsi="Times New Roman" w:cs="Times New Roman"/>
          <w:lang w:val="zh-CN"/>
        </w:rPr>
        <w:t>地下水环境》（</w:t>
      </w:r>
      <w:r w:rsidRPr="00677D1F">
        <w:rPr>
          <w:rFonts w:ascii="Times New Roman" w:eastAsia="宋体" w:hAnsi="Times New Roman" w:cs="Times New Roman"/>
          <w:lang w:val="zh-CN"/>
        </w:rPr>
        <w:t>HJ610-2016</w:t>
      </w:r>
      <w:r w:rsidRPr="00677D1F">
        <w:rPr>
          <w:rFonts w:ascii="Times New Roman" w:eastAsia="宋体" w:hAnsi="Times New Roman" w:cs="Times New Roman"/>
          <w:lang w:val="zh-CN"/>
        </w:rPr>
        <w:t>），综合评价本项目地下水环境影响评价工作等级为二级。</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2.4.1.5</w:t>
      </w:r>
      <w:r w:rsidRPr="00677D1F">
        <w:rPr>
          <w:rFonts w:ascii="宋体" w:eastAsia="宋体" w:hAnsi="宋体" w:cs="宋体" w:hint="eastAsia"/>
          <w:b/>
          <w:bCs/>
          <w:color w:val="000000"/>
          <w:kern w:val="0"/>
          <w:sz w:val="24"/>
          <w:szCs w:val="24"/>
        </w:rPr>
        <w:t>环境风险评价</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）重大危险源辨识方法</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通过危险物质识别和生产过程分析，根据</w:t>
      </w:r>
      <w:r w:rsidRPr="00677D1F">
        <w:rPr>
          <w:rFonts w:asciiTheme="minorEastAsia" w:hAnsiTheme="minorEastAsia" w:cs="Times New Roman"/>
          <w:color w:val="000000"/>
          <w:kern w:val="0"/>
          <w:sz w:val="24"/>
          <w:szCs w:val="24"/>
        </w:rPr>
        <w:t>HJ/T169-2004</w:t>
      </w:r>
      <w:r w:rsidRPr="00677D1F">
        <w:rPr>
          <w:rFonts w:asciiTheme="minorEastAsia" w:hAnsiTheme="minorEastAsia" w:cs="宋体" w:hint="eastAsia"/>
          <w:color w:val="000000"/>
          <w:kern w:val="0"/>
          <w:sz w:val="24"/>
          <w:szCs w:val="24"/>
        </w:rPr>
        <w:t>《建设项目环境风险评价技术导则》以及《危险化学品重大危险源辩识》（</w:t>
      </w:r>
      <w:r w:rsidRPr="00677D1F">
        <w:rPr>
          <w:rFonts w:asciiTheme="minorEastAsia" w:hAnsiTheme="minorEastAsia" w:cs="Times New Roman"/>
          <w:color w:val="000000"/>
          <w:kern w:val="0"/>
          <w:sz w:val="24"/>
          <w:szCs w:val="24"/>
        </w:rPr>
        <w:t>GB18218-2009</w:t>
      </w:r>
      <w:r w:rsidRPr="00677D1F">
        <w:rPr>
          <w:rFonts w:asciiTheme="minorEastAsia" w:hAnsiTheme="minorEastAsia" w:cs="宋体" w:hint="eastAsia"/>
          <w:color w:val="000000"/>
          <w:kern w:val="0"/>
          <w:sz w:val="24"/>
          <w:szCs w:val="24"/>
        </w:rPr>
        <w:t>）有关危险物质的定义和临界量来判断。</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长期或临时生产、加工、搬运、使用或储存危险物质，且危险物质的数量等于或超过临界量的单元均为重大危险源。重大危险源的辨识依据是物质的危险性及数量。重大危险源分为生产场所重大危险源和储存区重大危险源两种。单元内存在的危险物质的数量等于或超过危险物质规定的临界量，即被定为重大危险源。单元内存在的危险物质的数量根据处理物质种类的多少区分为以下两种情况：</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①单元内存在的危险物质为单一品种，则该物质的数量即为单元内危险物质的总量，若等于或超过相应的临界量，则定为重大危险源。</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②单元内存在的危险物质为多品种时，则按下式计算，若满足下面公式，则定为重大危险源：</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q1/Q1+q2/Q2+…+qn/Qn</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式中：</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q1</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q2</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qn———</w:t>
      </w:r>
      <w:r w:rsidRPr="00677D1F">
        <w:rPr>
          <w:rFonts w:asciiTheme="minorEastAsia" w:hAnsiTheme="minorEastAsia" w:cs="宋体" w:hint="eastAsia"/>
          <w:color w:val="000000"/>
          <w:kern w:val="0"/>
          <w:sz w:val="24"/>
          <w:szCs w:val="24"/>
        </w:rPr>
        <w:t>每种危险化学品实际存在量，单位为吨（ｔ）；</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Q1</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Q</w:t>
      </w:r>
      <w:r w:rsidRPr="00677D1F">
        <w:rPr>
          <w:rFonts w:asciiTheme="minorEastAsia" w:hAnsiTheme="minorEastAsia" w:cs="宋体" w:hint="eastAsia"/>
          <w:color w:val="000000"/>
          <w:kern w:val="0"/>
          <w:sz w:val="24"/>
          <w:szCs w:val="24"/>
        </w:rPr>
        <w:t>２，</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Qn———</w:t>
      </w:r>
      <w:r w:rsidRPr="00677D1F">
        <w:rPr>
          <w:rFonts w:asciiTheme="minorEastAsia" w:hAnsiTheme="minorEastAsia" w:cs="宋体" w:hint="eastAsia"/>
          <w:color w:val="000000"/>
          <w:kern w:val="0"/>
          <w:sz w:val="24"/>
          <w:szCs w:val="24"/>
        </w:rPr>
        <w:t>与各危险化学品相对应的临界量，单位为吨</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（ｔ）。</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）识别结果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根据本项目装置单元，识别的危险化学品具体情况见表</w:t>
      </w:r>
      <w:r w:rsidRPr="00677D1F">
        <w:rPr>
          <w:rFonts w:asciiTheme="minorEastAsia" w:hAnsiTheme="minorEastAsia" w:cs="Times New Roman"/>
          <w:color w:val="000000"/>
          <w:kern w:val="0"/>
          <w:sz w:val="24"/>
          <w:szCs w:val="24"/>
        </w:rPr>
        <w:t>2.4-</w:t>
      </w:r>
      <w:r w:rsidRPr="00677D1F">
        <w:rPr>
          <w:rFonts w:asciiTheme="minorEastAsia" w:hAnsiTheme="minorEastAsia" w:cs="Times New Roman" w:hint="eastAsia"/>
          <w:color w:val="000000"/>
          <w:kern w:val="0"/>
          <w:sz w:val="24"/>
          <w:szCs w:val="24"/>
        </w:rPr>
        <w:t>8</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表2.4-8  本项目化学危险物质的存在量及贮存量表（单位：t）</w:t>
      </w:r>
    </w:p>
    <w:tbl>
      <w:tblPr>
        <w:tblW w:w="9071" w:type="dxa"/>
        <w:jc w:val="center"/>
        <w:tblInd w:w="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5"/>
        <w:gridCol w:w="1840"/>
        <w:gridCol w:w="954"/>
        <w:gridCol w:w="817"/>
        <w:gridCol w:w="1022"/>
        <w:gridCol w:w="991"/>
        <w:gridCol w:w="1021"/>
        <w:gridCol w:w="915"/>
        <w:gridCol w:w="816"/>
      </w:tblGrid>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sz w:val="18"/>
                <w:szCs w:val="18"/>
              </w:rPr>
            </w:pPr>
            <w:r w:rsidRPr="00677D1F">
              <w:rPr>
                <w:sz w:val="18"/>
                <w:szCs w:val="18"/>
              </w:rPr>
              <w:t>序号</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工序</w:t>
            </w:r>
            <w:r w:rsidRPr="00677D1F">
              <w:rPr>
                <w:rFonts w:ascii="Times New Roman" w:eastAsia="Times New Roman"/>
                <w:sz w:val="18"/>
                <w:szCs w:val="18"/>
              </w:rPr>
              <w:t>/</w:t>
            </w:r>
            <w:r w:rsidRPr="00677D1F">
              <w:rPr>
                <w:sz w:val="18"/>
                <w:szCs w:val="18"/>
              </w:rPr>
              <w:t>界区</w:t>
            </w:r>
          </w:p>
        </w:tc>
        <w:tc>
          <w:tcPr>
            <w:tcW w:w="954" w:type="dxa"/>
            <w:tcBorders>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氯气</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氢气</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甲烷</w:t>
            </w:r>
          </w:p>
        </w:tc>
        <w:tc>
          <w:tcPr>
            <w:tcW w:w="991" w:type="dxa"/>
            <w:tcBorders>
              <w:lef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氯化氢</w:t>
            </w:r>
          </w:p>
        </w:tc>
        <w:tc>
          <w:tcPr>
            <w:tcW w:w="1021" w:type="dxa"/>
            <w:vAlign w:val="center"/>
          </w:tcPr>
          <w:p w:rsidR="00D228BE" w:rsidRPr="00677D1F" w:rsidRDefault="00332EB6" w:rsidP="00677D1F">
            <w:pPr>
              <w:pStyle w:val="TableParagraph"/>
              <w:contextualSpacing/>
              <w:jc w:val="center"/>
              <w:rPr>
                <w:sz w:val="18"/>
                <w:szCs w:val="18"/>
              </w:rPr>
            </w:pPr>
            <w:r w:rsidRPr="00677D1F">
              <w:rPr>
                <w:sz w:val="18"/>
                <w:szCs w:val="18"/>
              </w:rPr>
              <w:t>盐酸</w:t>
            </w:r>
          </w:p>
        </w:tc>
        <w:tc>
          <w:tcPr>
            <w:tcW w:w="915" w:type="dxa"/>
            <w:vAlign w:val="center"/>
          </w:tcPr>
          <w:p w:rsidR="00D228BE" w:rsidRPr="00677D1F" w:rsidRDefault="00332EB6" w:rsidP="00677D1F">
            <w:pPr>
              <w:pStyle w:val="TableParagraph"/>
              <w:contextualSpacing/>
              <w:jc w:val="center"/>
              <w:rPr>
                <w:sz w:val="18"/>
                <w:szCs w:val="18"/>
              </w:rPr>
            </w:pPr>
            <w:r w:rsidRPr="00677D1F">
              <w:rPr>
                <w:sz w:val="18"/>
                <w:szCs w:val="18"/>
              </w:rPr>
              <w:t>硫酸</w:t>
            </w:r>
          </w:p>
        </w:tc>
        <w:tc>
          <w:tcPr>
            <w:tcW w:w="816" w:type="dxa"/>
            <w:vAlign w:val="center"/>
          </w:tcPr>
          <w:p w:rsidR="00D228BE" w:rsidRPr="00677D1F" w:rsidRDefault="00332EB6" w:rsidP="00677D1F">
            <w:pPr>
              <w:pStyle w:val="TableParagraph"/>
              <w:contextualSpacing/>
              <w:jc w:val="center"/>
              <w:rPr>
                <w:sz w:val="18"/>
                <w:szCs w:val="18"/>
              </w:rPr>
            </w:pPr>
            <w:r w:rsidRPr="00677D1F">
              <w:rPr>
                <w:sz w:val="18"/>
                <w:szCs w:val="18"/>
              </w:rPr>
              <w:t>四氯化钛</w:t>
            </w:r>
          </w:p>
        </w:tc>
      </w:tr>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氯气生产</w:t>
            </w:r>
          </w:p>
        </w:tc>
        <w:tc>
          <w:tcPr>
            <w:tcW w:w="954" w:type="dxa"/>
            <w:tcBorders>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2</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10</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91" w:type="dxa"/>
            <w:tcBorders>
              <w:lef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2</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液氯蒸发</w:t>
            </w:r>
          </w:p>
        </w:tc>
        <w:tc>
          <w:tcPr>
            <w:tcW w:w="954" w:type="dxa"/>
            <w:tcBorders>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50</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91" w:type="dxa"/>
            <w:tcBorders>
              <w:lef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3</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镁电解</w:t>
            </w:r>
          </w:p>
        </w:tc>
        <w:tc>
          <w:tcPr>
            <w:tcW w:w="954" w:type="dxa"/>
            <w:tcBorders>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极少</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91" w:type="dxa"/>
            <w:tcBorders>
              <w:lef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16</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4</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还原蒸馏</w:t>
            </w:r>
          </w:p>
        </w:tc>
        <w:tc>
          <w:tcPr>
            <w:tcW w:w="954" w:type="dxa"/>
            <w:tcBorders>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极少</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91" w:type="dxa"/>
            <w:tcBorders>
              <w:lef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极少</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四氯化钛制备</w:t>
            </w:r>
          </w:p>
        </w:tc>
        <w:tc>
          <w:tcPr>
            <w:tcW w:w="954" w:type="dxa"/>
            <w:tcBorders>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1</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991" w:type="dxa"/>
            <w:tcBorders>
              <w:lef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极少</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10</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1522</w:t>
            </w:r>
          </w:p>
        </w:tc>
      </w:tr>
      <w:tr w:rsidR="00D228BE" w:rsidRPr="00677D1F">
        <w:trPr>
          <w:trHeight w:val="340"/>
          <w:jc w:val="center"/>
        </w:trPr>
        <w:tc>
          <w:tcPr>
            <w:tcW w:w="69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6</w:t>
            </w: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天然气输送管</w:t>
            </w:r>
          </w:p>
          <w:p w:rsidR="00D228BE" w:rsidRPr="00677D1F" w:rsidRDefault="00332EB6" w:rsidP="00677D1F">
            <w:pPr>
              <w:pStyle w:val="TableParagraph"/>
              <w:contextualSpacing/>
              <w:jc w:val="center"/>
              <w:rPr>
                <w:sz w:val="18"/>
                <w:szCs w:val="18"/>
              </w:rPr>
            </w:pPr>
            <w:r w:rsidRPr="00677D1F">
              <w:rPr>
                <w:sz w:val="18"/>
                <w:szCs w:val="18"/>
              </w:rPr>
              <w:t>道及加热炉</w:t>
            </w:r>
          </w:p>
        </w:tc>
        <w:tc>
          <w:tcPr>
            <w:tcW w:w="954" w:type="dxa"/>
            <w:tcBorders>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sz w:val="18"/>
                <w:szCs w:val="18"/>
              </w:rPr>
              <w:t>极少</w:t>
            </w:r>
          </w:p>
        </w:tc>
        <w:tc>
          <w:tcPr>
            <w:tcW w:w="991" w:type="dxa"/>
            <w:tcBorders>
              <w:lef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w:t>
            </w:r>
          </w:p>
        </w:tc>
      </w:tr>
      <w:tr w:rsidR="00D228BE" w:rsidRPr="00677D1F">
        <w:trPr>
          <w:trHeight w:val="340"/>
          <w:jc w:val="center"/>
        </w:trPr>
        <w:tc>
          <w:tcPr>
            <w:tcW w:w="695" w:type="dxa"/>
            <w:vAlign w:val="center"/>
          </w:tcPr>
          <w:p w:rsidR="00D228BE" w:rsidRPr="00677D1F" w:rsidRDefault="00D228BE" w:rsidP="00677D1F">
            <w:pPr>
              <w:pStyle w:val="TableParagraph"/>
              <w:contextualSpacing/>
              <w:jc w:val="center"/>
              <w:rPr>
                <w:rFonts w:ascii="Times New Roman"/>
                <w:sz w:val="18"/>
                <w:szCs w:val="18"/>
              </w:rPr>
            </w:pPr>
          </w:p>
        </w:tc>
        <w:tc>
          <w:tcPr>
            <w:tcW w:w="1840" w:type="dxa"/>
            <w:vAlign w:val="center"/>
          </w:tcPr>
          <w:p w:rsidR="00D228BE" w:rsidRPr="00677D1F" w:rsidRDefault="00332EB6" w:rsidP="00677D1F">
            <w:pPr>
              <w:pStyle w:val="TableParagraph"/>
              <w:contextualSpacing/>
              <w:jc w:val="center"/>
              <w:rPr>
                <w:sz w:val="18"/>
                <w:szCs w:val="18"/>
              </w:rPr>
            </w:pPr>
            <w:r w:rsidRPr="00677D1F">
              <w:rPr>
                <w:sz w:val="18"/>
                <w:szCs w:val="18"/>
              </w:rPr>
              <w:t>临界量</w:t>
            </w:r>
          </w:p>
        </w:tc>
        <w:tc>
          <w:tcPr>
            <w:tcW w:w="954" w:type="dxa"/>
            <w:tcBorders>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rFonts w:ascii="Times New Roman"/>
                <w:sz w:val="18"/>
                <w:szCs w:val="18"/>
              </w:rPr>
              <w:t>10/25</w:t>
            </w:r>
          </w:p>
        </w:tc>
        <w:tc>
          <w:tcPr>
            <w:tcW w:w="817"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w:t>
            </w:r>
          </w:p>
        </w:tc>
        <w:tc>
          <w:tcPr>
            <w:tcW w:w="102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18"/>
                <w:szCs w:val="18"/>
              </w:rPr>
            </w:pPr>
            <w:r w:rsidRPr="00677D1F">
              <w:rPr>
                <w:rFonts w:ascii="Times New Roman"/>
                <w:sz w:val="18"/>
                <w:szCs w:val="18"/>
              </w:rPr>
              <w:t>1/10</w:t>
            </w:r>
          </w:p>
        </w:tc>
        <w:tc>
          <w:tcPr>
            <w:tcW w:w="991" w:type="dxa"/>
            <w:tcBorders>
              <w:left w:val="single" w:sz="4" w:space="0" w:color="000000"/>
            </w:tcBorders>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20/50</w:t>
            </w:r>
          </w:p>
        </w:tc>
        <w:tc>
          <w:tcPr>
            <w:tcW w:w="1021"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500</w:t>
            </w:r>
          </w:p>
        </w:tc>
        <w:tc>
          <w:tcPr>
            <w:tcW w:w="915"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500</w:t>
            </w:r>
          </w:p>
        </w:tc>
        <w:tc>
          <w:tcPr>
            <w:tcW w:w="816" w:type="dxa"/>
            <w:vAlign w:val="center"/>
          </w:tcPr>
          <w:p w:rsidR="00D228BE" w:rsidRPr="00677D1F" w:rsidRDefault="00332EB6" w:rsidP="00677D1F">
            <w:pPr>
              <w:pStyle w:val="TableParagraph"/>
              <w:contextualSpacing/>
              <w:jc w:val="center"/>
              <w:rPr>
                <w:rFonts w:ascii="Times New Roman"/>
                <w:sz w:val="18"/>
                <w:szCs w:val="18"/>
              </w:rPr>
            </w:pPr>
            <w:r w:rsidRPr="00677D1F">
              <w:rPr>
                <w:rFonts w:ascii="Times New Roman"/>
                <w:sz w:val="18"/>
                <w:szCs w:val="18"/>
              </w:rPr>
              <w:t>500</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根据重大危险源辨识方法对本项目上述</w:t>
      </w:r>
      <w:r w:rsidRPr="00677D1F">
        <w:rPr>
          <w:rFonts w:asciiTheme="minorEastAsia" w:hAnsiTheme="minorEastAsia" w:cs="Times New Roman"/>
          <w:color w:val="000000"/>
          <w:kern w:val="0"/>
          <w:sz w:val="24"/>
          <w:szCs w:val="24"/>
        </w:rPr>
        <w:t>6</w:t>
      </w:r>
      <w:r w:rsidRPr="00677D1F">
        <w:rPr>
          <w:rFonts w:asciiTheme="minorEastAsia" w:hAnsiTheme="minorEastAsia" w:cs="宋体" w:hint="eastAsia"/>
          <w:color w:val="000000"/>
          <w:kern w:val="0"/>
          <w:sz w:val="24"/>
          <w:szCs w:val="24"/>
        </w:rPr>
        <w:t>个单元进行重大危险源辨识，结合本项目总图布置，识别结果见表</w:t>
      </w:r>
      <w:r w:rsidRPr="00677D1F">
        <w:rPr>
          <w:rFonts w:asciiTheme="minorEastAsia" w:hAnsiTheme="minorEastAsia" w:cs="Times New Roman"/>
          <w:color w:val="000000"/>
          <w:kern w:val="0"/>
          <w:sz w:val="24"/>
          <w:szCs w:val="24"/>
        </w:rPr>
        <w:t>2.4-</w:t>
      </w:r>
      <w:r w:rsidRPr="00677D1F">
        <w:rPr>
          <w:rFonts w:asciiTheme="minorEastAsia" w:hAnsiTheme="minorEastAsia" w:cs="Times New Roman" w:hint="eastAsia"/>
          <w:color w:val="000000"/>
          <w:kern w:val="0"/>
          <w:sz w:val="24"/>
          <w:szCs w:val="24"/>
        </w:rPr>
        <w:t>9</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表2.4-9  重大危险源识别结果</w:t>
      </w:r>
    </w:p>
    <w:tbl>
      <w:tblPr>
        <w:tblW w:w="9071" w:type="dxa"/>
        <w:jc w:val="center"/>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74"/>
        <w:gridCol w:w="3446"/>
        <w:gridCol w:w="1289"/>
        <w:gridCol w:w="3262"/>
      </w:tblGrid>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sz w:val="21"/>
                <w:szCs w:val="21"/>
              </w:rPr>
            </w:pPr>
            <w:r w:rsidRPr="00677D1F">
              <w:rPr>
                <w:sz w:val="21"/>
                <w:szCs w:val="21"/>
              </w:rPr>
              <w:t>序号</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工序</w:t>
            </w:r>
            <w:r w:rsidRPr="00677D1F">
              <w:rPr>
                <w:rFonts w:ascii="Times New Roman" w:eastAsia="Times New Roman"/>
                <w:sz w:val="21"/>
                <w:szCs w:val="21"/>
              </w:rPr>
              <w:t>/</w:t>
            </w:r>
            <w:r w:rsidRPr="00677D1F">
              <w:rPr>
                <w:sz w:val="21"/>
                <w:szCs w:val="21"/>
              </w:rPr>
              <w:t>界区</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qi/Qi</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是否为重大危险源</w:t>
            </w:r>
          </w:p>
        </w:tc>
      </w:tr>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1</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氯气生产</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eastAsia="Times New Roman"/>
                <w:sz w:val="21"/>
                <w:szCs w:val="21"/>
              </w:rPr>
            </w:pPr>
            <w:r w:rsidRPr="00677D1F">
              <w:rPr>
                <w:sz w:val="21"/>
                <w:szCs w:val="21"/>
              </w:rPr>
              <w:t>＜</w:t>
            </w:r>
            <w:r w:rsidRPr="00677D1F">
              <w:rPr>
                <w:rFonts w:ascii="Times New Roman" w:eastAsia="Times New Roman"/>
                <w:sz w:val="21"/>
                <w:szCs w:val="21"/>
              </w:rPr>
              <w:t>1</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否</w:t>
            </w:r>
          </w:p>
        </w:tc>
      </w:tr>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2</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液氯蒸发</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eastAsia="Times New Roman"/>
                <w:sz w:val="21"/>
                <w:szCs w:val="21"/>
              </w:rPr>
            </w:pPr>
            <w:r w:rsidRPr="00677D1F">
              <w:rPr>
                <w:sz w:val="21"/>
                <w:szCs w:val="21"/>
              </w:rPr>
              <w:t>＞</w:t>
            </w:r>
            <w:r w:rsidRPr="00677D1F">
              <w:rPr>
                <w:rFonts w:ascii="Times New Roman" w:eastAsia="Times New Roman"/>
                <w:sz w:val="21"/>
                <w:szCs w:val="21"/>
              </w:rPr>
              <w:t>1</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是</w:t>
            </w:r>
          </w:p>
        </w:tc>
      </w:tr>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3</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镁电解</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eastAsia="Times New Roman"/>
                <w:sz w:val="21"/>
                <w:szCs w:val="21"/>
              </w:rPr>
            </w:pPr>
            <w:r w:rsidRPr="00677D1F">
              <w:rPr>
                <w:sz w:val="21"/>
                <w:szCs w:val="21"/>
              </w:rPr>
              <w:t>＜</w:t>
            </w:r>
            <w:r w:rsidRPr="00677D1F">
              <w:rPr>
                <w:rFonts w:ascii="Times New Roman" w:eastAsia="Times New Roman"/>
                <w:sz w:val="21"/>
                <w:szCs w:val="21"/>
              </w:rPr>
              <w:t>1</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否</w:t>
            </w:r>
          </w:p>
        </w:tc>
      </w:tr>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4</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还原蒸馏</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eastAsia="Times New Roman"/>
                <w:sz w:val="21"/>
                <w:szCs w:val="21"/>
              </w:rPr>
            </w:pPr>
            <w:r w:rsidRPr="00677D1F">
              <w:rPr>
                <w:sz w:val="21"/>
                <w:szCs w:val="21"/>
              </w:rPr>
              <w:t>＜</w:t>
            </w:r>
            <w:r w:rsidRPr="00677D1F">
              <w:rPr>
                <w:rFonts w:ascii="Times New Roman" w:eastAsia="Times New Roman"/>
                <w:sz w:val="21"/>
                <w:szCs w:val="21"/>
              </w:rPr>
              <w:t>1</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否</w:t>
            </w:r>
          </w:p>
        </w:tc>
      </w:tr>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5</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四氯化钛制备</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eastAsia="Times New Roman"/>
                <w:sz w:val="21"/>
                <w:szCs w:val="21"/>
              </w:rPr>
            </w:pPr>
            <w:r w:rsidRPr="00677D1F">
              <w:rPr>
                <w:sz w:val="21"/>
                <w:szCs w:val="21"/>
              </w:rPr>
              <w:t>＞</w:t>
            </w:r>
            <w:r w:rsidRPr="00677D1F">
              <w:rPr>
                <w:rFonts w:ascii="Times New Roman" w:eastAsia="Times New Roman"/>
                <w:sz w:val="21"/>
                <w:szCs w:val="21"/>
              </w:rPr>
              <w:t>1</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是</w:t>
            </w:r>
          </w:p>
        </w:tc>
      </w:tr>
      <w:tr w:rsidR="00D228BE" w:rsidRPr="00677D1F">
        <w:trPr>
          <w:trHeight w:val="340"/>
          <w:jc w:val="center"/>
        </w:trPr>
        <w:tc>
          <w:tcPr>
            <w:tcW w:w="1074" w:type="dxa"/>
            <w:vAlign w:val="center"/>
          </w:tcPr>
          <w:p w:rsidR="00D228BE" w:rsidRPr="00677D1F" w:rsidRDefault="00332EB6" w:rsidP="00677D1F">
            <w:pPr>
              <w:pStyle w:val="TableParagraph"/>
              <w:contextualSpacing/>
              <w:jc w:val="center"/>
              <w:rPr>
                <w:rFonts w:ascii="Times New Roman"/>
                <w:sz w:val="21"/>
                <w:szCs w:val="21"/>
              </w:rPr>
            </w:pPr>
            <w:r w:rsidRPr="00677D1F">
              <w:rPr>
                <w:rFonts w:ascii="Times New Roman"/>
                <w:sz w:val="21"/>
                <w:szCs w:val="21"/>
              </w:rPr>
              <w:t>6</w:t>
            </w:r>
          </w:p>
        </w:tc>
        <w:tc>
          <w:tcPr>
            <w:tcW w:w="3446" w:type="dxa"/>
            <w:vAlign w:val="center"/>
          </w:tcPr>
          <w:p w:rsidR="00D228BE" w:rsidRPr="00677D1F" w:rsidRDefault="00332EB6" w:rsidP="00677D1F">
            <w:pPr>
              <w:pStyle w:val="TableParagraph"/>
              <w:contextualSpacing/>
              <w:jc w:val="center"/>
              <w:rPr>
                <w:sz w:val="21"/>
                <w:szCs w:val="21"/>
              </w:rPr>
            </w:pPr>
            <w:r w:rsidRPr="00677D1F">
              <w:rPr>
                <w:sz w:val="21"/>
                <w:szCs w:val="21"/>
              </w:rPr>
              <w:t>天然气输送管道及加热炉</w:t>
            </w:r>
          </w:p>
        </w:tc>
        <w:tc>
          <w:tcPr>
            <w:tcW w:w="1289" w:type="dxa"/>
            <w:tcBorders>
              <w:right w:val="single" w:sz="4" w:space="0" w:color="000000"/>
            </w:tcBorders>
            <w:vAlign w:val="center"/>
          </w:tcPr>
          <w:p w:rsidR="00D228BE" w:rsidRPr="00677D1F" w:rsidRDefault="00332EB6" w:rsidP="00677D1F">
            <w:pPr>
              <w:pStyle w:val="TableParagraph"/>
              <w:contextualSpacing/>
              <w:jc w:val="center"/>
              <w:rPr>
                <w:rFonts w:ascii="Times New Roman" w:eastAsia="Times New Roman"/>
                <w:sz w:val="21"/>
                <w:szCs w:val="21"/>
              </w:rPr>
            </w:pPr>
            <w:r w:rsidRPr="00677D1F">
              <w:rPr>
                <w:sz w:val="21"/>
                <w:szCs w:val="21"/>
              </w:rPr>
              <w:t>＜</w:t>
            </w:r>
            <w:r w:rsidRPr="00677D1F">
              <w:rPr>
                <w:rFonts w:ascii="Times New Roman" w:eastAsia="Times New Roman"/>
                <w:sz w:val="21"/>
                <w:szCs w:val="21"/>
              </w:rPr>
              <w:t>1</w:t>
            </w:r>
          </w:p>
        </w:tc>
        <w:tc>
          <w:tcPr>
            <w:tcW w:w="3262" w:type="dxa"/>
            <w:tcBorders>
              <w:left w:val="single" w:sz="4" w:space="0" w:color="000000"/>
              <w:right w:val="single" w:sz="4" w:space="0" w:color="000000"/>
            </w:tcBorders>
            <w:vAlign w:val="center"/>
          </w:tcPr>
          <w:p w:rsidR="00D228BE" w:rsidRPr="00677D1F" w:rsidRDefault="00332EB6" w:rsidP="00677D1F">
            <w:pPr>
              <w:pStyle w:val="TableParagraph"/>
              <w:contextualSpacing/>
              <w:jc w:val="center"/>
              <w:rPr>
                <w:sz w:val="21"/>
                <w:szCs w:val="21"/>
              </w:rPr>
            </w:pPr>
            <w:r w:rsidRPr="00677D1F">
              <w:rPr>
                <w:sz w:val="21"/>
                <w:szCs w:val="21"/>
              </w:rPr>
              <w:t>否</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Times New Roman"/>
          <w:color w:val="000000"/>
          <w:kern w:val="0"/>
          <w:sz w:val="24"/>
          <w:szCs w:val="24"/>
        </w:rPr>
        <w:t>2.4-</w:t>
      </w:r>
      <w:r w:rsidRPr="00677D1F">
        <w:rPr>
          <w:rFonts w:asciiTheme="minorEastAsia" w:hAnsiTheme="minorEastAsia" w:cs="Times New Roman" w:hint="eastAsia"/>
          <w:color w:val="000000"/>
          <w:kern w:val="0"/>
          <w:sz w:val="24"/>
          <w:szCs w:val="24"/>
        </w:rPr>
        <w:t>9</w:t>
      </w:r>
      <w:r w:rsidRPr="00677D1F">
        <w:rPr>
          <w:rFonts w:asciiTheme="minorEastAsia" w:hAnsiTheme="minorEastAsia" w:cs="宋体" w:hint="eastAsia"/>
          <w:color w:val="000000"/>
          <w:kern w:val="0"/>
          <w:sz w:val="24"/>
          <w:szCs w:val="24"/>
        </w:rPr>
        <w:t>可知，本项目有重大危险源。</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）评价等级划分依据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根据《建设项目环境风险评价技术导则》（</w:t>
      </w:r>
      <w:r w:rsidRPr="00677D1F">
        <w:rPr>
          <w:rFonts w:asciiTheme="minorEastAsia" w:hAnsiTheme="minorEastAsia" w:cs="Times New Roman"/>
          <w:color w:val="000000"/>
          <w:kern w:val="0"/>
          <w:sz w:val="24"/>
          <w:szCs w:val="24"/>
        </w:rPr>
        <w:t>HJ/T169-2004</w:t>
      </w:r>
      <w:r w:rsidRPr="00677D1F">
        <w:rPr>
          <w:rFonts w:asciiTheme="minorEastAsia" w:hAnsiTheme="minorEastAsia" w:cs="宋体" w:hint="eastAsia"/>
          <w:color w:val="000000"/>
          <w:kern w:val="0"/>
          <w:sz w:val="24"/>
          <w:szCs w:val="24"/>
        </w:rPr>
        <w:t>），关于风险评价等级的划分方法见表</w:t>
      </w:r>
      <w:r w:rsidRPr="00677D1F">
        <w:rPr>
          <w:rFonts w:asciiTheme="minorEastAsia" w:hAnsiTheme="minorEastAsia" w:cs="Times New Roman"/>
          <w:color w:val="000000"/>
          <w:kern w:val="0"/>
          <w:sz w:val="24"/>
          <w:szCs w:val="24"/>
        </w:rPr>
        <w:t>2.4-</w:t>
      </w:r>
      <w:r w:rsidRPr="00677D1F">
        <w:rPr>
          <w:rFonts w:asciiTheme="minorEastAsia" w:hAnsiTheme="minorEastAsia" w:cs="Times New Roman" w:hint="eastAsia"/>
          <w:color w:val="000000"/>
          <w:kern w:val="0"/>
          <w:sz w:val="24"/>
          <w:szCs w:val="24"/>
        </w:rPr>
        <w:t>10</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表2.4-10  评价工作级别划分方法</w:t>
      </w:r>
    </w:p>
    <w:tbl>
      <w:tblPr>
        <w:tblW w:w="9071" w:type="dxa"/>
        <w:jc w:val="center"/>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60"/>
        <w:gridCol w:w="1618"/>
        <w:gridCol w:w="1905"/>
        <w:gridCol w:w="2096"/>
        <w:gridCol w:w="1692"/>
      </w:tblGrid>
      <w:tr w:rsidR="00D228BE" w:rsidRPr="00677D1F">
        <w:trPr>
          <w:trHeight w:val="340"/>
          <w:jc w:val="center"/>
        </w:trPr>
        <w:tc>
          <w:tcPr>
            <w:tcW w:w="1760" w:type="dxa"/>
            <w:vAlign w:val="center"/>
          </w:tcPr>
          <w:p w:rsidR="00D228BE" w:rsidRPr="00677D1F" w:rsidRDefault="00D228BE" w:rsidP="00677D1F">
            <w:pPr>
              <w:pStyle w:val="TableParagraph"/>
              <w:contextualSpacing/>
              <w:jc w:val="center"/>
              <w:rPr>
                <w:rFonts w:ascii="Times New Roman"/>
                <w:sz w:val="21"/>
                <w:szCs w:val="21"/>
              </w:rPr>
            </w:pPr>
          </w:p>
        </w:tc>
        <w:tc>
          <w:tcPr>
            <w:tcW w:w="1618" w:type="dxa"/>
            <w:vAlign w:val="center"/>
          </w:tcPr>
          <w:p w:rsidR="00D228BE" w:rsidRPr="00677D1F" w:rsidRDefault="00332EB6" w:rsidP="00677D1F">
            <w:pPr>
              <w:pStyle w:val="TableParagraph"/>
              <w:contextualSpacing/>
              <w:jc w:val="center"/>
              <w:rPr>
                <w:sz w:val="21"/>
                <w:szCs w:val="21"/>
              </w:rPr>
            </w:pPr>
            <w:r w:rsidRPr="00677D1F">
              <w:rPr>
                <w:sz w:val="21"/>
                <w:szCs w:val="21"/>
              </w:rPr>
              <w:t>剧毒危险性物质</w:t>
            </w:r>
          </w:p>
        </w:tc>
        <w:tc>
          <w:tcPr>
            <w:tcW w:w="1905" w:type="dxa"/>
            <w:vAlign w:val="center"/>
          </w:tcPr>
          <w:p w:rsidR="00D228BE" w:rsidRPr="00677D1F" w:rsidRDefault="00332EB6" w:rsidP="00677D1F">
            <w:pPr>
              <w:pStyle w:val="TableParagraph"/>
              <w:contextualSpacing/>
              <w:jc w:val="center"/>
              <w:rPr>
                <w:sz w:val="21"/>
                <w:szCs w:val="21"/>
              </w:rPr>
            </w:pPr>
            <w:r w:rsidRPr="00677D1F">
              <w:rPr>
                <w:sz w:val="21"/>
                <w:szCs w:val="21"/>
              </w:rPr>
              <w:t>一般毒性危险物质</w:t>
            </w:r>
          </w:p>
        </w:tc>
        <w:tc>
          <w:tcPr>
            <w:tcW w:w="2096" w:type="dxa"/>
            <w:vAlign w:val="center"/>
          </w:tcPr>
          <w:p w:rsidR="00D228BE" w:rsidRPr="00677D1F" w:rsidRDefault="00332EB6" w:rsidP="00677D1F">
            <w:pPr>
              <w:pStyle w:val="TableParagraph"/>
              <w:contextualSpacing/>
              <w:jc w:val="center"/>
              <w:rPr>
                <w:sz w:val="21"/>
                <w:szCs w:val="21"/>
              </w:rPr>
            </w:pPr>
            <w:r w:rsidRPr="00677D1F">
              <w:rPr>
                <w:sz w:val="21"/>
                <w:szCs w:val="21"/>
              </w:rPr>
              <w:t>可燃易燃危险性物质</w:t>
            </w:r>
          </w:p>
        </w:tc>
        <w:tc>
          <w:tcPr>
            <w:tcW w:w="1692" w:type="dxa"/>
            <w:vAlign w:val="center"/>
          </w:tcPr>
          <w:p w:rsidR="00D228BE" w:rsidRPr="00677D1F" w:rsidRDefault="00332EB6" w:rsidP="00677D1F">
            <w:pPr>
              <w:pStyle w:val="TableParagraph"/>
              <w:contextualSpacing/>
              <w:jc w:val="center"/>
              <w:rPr>
                <w:sz w:val="21"/>
                <w:szCs w:val="21"/>
              </w:rPr>
            </w:pPr>
            <w:r w:rsidRPr="00677D1F">
              <w:rPr>
                <w:sz w:val="21"/>
                <w:szCs w:val="21"/>
              </w:rPr>
              <w:t>爆炸危险性物质</w:t>
            </w:r>
          </w:p>
        </w:tc>
      </w:tr>
      <w:tr w:rsidR="00D228BE" w:rsidRPr="00677D1F">
        <w:trPr>
          <w:trHeight w:val="340"/>
          <w:jc w:val="center"/>
        </w:trPr>
        <w:tc>
          <w:tcPr>
            <w:tcW w:w="1760" w:type="dxa"/>
            <w:vAlign w:val="center"/>
          </w:tcPr>
          <w:p w:rsidR="00D228BE" w:rsidRPr="00677D1F" w:rsidRDefault="00332EB6" w:rsidP="00677D1F">
            <w:pPr>
              <w:pStyle w:val="TableParagraph"/>
              <w:contextualSpacing/>
              <w:jc w:val="center"/>
              <w:rPr>
                <w:sz w:val="21"/>
                <w:szCs w:val="21"/>
              </w:rPr>
            </w:pPr>
            <w:r w:rsidRPr="00677D1F">
              <w:rPr>
                <w:sz w:val="21"/>
                <w:szCs w:val="21"/>
              </w:rPr>
              <w:t>重大危险源</w:t>
            </w:r>
          </w:p>
        </w:tc>
        <w:tc>
          <w:tcPr>
            <w:tcW w:w="1618"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c>
          <w:tcPr>
            <w:tcW w:w="1905" w:type="dxa"/>
            <w:vAlign w:val="center"/>
          </w:tcPr>
          <w:p w:rsidR="00D228BE" w:rsidRPr="00677D1F" w:rsidRDefault="00332EB6" w:rsidP="00677D1F">
            <w:pPr>
              <w:pStyle w:val="TableParagraph"/>
              <w:contextualSpacing/>
              <w:jc w:val="center"/>
              <w:rPr>
                <w:sz w:val="21"/>
                <w:szCs w:val="21"/>
              </w:rPr>
            </w:pPr>
            <w:r w:rsidRPr="00677D1F">
              <w:rPr>
                <w:sz w:val="21"/>
                <w:szCs w:val="21"/>
              </w:rPr>
              <w:t>二</w:t>
            </w:r>
          </w:p>
        </w:tc>
        <w:tc>
          <w:tcPr>
            <w:tcW w:w="2096"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c>
          <w:tcPr>
            <w:tcW w:w="1692"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r>
      <w:tr w:rsidR="00D228BE" w:rsidRPr="00677D1F">
        <w:trPr>
          <w:trHeight w:val="340"/>
          <w:jc w:val="center"/>
        </w:trPr>
        <w:tc>
          <w:tcPr>
            <w:tcW w:w="1760" w:type="dxa"/>
            <w:vAlign w:val="center"/>
          </w:tcPr>
          <w:p w:rsidR="00D228BE" w:rsidRPr="00677D1F" w:rsidRDefault="00332EB6" w:rsidP="00677D1F">
            <w:pPr>
              <w:pStyle w:val="TableParagraph"/>
              <w:contextualSpacing/>
              <w:jc w:val="center"/>
              <w:rPr>
                <w:sz w:val="21"/>
                <w:szCs w:val="21"/>
              </w:rPr>
            </w:pPr>
            <w:r w:rsidRPr="00677D1F">
              <w:rPr>
                <w:sz w:val="21"/>
                <w:szCs w:val="21"/>
              </w:rPr>
              <w:t>非重大危险源</w:t>
            </w:r>
          </w:p>
        </w:tc>
        <w:tc>
          <w:tcPr>
            <w:tcW w:w="1618" w:type="dxa"/>
            <w:vAlign w:val="center"/>
          </w:tcPr>
          <w:p w:rsidR="00D228BE" w:rsidRPr="00677D1F" w:rsidRDefault="00332EB6" w:rsidP="00677D1F">
            <w:pPr>
              <w:pStyle w:val="TableParagraph"/>
              <w:contextualSpacing/>
              <w:jc w:val="center"/>
              <w:rPr>
                <w:sz w:val="21"/>
                <w:szCs w:val="21"/>
              </w:rPr>
            </w:pPr>
            <w:r w:rsidRPr="00677D1F">
              <w:rPr>
                <w:sz w:val="21"/>
                <w:szCs w:val="21"/>
              </w:rPr>
              <w:t>二</w:t>
            </w:r>
          </w:p>
        </w:tc>
        <w:tc>
          <w:tcPr>
            <w:tcW w:w="1905" w:type="dxa"/>
            <w:vAlign w:val="center"/>
          </w:tcPr>
          <w:p w:rsidR="00D228BE" w:rsidRPr="00677D1F" w:rsidRDefault="00332EB6" w:rsidP="00677D1F">
            <w:pPr>
              <w:pStyle w:val="TableParagraph"/>
              <w:contextualSpacing/>
              <w:jc w:val="center"/>
              <w:rPr>
                <w:sz w:val="21"/>
                <w:szCs w:val="21"/>
              </w:rPr>
            </w:pPr>
            <w:r w:rsidRPr="00677D1F">
              <w:rPr>
                <w:sz w:val="21"/>
                <w:szCs w:val="21"/>
              </w:rPr>
              <w:t>二</w:t>
            </w:r>
          </w:p>
        </w:tc>
        <w:tc>
          <w:tcPr>
            <w:tcW w:w="2096" w:type="dxa"/>
            <w:vAlign w:val="center"/>
          </w:tcPr>
          <w:p w:rsidR="00D228BE" w:rsidRPr="00677D1F" w:rsidRDefault="00332EB6" w:rsidP="00677D1F">
            <w:pPr>
              <w:pStyle w:val="TableParagraph"/>
              <w:contextualSpacing/>
              <w:jc w:val="center"/>
              <w:rPr>
                <w:sz w:val="21"/>
                <w:szCs w:val="21"/>
              </w:rPr>
            </w:pPr>
            <w:r w:rsidRPr="00677D1F">
              <w:rPr>
                <w:sz w:val="21"/>
                <w:szCs w:val="21"/>
              </w:rPr>
              <w:t>二</w:t>
            </w:r>
          </w:p>
        </w:tc>
        <w:tc>
          <w:tcPr>
            <w:tcW w:w="1692" w:type="dxa"/>
            <w:vAlign w:val="center"/>
          </w:tcPr>
          <w:p w:rsidR="00D228BE" w:rsidRPr="00677D1F" w:rsidRDefault="00332EB6" w:rsidP="00677D1F">
            <w:pPr>
              <w:pStyle w:val="TableParagraph"/>
              <w:contextualSpacing/>
              <w:jc w:val="center"/>
              <w:rPr>
                <w:sz w:val="21"/>
                <w:szCs w:val="21"/>
              </w:rPr>
            </w:pPr>
            <w:r w:rsidRPr="00677D1F">
              <w:rPr>
                <w:sz w:val="21"/>
                <w:szCs w:val="21"/>
              </w:rPr>
              <w:t>二</w:t>
            </w:r>
          </w:p>
        </w:tc>
      </w:tr>
      <w:tr w:rsidR="00D228BE" w:rsidRPr="00677D1F">
        <w:trPr>
          <w:trHeight w:val="340"/>
          <w:jc w:val="center"/>
        </w:trPr>
        <w:tc>
          <w:tcPr>
            <w:tcW w:w="1760" w:type="dxa"/>
            <w:vAlign w:val="center"/>
          </w:tcPr>
          <w:p w:rsidR="00D228BE" w:rsidRPr="00677D1F" w:rsidRDefault="00332EB6" w:rsidP="00677D1F">
            <w:pPr>
              <w:pStyle w:val="TableParagraph"/>
              <w:contextualSpacing/>
              <w:jc w:val="center"/>
              <w:rPr>
                <w:sz w:val="21"/>
                <w:szCs w:val="21"/>
              </w:rPr>
            </w:pPr>
            <w:r w:rsidRPr="00677D1F">
              <w:rPr>
                <w:sz w:val="21"/>
                <w:szCs w:val="21"/>
              </w:rPr>
              <w:t>环境敏感地区</w:t>
            </w:r>
          </w:p>
        </w:tc>
        <w:tc>
          <w:tcPr>
            <w:tcW w:w="1618"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c>
          <w:tcPr>
            <w:tcW w:w="1905"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c>
          <w:tcPr>
            <w:tcW w:w="2096"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c>
          <w:tcPr>
            <w:tcW w:w="1692" w:type="dxa"/>
            <w:vAlign w:val="center"/>
          </w:tcPr>
          <w:p w:rsidR="00D228BE" w:rsidRPr="00677D1F" w:rsidRDefault="00332EB6" w:rsidP="00677D1F">
            <w:pPr>
              <w:pStyle w:val="TableParagraph"/>
              <w:contextualSpacing/>
              <w:jc w:val="center"/>
              <w:rPr>
                <w:sz w:val="21"/>
                <w:szCs w:val="21"/>
              </w:rPr>
            </w:pPr>
            <w:r w:rsidRPr="00677D1F">
              <w:rPr>
                <w:sz w:val="21"/>
                <w:szCs w:val="21"/>
              </w:rPr>
              <w:t>一</w:t>
            </w:r>
          </w:p>
        </w:tc>
      </w:tr>
    </w:tbl>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4</w:t>
      </w:r>
      <w:r w:rsidRPr="00677D1F">
        <w:rPr>
          <w:rFonts w:asciiTheme="minorEastAsia" w:hAnsiTheme="minorEastAsia" w:cs="宋体" w:hint="eastAsia"/>
          <w:color w:val="000000"/>
          <w:kern w:val="0"/>
          <w:sz w:val="24"/>
          <w:szCs w:val="24"/>
        </w:rPr>
        <w:t>）评价等级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lastRenderedPageBreak/>
        <w:t>本项目厂址位于哈密市工业园区的重工业加工区内，周围</w:t>
      </w:r>
      <w:r w:rsidRPr="00677D1F">
        <w:rPr>
          <w:rFonts w:asciiTheme="minorEastAsia" w:hAnsiTheme="minorEastAsia" w:cs="Times New Roman"/>
          <w:color w:val="000000"/>
          <w:kern w:val="0"/>
          <w:sz w:val="24"/>
          <w:szCs w:val="24"/>
        </w:rPr>
        <w:t>11km</w:t>
      </w:r>
      <w:r w:rsidRPr="00677D1F">
        <w:rPr>
          <w:rFonts w:asciiTheme="minorEastAsia" w:hAnsiTheme="minorEastAsia" w:cs="宋体" w:hint="eastAsia"/>
          <w:color w:val="000000"/>
          <w:kern w:val="0"/>
          <w:sz w:val="24"/>
          <w:szCs w:val="24"/>
        </w:rPr>
        <w:t>范围有村庄集中居民区环境敏感区，但本项目存在重大危险源，根据表</w:t>
      </w:r>
      <w:r w:rsidRPr="00677D1F">
        <w:rPr>
          <w:rFonts w:asciiTheme="minorEastAsia" w:hAnsiTheme="minorEastAsia" w:cs="Times New Roman"/>
          <w:color w:val="000000"/>
          <w:kern w:val="0"/>
          <w:sz w:val="24"/>
          <w:szCs w:val="24"/>
        </w:rPr>
        <w:t>2.4-7</w:t>
      </w:r>
      <w:r w:rsidRPr="00677D1F">
        <w:rPr>
          <w:rFonts w:asciiTheme="minorEastAsia" w:hAnsiTheme="minorEastAsia" w:cs="宋体" w:hint="eastAsia"/>
          <w:color w:val="000000"/>
          <w:kern w:val="0"/>
          <w:sz w:val="24"/>
          <w:szCs w:val="24"/>
        </w:rPr>
        <w:t>关于风险评价等级的划分方法，本项目环境风险评价等级为一级。</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2.4.1.6</w:t>
      </w:r>
      <w:r w:rsidRPr="00677D1F">
        <w:rPr>
          <w:rFonts w:ascii="宋体" w:eastAsia="宋体" w:hAnsi="宋体" w:cs="宋体" w:hint="eastAsia"/>
          <w:b/>
          <w:bCs/>
          <w:color w:val="000000"/>
          <w:kern w:val="0"/>
          <w:sz w:val="24"/>
          <w:szCs w:val="24"/>
        </w:rPr>
        <w:t>生态影响评价等级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评价等级划分依据</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根据《环境影响评价技术导则生态影响》（</w:t>
      </w:r>
      <w:r w:rsidRPr="00677D1F">
        <w:rPr>
          <w:rFonts w:asciiTheme="minorEastAsia" w:hAnsiTheme="minorEastAsia" w:cs="Times New Roman"/>
          <w:color w:val="000000"/>
          <w:kern w:val="0"/>
          <w:sz w:val="24"/>
          <w:szCs w:val="24"/>
        </w:rPr>
        <w:t>HJ19-2011</w:t>
      </w:r>
      <w:r w:rsidRPr="00677D1F">
        <w:rPr>
          <w:rFonts w:asciiTheme="minorEastAsia" w:hAnsiTheme="minorEastAsia" w:cs="宋体" w:hint="eastAsia"/>
          <w:color w:val="000000"/>
          <w:kern w:val="0"/>
          <w:sz w:val="24"/>
          <w:szCs w:val="24"/>
        </w:rPr>
        <w:t>），生态影响评价工作等级划分见表</w:t>
      </w:r>
      <w:r w:rsidRPr="00677D1F">
        <w:rPr>
          <w:rFonts w:asciiTheme="minorEastAsia" w:hAnsiTheme="minorEastAsia" w:cs="Times New Roman"/>
          <w:color w:val="000000"/>
          <w:kern w:val="0"/>
          <w:sz w:val="24"/>
          <w:szCs w:val="24"/>
        </w:rPr>
        <w:t>2.4-</w:t>
      </w:r>
      <w:r w:rsidRPr="00677D1F">
        <w:rPr>
          <w:rFonts w:asciiTheme="minorEastAsia" w:hAnsiTheme="minorEastAsia" w:cs="Times New Roman" w:hint="eastAsia"/>
          <w:color w:val="000000"/>
          <w:kern w:val="0"/>
          <w:sz w:val="24"/>
          <w:szCs w:val="24"/>
        </w:rPr>
        <w:t>11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表2.4-11  生态影响评价工作等级划分表</w:t>
      </w:r>
    </w:p>
    <w:tbl>
      <w:tblPr>
        <w:tblW w:w="9071"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9"/>
        <w:gridCol w:w="2265"/>
        <w:gridCol w:w="2269"/>
        <w:gridCol w:w="2268"/>
      </w:tblGrid>
      <w:tr w:rsidR="00D228BE" w:rsidRPr="00677D1F">
        <w:trPr>
          <w:trHeight w:val="340"/>
          <w:jc w:val="center"/>
        </w:trPr>
        <w:tc>
          <w:tcPr>
            <w:tcW w:w="2269"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影响区域生态敏感性</w:t>
            </w:r>
          </w:p>
        </w:tc>
        <w:tc>
          <w:tcPr>
            <w:tcW w:w="6802" w:type="dxa"/>
            <w:gridSpan w:val="3"/>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工程占地(水域)范围</w:t>
            </w:r>
          </w:p>
        </w:tc>
      </w:tr>
      <w:tr w:rsidR="00D228BE" w:rsidRPr="00677D1F">
        <w:trPr>
          <w:trHeight w:val="340"/>
          <w:jc w:val="center"/>
        </w:trPr>
        <w:tc>
          <w:tcPr>
            <w:tcW w:w="2269"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226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面积≥20km</w:t>
            </w:r>
            <w:r w:rsidRPr="00677D1F">
              <w:rPr>
                <w:rFonts w:asciiTheme="minorEastAsia" w:eastAsiaTheme="minorEastAsia" w:hAnsiTheme="minorEastAsia" w:cstheme="minorEastAsia" w:hint="eastAsia"/>
                <w:sz w:val="18"/>
                <w:szCs w:val="18"/>
                <w:vertAlign w:val="superscript"/>
              </w:rPr>
              <w:t>2</w:t>
            </w:r>
            <w:r w:rsidRPr="00677D1F">
              <w:rPr>
                <w:rFonts w:asciiTheme="minorEastAsia" w:eastAsiaTheme="minorEastAsia" w:hAnsiTheme="minorEastAsia" w:cstheme="minorEastAsia" w:hint="eastAsia"/>
                <w:sz w:val="18"/>
                <w:szCs w:val="18"/>
              </w:rPr>
              <w:t>或长度≥100km</w:t>
            </w:r>
          </w:p>
        </w:tc>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面积2km</w:t>
            </w:r>
            <w:r w:rsidRPr="00677D1F">
              <w:rPr>
                <w:rFonts w:asciiTheme="minorEastAsia" w:eastAsiaTheme="minorEastAsia" w:hAnsiTheme="minorEastAsia" w:cstheme="minorEastAsia" w:hint="eastAsia"/>
                <w:sz w:val="18"/>
                <w:szCs w:val="18"/>
                <w:vertAlign w:val="superscript"/>
              </w:rPr>
              <w:t>2</w:t>
            </w:r>
            <w:r w:rsidRPr="00677D1F">
              <w:rPr>
                <w:rFonts w:asciiTheme="minorEastAsia" w:eastAsiaTheme="minorEastAsia" w:hAnsiTheme="minorEastAsia" w:cstheme="minorEastAsia" w:hint="eastAsia"/>
                <w:sz w:val="18"/>
                <w:szCs w:val="18"/>
              </w:rPr>
              <w:t>-20km</w:t>
            </w:r>
            <w:r w:rsidRPr="00677D1F">
              <w:rPr>
                <w:rFonts w:asciiTheme="minorEastAsia" w:eastAsiaTheme="minorEastAsia" w:hAnsiTheme="minorEastAsia" w:cstheme="minorEastAsia" w:hint="eastAsia"/>
                <w:sz w:val="18"/>
                <w:szCs w:val="18"/>
                <w:vertAlign w:val="superscript"/>
              </w:rPr>
              <w:t>2</w:t>
            </w:r>
            <w:r w:rsidRPr="00677D1F">
              <w:rPr>
                <w:rFonts w:asciiTheme="minorEastAsia" w:eastAsiaTheme="minorEastAsia" w:hAnsiTheme="minorEastAsia" w:cstheme="minorEastAsia" w:hint="eastAsia"/>
                <w:sz w:val="18"/>
                <w:szCs w:val="18"/>
              </w:rPr>
              <w:t>或长度50km-100km</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面积≤2km</w:t>
            </w:r>
            <w:r w:rsidRPr="00677D1F">
              <w:rPr>
                <w:rFonts w:asciiTheme="minorEastAsia" w:eastAsiaTheme="minorEastAsia" w:hAnsiTheme="minorEastAsia" w:cstheme="minorEastAsia" w:hint="eastAsia"/>
                <w:sz w:val="18"/>
                <w:szCs w:val="18"/>
                <w:vertAlign w:val="superscript"/>
              </w:rPr>
              <w:t>2</w:t>
            </w:r>
            <w:r w:rsidRPr="00677D1F">
              <w:rPr>
                <w:rFonts w:asciiTheme="minorEastAsia" w:eastAsiaTheme="minorEastAsia" w:hAnsiTheme="minorEastAsia" w:cstheme="minorEastAsia" w:hint="eastAsia"/>
                <w:sz w:val="18"/>
                <w:szCs w:val="18"/>
              </w:rPr>
              <w:t>或长度50km</w:t>
            </w:r>
          </w:p>
        </w:tc>
      </w:tr>
      <w:tr w:rsidR="00D228BE" w:rsidRPr="00677D1F">
        <w:trPr>
          <w:trHeight w:val="340"/>
          <w:jc w:val="center"/>
        </w:trPr>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特殊生态敏感区</w:t>
            </w:r>
          </w:p>
        </w:tc>
        <w:tc>
          <w:tcPr>
            <w:tcW w:w="226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一级</w:t>
            </w:r>
          </w:p>
        </w:tc>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一级</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一级</w:t>
            </w:r>
          </w:p>
        </w:tc>
      </w:tr>
      <w:tr w:rsidR="00D228BE" w:rsidRPr="00677D1F">
        <w:trPr>
          <w:trHeight w:val="340"/>
          <w:jc w:val="center"/>
        </w:trPr>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重要生态敏感区</w:t>
            </w:r>
          </w:p>
        </w:tc>
        <w:tc>
          <w:tcPr>
            <w:tcW w:w="226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一级</w:t>
            </w:r>
          </w:p>
        </w:tc>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二级</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三级</w:t>
            </w:r>
          </w:p>
        </w:tc>
      </w:tr>
      <w:tr w:rsidR="00D228BE" w:rsidRPr="00677D1F">
        <w:trPr>
          <w:trHeight w:val="340"/>
          <w:jc w:val="center"/>
        </w:trPr>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一般区域</w:t>
            </w:r>
          </w:p>
        </w:tc>
        <w:tc>
          <w:tcPr>
            <w:tcW w:w="226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二级</w:t>
            </w:r>
          </w:p>
        </w:tc>
        <w:tc>
          <w:tcPr>
            <w:tcW w:w="2269"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三级</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三级</w:t>
            </w:r>
          </w:p>
        </w:tc>
      </w:tr>
    </w:tbl>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评价等级</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拟建项目占地面积为</w:t>
      </w:r>
      <w:r w:rsidRPr="00677D1F">
        <w:rPr>
          <w:rFonts w:asciiTheme="minorEastAsia" w:hAnsiTheme="minorEastAsia" w:cs="Times New Roman"/>
          <w:color w:val="000000"/>
          <w:kern w:val="0"/>
          <w:sz w:val="24"/>
          <w:szCs w:val="24"/>
        </w:rPr>
        <w:t>1152282m2</w:t>
      </w:r>
      <w:r w:rsidRPr="00677D1F">
        <w:rPr>
          <w:rFonts w:asciiTheme="minorEastAsia" w:hAnsiTheme="minorEastAsia" w:cs="宋体" w:hint="eastAsia"/>
          <w:color w:val="000000"/>
          <w:kern w:val="0"/>
          <w:sz w:val="24"/>
          <w:szCs w:val="24"/>
        </w:rPr>
        <w:t>、为规划的工业用地。根据表</w:t>
      </w:r>
      <w:r w:rsidRPr="00677D1F">
        <w:rPr>
          <w:rFonts w:asciiTheme="minorEastAsia" w:hAnsiTheme="minorEastAsia" w:cs="Times New Roman"/>
          <w:color w:val="000000"/>
          <w:kern w:val="0"/>
          <w:sz w:val="24"/>
          <w:szCs w:val="24"/>
        </w:rPr>
        <w:t>2.4-6</w:t>
      </w:r>
      <w:r w:rsidRPr="00677D1F">
        <w:rPr>
          <w:rFonts w:asciiTheme="minorEastAsia" w:hAnsiTheme="minorEastAsia" w:cs="宋体" w:hint="eastAsia"/>
          <w:color w:val="000000"/>
          <w:kern w:val="0"/>
          <w:sz w:val="24"/>
          <w:szCs w:val="24"/>
        </w:rPr>
        <w:t>中对生态影响评价工作等级划分规定，本项目厂址建设生态影响评价等级为三级。</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2.4.2</w:t>
      </w:r>
      <w:r w:rsidRPr="00677D1F">
        <w:rPr>
          <w:rFonts w:ascii="宋体" w:hAnsi="宋体" w:hint="eastAsia"/>
          <w:sz w:val="28"/>
          <w:szCs w:val="28"/>
        </w:rPr>
        <w:t>评价重点</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根据拟建项目的工程特点和所在区域的环境特征，确定本次评价的重点为工程分析、环保措施及其技术经济论证、大气环境影响评价和风险环境影响评价。</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2.5</w:t>
      </w:r>
      <w:r w:rsidRPr="00677D1F">
        <w:rPr>
          <w:rFonts w:ascii="宋体" w:hAnsi="宋体" w:hint="eastAsia"/>
          <w:bCs w:val="0"/>
          <w:kern w:val="2"/>
          <w:sz w:val="30"/>
          <w:szCs w:val="30"/>
        </w:rPr>
        <w:t>评价范围及环境敏感区域</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2.5.1</w:t>
      </w:r>
      <w:r w:rsidRPr="00677D1F">
        <w:rPr>
          <w:rFonts w:ascii="宋体" w:hAnsi="宋体" w:hint="eastAsia"/>
          <w:sz w:val="28"/>
          <w:szCs w:val="28"/>
        </w:rPr>
        <w:t>评价范围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）大气环境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本次的大气环境影响评价工作等级确定为二级，</w:t>
      </w:r>
      <w:r w:rsidRPr="00677D1F">
        <w:rPr>
          <w:rFonts w:ascii="宋体" w:eastAsia="宋体" w:hAnsi="宋体" w:cs="宋体"/>
          <w:color w:val="000000"/>
          <w:kern w:val="0"/>
          <w:sz w:val="24"/>
          <w:szCs w:val="24"/>
        </w:rPr>
        <w:t>D10</w:t>
      </w:r>
      <w:r w:rsidRPr="00677D1F">
        <w:rPr>
          <w:rFonts w:ascii="宋体" w:eastAsia="宋体" w:hAnsi="宋体" w:cs="宋体" w:hint="eastAsia"/>
          <w:color w:val="000000"/>
          <w:kern w:val="0"/>
          <w:sz w:val="24"/>
          <w:szCs w:val="24"/>
        </w:rPr>
        <w:t>最大为</w:t>
      </w:r>
      <w:r w:rsidRPr="00677D1F">
        <w:rPr>
          <w:rFonts w:ascii="宋体" w:eastAsia="宋体" w:hAnsi="宋体" w:cs="宋体"/>
          <w:color w:val="000000"/>
          <w:kern w:val="0"/>
          <w:sz w:val="24"/>
          <w:szCs w:val="24"/>
        </w:rPr>
        <w:t>12300m</w:t>
      </w:r>
      <w:r w:rsidRPr="00677D1F">
        <w:rPr>
          <w:rFonts w:ascii="宋体" w:eastAsia="宋体" w:hAnsi="宋体" w:cs="宋体" w:hint="eastAsia"/>
          <w:color w:val="000000"/>
          <w:kern w:val="0"/>
          <w:sz w:val="24"/>
          <w:szCs w:val="24"/>
        </w:rPr>
        <w:t>，根据本项目周围环境敏感目标分布和二级评价相关要求，因此确定本项目大气工作评价范围是以厂址为中心，半径</w:t>
      </w:r>
      <w:r w:rsidRPr="00677D1F">
        <w:rPr>
          <w:rFonts w:ascii="宋体" w:eastAsia="宋体" w:hAnsi="宋体" w:cs="宋体"/>
          <w:color w:val="000000"/>
          <w:kern w:val="0"/>
          <w:sz w:val="24"/>
          <w:szCs w:val="24"/>
        </w:rPr>
        <w:t>13.5km</w:t>
      </w:r>
      <w:r w:rsidRPr="00677D1F">
        <w:rPr>
          <w:rFonts w:ascii="宋体" w:eastAsia="宋体" w:hAnsi="宋体" w:cs="宋体" w:hint="eastAsia"/>
          <w:color w:val="000000"/>
          <w:kern w:val="0"/>
          <w:sz w:val="24"/>
          <w:szCs w:val="24"/>
        </w:rPr>
        <w:t>的圆形区域，评价范围见图</w:t>
      </w:r>
      <w:r w:rsidRPr="00677D1F">
        <w:rPr>
          <w:rFonts w:ascii="宋体" w:eastAsia="宋体" w:hAnsi="宋体" w:cs="宋体"/>
          <w:color w:val="000000"/>
          <w:kern w:val="0"/>
          <w:sz w:val="24"/>
          <w:szCs w:val="24"/>
        </w:rPr>
        <w:t>2.5-1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）水环境影响评价范围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本项目废水排放不进入地表水体，因此不进行地表水环境影响评价，本次评价只对本项目排放的废水简要说明所排放的污染物类型和数量、给排水状况、排水去向等。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本项目为Ⅰ类建设项目，评价工作等级为三级，根据建设场地水文地质资料和《环境影响评价技术导则地下水环境》（</w:t>
      </w:r>
      <w:r w:rsidRPr="00677D1F">
        <w:rPr>
          <w:rFonts w:ascii="宋体" w:eastAsia="宋体" w:hAnsi="宋体" w:cs="宋体"/>
          <w:color w:val="000000"/>
          <w:kern w:val="0"/>
          <w:sz w:val="24"/>
          <w:szCs w:val="24"/>
        </w:rPr>
        <w:t>HJ610-2011</w:t>
      </w:r>
      <w:r w:rsidRPr="00677D1F">
        <w:rPr>
          <w:rFonts w:ascii="宋体" w:eastAsia="宋体" w:hAnsi="宋体" w:cs="宋体" w:hint="eastAsia"/>
          <w:color w:val="000000"/>
          <w:kern w:val="0"/>
          <w:sz w:val="24"/>
          <w:szCs w:val="24"/>
        </w:rPr>
        <w:t>）中“表</w:t>
      </w:r>
      <w:r w:rsidRPr="00677D1F">
        <w:rPr>
          <w:rFonts w:ascii="宋体" w:eastAsia="宋体" w:hAnsi="宋体" w:cs="宋体"/>
          <w:color w:val="000000"/>
          <w:kern w:val="0"/>
          <w:sz w:val="24"/>
          <w:szCs w:val="24"/>
        </w:rPr>
        <w:t>12</w:t>
      </w:r>
      <w:r w:rsidRPr="00677D1F">
        <w:rPr>
          <w:rFonts w:ascii="宋体" w:eastAsia="宋体" w:hAnsi="宋体" w:cs="宋体" w:hint="eastAsia"/>
          <w:color w:val="000000"/>
          <w:kern w:val="0"/>
          <w:sz w:val="24"/>
          <w:szCs w:val="24"/>
        </w:rPr>
        <w:t>Ⅰ类建设项目地下水环境现状调查评价范围参考表”规定及“</w:t>
      </w:r>
      <w:r w:rsidRPr="00677D1F">
        <w:rPr>
          <w:rFonts w:ascii="宋体" w:eastAsia="宋体" w:hAnsi="宋体" w:cs="宋体"/>
          <w:color w:val="000000"/>
          <w:kern w:val="0"/>
          <w:sz w:val="24"/>
          <w:szCs w:val="24"/>
        </w:rPr>
        <w:t>8.2.2.2</w:t>
      </w:r>
      <w:r w:rsidRPr="00677D1F">
        <w:rPr>
          <w:rFonts w:ascii="宋体" w:eastAsia="宋体" w:hAnsi="宋体" w:cs="宋体" w:hint="eastAsia"/>
          <w:color w:val="000000"/>
          <w:kern w:val="0"/>
          <w:sz w:val="24"/>
          <w:szCs w:val="24"/>
        </w:rPr>
        <w:t>”相关内容，确定本项目地下水评价范围包括建设项目占地外延</w:t>
      </w:r>
      <w:r w:rsidRPr="00677D1F">
        <w:rPr>
          <w:rFonts w:ascii="宋体" w:eastAsia="宋体" w:hAnsi="宋体" w:cs="宋体"/>
          <w:color w:val="000000"/>
          <w:kern w:val="0"/>
          <w:sz w:val="24"/>
          <w:szCs w:val="24"/>
        </w:rPr>
        <w:t>1km</w:t>
      </w:r>
      <w:r w:rsidRPr="00677D1F">
        <w:rPr>
          <w:rFonts w:ascii="宋体" w:eastAsia="宋体" w:hAnsi="宋体" w:cs="宋体" w:hint="eastAsia"/>
          <w:color w:val="000000"/>
          <w:kern w:val="0"/>
          <w:sz w:val="24"/>
          <w:szCs w:val="24"/>
        </w:rPr>
        <w:t>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）声环境评价范围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本项目建设场地</w:t>
      </w:r>
      <w:r w:rsidRPr="00677D1F">
        <w:rPr>
          <w:rFonts w:ascii="宋体" w:eastAsia="宋体" w:hAnsi="宋体" w:cs="宋体"/>
          <w:color w:val="000000"/>
          <w:kern w:val="0"/>
          <w:sz w:val="24"/>
          <w:szCs w:val="24"/>
        </w:rPr>
        <w:t>200m</w:t>
      </w:r>
      <w:r w:rsidRPr="00677D1F">
        <w:rPr>
          <w:rFonts w:ascii="宋体" w:eastAsia="宋体" w:hAnsi="宋体" w:cs="宋体" w:hint="eastAsia"/>
          <w:color w:val="000000"/>
          <w:kern w:val="0"/>
          <w:sz w:val="24"/>
          <w:szCs w:val="24"/>
        </w:rPr>
        <w:t>范围内无声环境敏感点，因此只进行厂界达标性分析，其厂界噪声评价范围为厂界外</w:t>
      </w:r>
      <w:r w:rsidRPr="00677D1F">
        <w:rPr>
          <w:rFonts w:ascii="宋体" w:eastAsia="宋体" w:hAnsi="宋体" w:cs="宋体"/>
          <w:color w:val="000000"/>
          <w:kern w:val="0"/>
          <w:sz w:val="24"/>
          <w:szCs w:val="24"/>
        </w:rPr>
        <w:t>1m</w:t>
      </w:r>
      <w:r w:rsidRPr="00677D1F">
        <w:rPr>
          <w:rFonts w:ascii="宋体" w:eastAsia="宋体" w:hAnsi="宋体" w:cs="宋体" w:hint="eastAsia"/>
          <w:color w:val="000000"/>
          <w:kern w:val="0"/>
          <w:sz w:val="24"/>
          <w:szCs w:val="24"/>
        </w:rPr>
        <w:t>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）环境风险评价范围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6"/>
          <w:szCs w:val="26"/>
        </w:rPr>
      </w:pPr>
      <w:r w:rsidRPr="00677D1F">
        <w:rPr>
          <w:rFonts w:ascii="宋体" w:eastAsia="宋体" w:hAnsi="宋体" w:cs="宋体" w:hint="eastAsia"/>
          <w:color w:val="000000"/>
          <w:kern w:val="0"/>
          <w:sz w:val="24"/>
          <w:szCs w:val="24"/>
        </w:rPr>
        <w:t>评价范围为以厂址为中心半径</w:t>
      </w:r>
      <w:r w:rsidRPr="00677D1F">
        <w:rPr>
          <w:rFonts w:ascii="宋体" w:eastAsia="宋体" w:hAnsi="宋体" w:cs="宋体"/>
          <w:color w:val="000000"/>
          <w:kern w:val="0"/>
          <w:sz w:val="24"/>
          <w:szCs w:val="24"/>
        </w:rPr>
        <w:t>5km</w:t>
      </w:r>
      <w:r w:rsidRPr="00677D1F">
        <w:rPr>
          <w:rFonts w:ascii="宋体" w:eastAsia="宋体" w:hAnsi="宋体" w:cs="宋体" w:hint="eastAsia"/>
          <w:color w:val="000000"/>
          <w:kern w:val="0"/>
          <w:sz w:val="24"/>
          <w:szCs w:val="24"/>
        </w:rPr>
        <w:t>的区域。环境风险评价范围见图</w:t>
      </w:r>
      <w:r w:rsidRPr="00677D1F">
        <w:rPr>
          <w:rFonts w:ascii="Times New Roman" w:eastAsia="宋体" w:hAnsi="Times New Roman" w:cs="Times New Roman"/>
          <w:color w:val="000000"/>
          <w:kern w:val="0"/>
          <w:sz w:val="26"/>
          <w:szCs w:val="26"/>
        </w:rPr>
        <w:t>2.5-1</w:t>
      </w:r>
      <w:r w:rsidRPr="00677D1F">
        <w:rPr>
          <w:rFonts w:ascii="宋体" w:eastAsia="宋体" w:hAnsi="宋体" w:cs="宋体" w:hint="eastAsia"/>
          <w:color w:val="000000"/>
          <w:kern w:val="0"/>
          <w:sz w:val="26"/>
          <w:szCs w:val="26"/>
        </w:rPr>
        <w:t>。</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2.5-1</w:t>
      </w:r>
      <w:r w:rsidRPr="00677D1F">
        <w:rPr>
          <w:rFonts w:ascii="黑体" w:eastAsia="黑体" w:hAnsi="黑体" w:cs="宋体" w:hint="eastAsia"/>
          <w:b/>
          <w:color w:val="000000"/>
          <w:kern w:val="0"/>
          <w:szCs w:val="21"/>
        </w:rPr>
        <w:t xml:space="preserve">  评价范围、周围环境状况、现状监测布点图</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w:t>
      </w:r>
      <w:r w:rsidRPr="00677D1F">
        <w:rPr>
          <w:rFonts w:ascii="宋体" w:eastAsia="宋体" w:hAnsi="宋体" w:cs="宋体"/>
          <w:color w:val="000000"/>
          <w:kern w:val="0"/>
          <w:sz w:val="24"/>
          <w:szCs w:val="24"/>
        </w:rPr>
        <w:t>5</w:t>
      </w:r>
      <w:r w:rsidRPr="00677D1F">
        <w:rPr>
          <w:rFonts w:ascii="宋体" w:eastAsia="宋体" w:hAnsi="宋体" w:cs="宋体" w:hint="eastAsia"/>
          <w:color w:val="000000"/>
          <w:kern w:val="0"/>
          <w:sz w:val="24"/>
          <w:szCs w:val="24"/>
        </w:rPr>
        <w:t>）生态影响评价范围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项目占地红线范围并向红线外延伸</w:t>
      </w:r>
      <w:r w:rsidRPr="00677D1F">
        <w:rPr>
          <w:rFonts w:ascii="宋体" w:eastAsia="宋体" w:hAnsi="宋体" w:cs="宋体"/>
          <w:color w:val="000000"/>
          <w:kern w:val="0"/>
          <w:sz w:val="24"/>
          <w:szCs w:val="24"/>
        </w:rPr>
        <w:t>0.5km</w:t>
      </w:r>
      <w:r w:rsidRPr="00677D1F">
        <w:rPr>
          <w:rFonts w:ascii="宋体" w:eastAsia="宋体" w:hAnsi="宋体" w:cs="宋体" w:hint="eastAsia"/>
          <w:color w:val="000000"/>
          <w:kern w:val="0"/>
          <w:sz w:val="24"/>
          <w:szCs w:val="24"/>
        </w:rPr>
        <w:t>范围周围区域作为项目生态环境现状评价范围。</w:t>
      </w:r>
    </w:p>
    <w:p w:rsidR="00D228BE" w:rsidRPr="00677D1F" w:rsidRDefault="00332EB6" w:rsidP="00677D1F">
      <w:pPr>
        <w:widowControl/>
        <w:spacing w:line="360" w:lineRule="auto"/>
        <w:ind w:firstLineChars="200" w:firstLine="480"/>
        <w:contextualSpacing/>
      </w:pPr>
      <w:r w:rsidRPr="00677D1F">
        <w:rPr>
          <w:rFonts w:ascii="宋体" w:eastAsia="宋体" w:hAnsi="宋体" w:cs="宋体" w:hint="eastAsia"/>
          <w:color w:val="000000"/>
          <w:kern w:val="0"/>
          <w:sz w:val="24"/>
          <w:szCs w:val="24"/>
        </w:rPr>
        <w:t>根据本项目重点分析内容，本项目各环境要素影响评价工作等级及评价范围汇总见表</w:t>
      </w:r>
      <w:r w:rsidRPr="00677D1F">
        <w:rPr>
          <w:rFonts w:ascii="宋体" w:eastAsia="宋体" w:hAnsi="宋体" w:cs="宋体"/>
          <w:color w:val="000000"/>
          <w:kern w:val="0"/>
          <w:sz w:val="24"/>
          <w:szCs w:val="24"/>
        </w:rPr>
        <w:t>2.5-1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2.5-1</w:t>
      </w:r>
      <w:r w:rsidRPr="00677D1F">
        <w:rPr>
          <w:rFonts w:ascii="黑体" w:eastAsia="黑体" w:hAnsi="黑体" w:cs="宋体" w:hint="eastAsia"/>
          <w:b/>
          <w:color w:val="000000"/>
          <w:kern w:val="0"/>
          <w:szCs w:val="21"/>
        </w:rPr>
        <w:t xml:space="preserve">  环境影响评价工作等级及评价范围汇总表</w:t>
      </w:r>
    </w:p>
    <w:tbl>
      <w:tblPr>
        <w:tblW w:w="8494"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1657"/>
        <w:gridCol w:w="1935"/>
        <w:gridCol w:w="4182"/>
      </w:tblGrid>
      <w:tr w:rsidR="00D228BE" w:rsidRPr="00677D1F">
        <w:trPr>
          <w:trHeight w:val="321"/>
        </w:trPr>
        <w:tc>
          <w:tcPr>
            <w:tcW w:w="720" w:type="dxa"/>
          </w:tcPr>
          <w:p w:rsidR="00D228BE" w:rsidRPr="00677D1F" w:rsidRDefault="00332EB6" w:rsidP="00677D1F">
            <w:pPr>
              <w:pStyle w:val="TableParagraph"/>
              <w:spacing w:before="46" w:line="255" w:lineRule="exact"/>
              <w:ind w:left="107"/>
              <w:contextualSpacing/>
              <w:rPr>
                <w:sz w:val="21"/>
              </w:rPr>
            </w:pPr>
            <w:r w:rsidRPr="00677D1F">
              <w:rPr>
                <w:sz w:val="21"/>
              </w:rPr>
              <w:t>序号</w:t>
            </w:r>
          </w:p>
        </w:tc>
        <w:tc>
          <w:tcPr>
            <w:tcW w:w="1657" w:type="dxa"/>
          </w:tcPr>
          <w:p w:rsidR="00D228BE" w:rsidRPr="00677D1F" w:rsidRDefault="00332EB6" w:rsidP="00677D1F">
            <w:pPr>
              <w:pStyle w:val="TableParagraph"/>
              <w:spacing w:before="46" w:line="255" w:lineRule="exact"/>
              <w:ind w:left="107"/>
              <w:contextualSpacing/>
              <w:rPr>
                <w:sz w:val="21"/>
              </w:rPr>
            </w:pPr>
            <w:r w:rsidRPr="00677D1F">
              <w:rPr>
                <w:sz w:val="21"/>
              </w:rPr>
              <w:t>环境要素</w:t>
            </w:r>
          </w:p>
        </w:tc>
        <w:tc>
          <w:tcPr>
            <w:tcW w:w="1935" w:type="dxa"/>
          </w:tcPr>
          <w:p w:rsidR="00D228BE" w:rsidRPr="00677D1F" w:rsidRDefault="00332EB6" w:rsidP="00677D1F">
            <w:pPr>
              <w:pStyle w:val="TableParagraph"/>
              <w:spacing w:before="46" w:line="255" w:lineRule="exact"/>
              <w:ind w:left="107"/>
              <w:contextualSpacing/>
              <w:rPr>
                <w:sz w:val="21"/>
              </w:rPr>
            </w:pPr>
            <w:r w:rsidRPr="00677D1F">
              <w:rPr>
                <w:sz w:val="21"/>
              </w:rPr>
              <w:t>评价工作等级</w:t>
            </w:r>
          </w:p>
        </w:tc>
        <w:tc>
          <w:tcPr>
            <w:tcW w:w="4182" w:type="dxa"/>
          </w:tcPr>
          <w:p w:rsidR="00D228BE" w:rsidRPr="00677D1F" w:rsidRDefault="00332EB6" w:rsidP="00677D1F">
            <w:pPr>
              <w:pStyle w:val="TableParagraph"/>
              <w:spacing w:before="46" w:line="255" w:lineRule="exact"/>
              <w:ind w:left="106"/>
              <w:contextualSpacing/>
              <w:rPr>
                <w:sz w:val="21"/>
              </w:rPr>
            </w:pPr>
            <w:r w:rsidRPr="00677D1F">
              <w:rPr>
                <w:sz w:val="21"/>
              </w:rPr>
              <w:t>评价范围</w:t>
            </w:r>
          </w:p>
        </w:tc>
      </w:tr>
      <w:tr w:rsidR="00D228BE" w:rsidRPr="00677D1F">
        <w:trPr>
          <w:trHeight w:val="637"/>
        </w:trPr>
        <w:tc>
          <w:tcPr>
            <w:tcW w:w="720" w:type="dxa"/>
          </w:tcPr>
          <w:p w:rsidR="00D228BE" w:rsidRPr="00677D1F" w:rsidRDefault="00D228BE" w:rsidP="00677D1F">
            <w:pPr>
              <w:pStyle w:val="TableParagraph"/>
              <w:spacing w:before="1"/>
              <w:contextualSpacing/>
              <w:rPr>
                <w:sz w:val="17"/>
              </w:rPr>
            </w:pPr>
          </w:p>
          <w:p w:rsidR="00D228BE" w:rsidRPr="00677D1F" w:rsidRDefault="00332EB6" w:rsidP="00677D1F">
            <w:pPr>
              <w:pStyle w:val="TableParagraph"/>
              <w:ind w:left="107"/>
              <w:contextualSpacing/>
              <w:rPr>
                <w:rFonts w:ascii="Times New Roman"/>
                <w:sz w:val="21"/>
              </w:rPr>
            </w:pPr>
            <w:r w:rsidRPr="00677D1F">
              <w:rPr>
                <w:rFonts w:ascii="Times New Roman"/>
                <w:sz w:val="21"/>
              </w:rPr>
              <w:t>1</w:t>
            </w:r>
          </w:p>
        </w:tc>
        <w:tc>
          <w:tcPr>
            <w:tcW w:w="1657" w:type="dxa"/>
          </w:tcPr>
          <w:p w:rsidR="00D228BE" w:rsidRPr="00677D1F" w:rsidRDefault="00D228BE" w:rsidP="00677D1F">
            <w:pPr>
              <w:pStyle w:val="TableParagraph"/>
              <w:contextualSpacing/>
              <w:rPr>
                <w:sz w:val="16"/>
              </w:rPr>
            </w:pPr>
          </w:p>
          <w:p w:rsidR="00D228BE" w:rsidRPr="00677D1F" w:rsidRDefault="00332EB6" w:rsidP="00677D1F">
            <w:pPr>
              <w:pStyle w:val="TableParagraph"/>
              <w:ind w:left="107"/>
              <w:contextualSpacing/>
              <w:rPr>
                <w:sz w:val="21"/>
              </w:rPr>
            </w:pPr>
            <w:r w:rsidRPr="00677D1F">
              <w:rPr>
                <w:sz w:val="21"/>
              </w:rPr>
              <w:t>生态环境</w:t>
            </w:r>
          </w:p>
        </w:tc>
        <w:tc>
          <w:tcPr>
            <w:tcW w:w="1935" w:type="dxa"/>
          </w:tcPr>
          <w:p w:rsidR="00D228BE" w:rsidRPr="00677D1F" w:rsidRDefault="00D228BE" w:rsidP="00677D1F">
            <w:pPr>
              <w:pStyle w:val="TableParagraph"/>
              <w:contextualSpacing/>
              <w:rPr>
                <w:sz w:val="16"/>
              </w:rPr>
            </w:pPr>
          </w:p>
          <w:p w:rsidR="00D228BE" w:rsidRPr="00677D1F" w:rsidRDefault="00332EB6" w:rsidP="00677D1F">
            <w:pPr>
              <w:pStyle w:val="TableParagraph"/>
              <w:ind w:left="107"/>
              <w:contextualSpacing/>
              <w:rPr>
                <w:sz w:val="21"/>
              </w:rPr>
            </w:pPr>
            <w:r w:rsidRPr="00677D1F">
              <w:rPr>
                <w:sz w:val="21"/>
              </w:rPr>
              <w:t>三级</w:t>
            </w:r>
          </w:p>
        </w:tc>
        <w:tc>
          <w:tcPr>
            <w:tcW w:w="4182" w:type="dxa"/>
          </w:tcPr>
          <w:p w:rsidR="00D228BE" w:rsidRPr="00677D1F" w:rsidRDefault="00332EB6" w:rsidP="00677D1F">
            <w:pPr>
              <w:pStyle w:val="TableParagraph"/>
              <w:spacing w:line="320" w:lineRule="exact"/>
              <w:ind w:left="106" w:right="97"/>
              <w:contextualSpacing/>
              <w:rPr>
                <w:sz w:val="21"/>
              </w:rPr>
            </w:pPr>
            <w:r w:rsidRPr="00677D1F">
              <w:rPr>
                <w:sz w:val="21"/>
              </w:rPr>
              <w:t>项目占地红线范围并向红线外延伸</w:t>
            </w:r>
            <w:r w:rsidRPr="00677D1F">
              <w:rPr>
                <w:rFonts w:ascii="Times New Roman" w:eastAsia="Times New Roman"/>
                <w:sz w:val="21"/>
              </w:rPr>
              <w:t>0.5km</w:t>
            </w:r>
            <w:r w:rsidRPr="00677D1F">
              <w:rPr>
                <w:sz w:val="21"/>
              </w:rPr>
              <w:t>范围区域。</w:t>
            </w:r>
          </w:p>
        </w:tc>
      </w:tr>
      <w:tr w:rsidR="00D228BE" w:rsidRPr="00677D1F">
        <w:trPr>
          <w:trHeight w:val="319"/>
        </w:trPr>
        <w:tc>
          <w:tcPr>
            <w:tcW w:w="720" w:type="dxa"/>
          </w:tcPr>
          <w:p w:rsidR="00D228BE" w:rsidRPr="00677D1F" w:rsidRDefault="00332EB6" w:rsidP="00677D1F">
            <w:pPr>
              <w:pStyle w:val="TableParagraph"/>
              <w:spacing w:before="61" w:line="238" w:lineRule="exact"/>
              <w:ind w:left="107"/>
              <w:contextualSpacing/>
              <w:rPr>
                <w:rFonts w:ascii="Times New Roman"/>
                <w:sz w:val="21"/>
              </w:rPr>
            </w:pPr>
            <w:r w:rsidRPr="00677D1F">
              <w:rPr>
                <w:rFonts w:ascii="Times New Roman"/>
                <w:sz w:val="21"/>
              </w:rPr>
              <w:t>2</w:t>
            </w:r>
          </w:p>
        </w:tc>
        <w:tc>
          <w:tcPr>
            <w:tcW w:w="1657" w:type="dxa"/>
          </w:tcPr>
          <w:p w:rsidR="00D228BE" w:rsidRPr="00677D1F" w:rsidRDefault="00332EB6" w:rsidP="00677D1F">
            <w:pPr>
              <w:pStyle w:val="TableParagraph"/>
              <w:spacing w:before="47" w:line="252" w:lineRule="exact"/>
              <w:ind w:left="107"/>
              <w:contextualSpacing/>
              <w:rPr>
                <w:sz w:val="21"/>
              </w:rPr>
            </w:pPr>
            <w:r w:rsidRPr="00677D1F">
              <w:rPr>
                <w:sz w:val="21"/>
              </w:rPr>
              <w:t>空气环境</w:t>
            </w:r>
          </w:p>
        </w:tc>
        <w:tc>
          <w:tcPr>
            <w:tcW w:w="1935" w:type="dxa"/>
          </w:tcPr>
          <w:p w:rsidR="00D228BE" w:rsidRPr="00677D1F" w:rsidRDefault="00332EB6" w:rsidP="00677D1F">
            <w:pPr>
              <w:pStyle w:val="TableParagraph"/>
              <w:spacing w:before="47" w:line="252" w:lineRule="exact"/>
              <w:ind w:left="107"/>
              <w:contextualSpacing/>
              <w:rPr>
                <w:sz w:val="21"/>
              </w:rPr>
            </w:pPr>
            <w:r w:rsidRPr="00677D1F">
              <w:rPr>
                <w:sz w:val="21"/>
              </w:rPr>
              <w:t>二级</w:t>
            </w:r>
          </w:p>
        </w:tc>
        <w:tc>
          <w:tcPr>
            <w:tcW w:w="4182" w:type="dxa"/>
          </w:tcPr>
          <w:p w:rsidR="00D228BE" w:rsidRPr="00677D1F" w:rsidRDefault="00332EB6" w:rsidP="00677D1F">
            <w:pPr>
              <w:pStyle w:val="TableParagraph"/>
              <w:spacing w:before="47" w:line="252" w:lineRule="exact"/>
              <w:ind w:left="106"/>
              <w:contextualSpacing/>
              <w:rPr>
                <w:sz w:val="21"/>
              </w:rPr>
            </w:pPr>
            <w:r w:rsidRPr="00677D1F">
              <w:rPr>
                <w:sz w:val="21"/>
              </w:rPr>
              <w:t>以厂址中心半径为</w:t>
            </w:r>
            <w:r w:rsidRPr="00677D1F">
              <w:rPr>
                <w:rFonts w:ascii="Times New Roman" w:eastAsia="Times New Roman"/>
                <w:sz w:val="21"/>
              </w:rPr>
              <w:t>13.5km</w:t>
            </w:r>
            <w:r w:rsidRPr="00677D1F">
              <w:rPr>
                <w:sz w:val="21"/>
              </w:rPr>
              <w:t>的区域。</w:t>
            </w:r>
          </w:p>
        </w:tc>
      </w:tr>
      <w:tr w:rsidR="00D228BE" w:rsidRPr="00677D1F">
        <w:trPr>
          <w:trHeight w:val="318"/>
        </w:trPr>
        <w:tc>
          <w:tcPr>
            <w:tcW w:w="720" w:type="dxa"/>
          </w:tcPr>
          <w:p w:rsidR="00D228BE" w:rsidRPr="00677D1F" w:rsidRDefault="00332EB6" w:rsidP="00677D1F">
            <w:pPr>
              <w:pStyle w:val="TableParagraph"/>
              <w:spacing w:before="60" w:line="238" w:lineRule="exact"/>
              <w:ind w:left="107"/>
              <w:contextualSpacing/>
              <w:rPr>
                <w:rFonts w:ascii="Times New Roman"/>
                <w:sz w:val="21"/>
              </w:rPr>
            </w:pPr>
            <w:r w:rsidRPr="00677D1F">
              <w:rPr>
                <w:rFonts w:ascii="Times New Roman"/>
                <w:sz w:val="21"/>
              </w:rPr>
              <w:t>3</w:t>
            </w:r>
          </w:p>
        </w:tc>
        <w:tc>
          <w:tcPr>
            <w:tcW w:w="1657" w:type="dxa"/>
          </w:tcPr>
          <w:p w:rsidR="00D228BE" w:rsidRPr="00677D1F" w:rsidRDefault="00332EB6" w:rsidP="00677D1F">
            <w:pPr>
              <w:pStyle w:val="TableParagraph"/>
              <w:spacing w:before="46" w:line="252" w:lineRule="exact"/>
              <w:ind w:left="107"/>
              <w:contextualSpacing/>
              <w:rPr>
                <w:sz w:val="21"/>
              </w:rPr>
            </w:pPr>
            <w:r w:rsidRPr="00677D1F">
              <w:rPr>
                <w:sz w:val="21"/>
              </w:rPr>
              <w:t>声环境</w:t>
            </w:r>
          </w:p>
        </w:tc>
        <w:tc>
          <w:tcPr>
            <w:tcW w:w="1935" w:type="dxa"/>
          </w:tcPr>
          <w:p w:rsidR="00D228BE" w:rsidRPr="00677D1F" w:rsidRDefault="00332EB6" w:rsidP="00677D1F">
            <w:pPr>
              <w:pStyle w:val="TableParagraph"/>
              <w:spacing w:before="46" w:line="252" w:lineRule="exact"/>
              <w:ind w:left="107"/>
              <w:contextualSpacing/>
              <w:rPr>
                <w:sz w:val="21"/>
              </w:rPr>
            </w:pPr>
            <w:r w:rsidRPr="00677D1F">
              <w:rPr>
                <w:sz w:val="21"/>
              </w:rPr>
              <w:t>二级</w:t>
            </w:r>
          </w:p>
        </w:tc>
        <w:tc>
          <w:tcPr>
            <w:tcW w:w="4182" w:type="dxa"/>
          </w:tcPr>
          <w:p w:rsidR="00D228BE" w:rsidRPr="00677D1F" w:rsidRDefault="00332EB6" w:rsidP="00677D1F">
            <w:pPr>
              <w:pStyle w:val="TableParagraph"/>
              <w:spacing w:before="46" w:line="252" w:lineRule="exact"/>
              <w:ind w:left="106"/>
              <w:contextualSpacing/>
              <w:rPr>
                <w:sz w:val="21"/>
              </w:rPr>
            </w:pPr>
            <w:r w:rsidRPr="00677D1F">
              <w:rPr>
                <w:sz w:val="21"/>
              </w:rPr>
              <w:t>厂界线外</w:t>
            </w:r>
            <w:r w:rsidRPr="00677D1F">
              <w:rPr>
                <w:rFonts w:ascii="Times New Roman" w:eastAsia="Times New Roman"/>
                <w:sz w:val="21"/>
              </w:rPr>
              <w:t>1m</w:t>
            </w:r>
            <w:r w:rsidRPr="00677D1F">
              <w:rPr>
                <w:sz w:val="21"/>
              </w:rPr>
              <w:t>。</w:t>
            </w:r>
          </w:p>
        </w:tc>
      </w:tr>
      <w:tr w:rsidR="00D228BE" w:rsidRPr="00677D1F">
        <w:trPr>
          <w:trHeight w:val="321"/>
        </w:trPr>
        <w:tc>
          <w:tcPr>
            <w:tcW w:w="720" w:type="dxa"/>
          </w:tcPr>
          <w:p w:rsidR="00D228BE" w:rsidRPr="00677D1F" w:rsidRDefault="00332EB6" w:rsidP="00677D1F">
            <w:pPr>
              <w:pStyle w:val="TableParagraph"/>
              <w:spacing w:before="63" w:line="238" w:lineRule="exact"/>
              <w:ind w:left="107"/>
              <w:contextualSpacing/>
              <w:rPr>
                <w:rFonts w:ascii="Times New Roman"/>
                <w:sz w:val="21"/>
              </w:rPr>
            </w:pPr>
            <w:r w:rsidRPr="00677D1F">
              <w:rPr>
                <w:rFonts w:ascii="Times New Roman"/>
                <w:sz w:val="21"/>
              </w:rPr>
              <w:t>4</w:t>
            </w:r>
          </w:p>
        </w:tc>
        <w:tc>
          <w:tcPr>
            <w:tcW w:w="1657" w:type="dxa"/>
          </w:tcPr>
          <w:p w:rsidR="00D228BE" w:rsidRPr="00677D1F" w:rsidRDefault="00332EB6" w:rsidP="00677D1F">
            <w:pPr>
              <w:pStyle w:val="TableParagraph"/>
              <w:spacing w:before="49" w:line="252" w:lineRule="exact"/>
              <w:ind w:left="107"/>
              <w:contextualSpacing/>
              <w:rPr>
                <w:sz w:val="21"/>
              </w:rPr>
            </w:pPr>
            <w:r w:rsidRPr="00677D1F">
              <w:rPr>
                <w:sz w:val="21"/>
              </w:rPr>
              <w:t>地表水环境</w:t>
            </w:r>
          </w:p>
        </w:tc>
        <w:tc>
          <w:tcPr>
            <w:tcW w:w="1935" w:type="dxa"/>
          </w:tcPr>
          <w:p w:rsidR="00D228BE" w:rsidRPr="00677D1F" w:rsidRDefault="00332EB6" w:rsidP="00677D1F">
            <w:pPr>
              <w:pStyle w:val="TableParagraph"/>
              <w:spacing w:before="49" w:line="252" w:lineRule="exact"/>
              <w:ind w:left="107"/>
              <w:contextualSpacing/>
              <w:rPr>
                <w:sz w:val="21"/>
              </w:rPr>
            </w:pPr>
            <w:r w:rsidRPr="00677D1F">
              <w:rPr>
                <w:sz w:val="21"/>
              </w:rPr>
              <w:t>影响分析</w:t>
            </w:r>
          </w:p>
        </w:tc>
        <w:tc>
          <w:tcPr>
            <w:tcW w:w="4182" w:type="dxa"/>
          </w:tcPr>
          <w:p w:rsidR="00D228BE" w:rsidRPr="00677D1F" w:rsidRDefault="00332EB6" w:rsidP="00677D1F">
            <w:pPr>
              <w:pStyle w:val="TableParagraph"/>
              <w:spacing w:before="63" w:line="238" w:lineRule="exact"/>
              <w:ind w:left="106"/>
              <w:contextualSpacing/>
              <w:rPr>
                <w:rFonts w:ascii="Times New Roman"/>
                <w:sz w:val="21"/>
              </w:rPr>
            </w:pPr>
            <w:r w:rsidRPr="00677D1F">
              <w:rPr>
                <w:rFonts w:ascii="Times New Roman"/>
                <w:sz w:val="21"/>
              </w:rPr>
              <w:t>/</w:t>
            </w:r>
          </w:p>
        </w:tc>
      </w:tr>
      <w:tr w:rsidR="00D228BE" w:rsidRPr="00677D1F">
        <w:trPr>
          <w:trHeight w:val="318"/>
        </w:trPr>
        <w:tc>
          <w:tcPr>
            <w:tcW w:w="720" w:type="dxa"/>
          </w:tcPr>
          <w:p w:rsidR="00D228BE" w:rsidRPr="00677D1F" w:rsidRDefault="00332EB6" w:rsidP="00677D1F">
            <w:pPr>
              <w:pStyle w:val="TableParagraph"/>
              <w:spacing w:before="60" w:line="238" w:lineRule="exact"/>
              <w:ind w:left="107"/>
              <w:contextualSpacing/>
              <w:rPr>
                <w:rFonts w:ascii="Times New Roman"/>
                <w:sz w:val="21"/>
              </w:rPr>
            </w:pPr>
            <w:r w:rsidRPr="00677D1F">
              <w:rPr>
                <w:rFonts w:ascii="Times New Roman"/>
                <w:sz w:val="21"/>
              </w:rPr>
              <w:t>5</w:t>
            </w:r>
          </w:p>
        </w:tc>
        <w:tc>
          <w:tcPr>
            <w:tcW w:w="1657" w:type="dxa"/>
          </w:tcPr>
          <w:p w:rsidR="00D228BE" w:rsidRPr="00677D1F" w:rsidRDefault="00332EB6" w:rsidP="00677D1F">
            <w:pPr>
              <w:pStyle w:val="TableParagraph"/>
              <w:spacing w:before="46" w:line="252" w:lineRule="exact"/>
              <w:ind w:left="107"/>
              <w:contextualSpacing/>
              <w:rPr>
                <w:sz w:val="21"/>
              </w:rPr>
            </w:pPr>
            <w:r w:rsidRPr="00677D1F">
              <w:rPr>
                <w:sz w:val="21"/>
              </w:rPr>
              <w:t>地下水环境</w:t>
            </w:r>
          </w:p>
        </w:tc>
        <w:tc>
          <w:tcPr>
            <w:tcW w:w="1935" w:type="dxa"/>
          </w:tcPr>
          <w:p w:rsidR="00D228BE" w:rsidRPr="00677D1F" w:rsidRDefault="00332EB6" w:rsidP="00677D1F">
            <w:pPr>
              <w:pStyle w:val="TableParagraph"/>
              <w:spacing w:before="46" w:line="252" w:lineRule="exact"/>
              <w:ind w:left="107"/>
              <w:contextualSpacing/>
              <w:rPr>
                <w:sz w:val="21"/>
              </w:rPr>
            </w:pPr>
            <w:r w:rsidRPr="00677D1F">
              <w:rPr>
                <w:sz w:val="21"/>
              </w:rPr>
              <w:t>三级</w:t>
            </w:r>
          </w:p>
        </w:tc>
        <w:tc>
          <w:tcPr>
            <w:tcW w:w="4182" w:type="dxa"/>
          </w:tcPr>
          <w:p w:rsidR="00D228BE" w:rsidRPr="00677D1F" w:rsidRDefault="00332EB6" w:rsidP="00677D1F">
            <w:pPr>
              <w:pStyle w:val="TableParagraph"/>
              <w:spacing w:before="46" w:line="252" w:lineRule="exact"/>
              <w:ind w:left="106"/>
              <w:contextualSpacing/>
              <w:rPr>
                <w:sz w:val="21"/>
              </w:rPr>
            </w:pPr>
            <w:r w:rsidRPr="00677D1F">
              <w:rPr>
                <w:sz w:val="21"/>
              </w:rPr>
              <w:t>项目占地范围区域外延</w:t>
            </w:r>
            <w:r w:rsidRPr="00677D1F">
              <w:rPr>
                <w:rFonts w:ascii="Times New Roman" w:eastAsia="Times New Roman"/>
                <w:sz w:val="21"/>
              </w:rPr>
              <w:t>1km</w:t>
            </w:r>
            <w:r w:rsidRPr="00677D1F">
              <w:rPr>
                <w:sz w:val="21"/>
              </w:rPr>
              <w:t>范围</w:t>
            </w:r>
          </w:p>
        </w:tc>
      </w:tr>
      <w:tr w:rsidR="00D228BE" w:rsidRPr="00677D1F">
        <w:trPr>
          <w:trHeight w:val="321"/>
        </w:trPr>
        <w:tc>
          <w:tcPr>
            <w:tcW w:w="720" w:type="dxa"/>
          </w:tcPr>
          <w:p w:rsidR="00D228BE" w:rsidRPr="00677D1F" w:rsidRDefault="00332EB6" w:rsidP="00677D1F">
            <w:pPr>
              <w:pStyle w:val="TableParagraph"/>
              <w:spacing w:before="63" w:line="238" w:lineRule="exact"/>
              <w:ind w:left="107"/>
              <w:contextualSpacing/>
              <w:rPr>
                <w:rFonts w:ascii="Times New Roman"/>
                <w:sz w:val="21"/>
              </w:rPr>
            </w:pPr>
            <w:r w:rsidRPr="00677D1F">
              <w:rPr>
                <w:rFonts w:ascii="Times New Roman"/>
                <w:sz w:val="21"/>
              </w:rPr>
              <w:t>6</w:t>
            </w:r>
          </w:p>
        </w:tc>
        <w:tc>
          <w:tcPr>
            <w:tcW w:w="1657" w:type="dxa"/>
          </w:tcPr>
          <w:p w:rsidR="00D228BE" w:rsidRPr="00677D1F" w:rsidRDefault="00332EB6" w:rsidP="00677D1F">
            <w:pPr>
              <w:pStyle w:val="TableParagraph"/>
              <w:spacing w:before="49" w:line="252" w:lineRule="exact"/>
              <w:ind w:left="107"/>
              <w:contextualSpacing/>
              <w:rPr>
                <w:sz w:val="21"/>
              </w:rPr>
            </w:pPr>
            <w:r w:rsidRPr="00677D1F">
              <w:rPr>
                <w:sz w:val="21"/>
              </w:rPr>
              <w:t>环境风险</w:t>
            </w:r>
          </w:p>
        </w:tc>
        <w:tc>
          <w:tcPr>
            <w:tcW w:w="1935" w:type="dxa"/>
          </w:tcPr>
          <w:p w:rsidR="00D228BE" w:rsidRPr="00677D1F" w:rsidRDefault="00332EB6" w:rsidP="00677D1F">
            <w:pPr>
              <w:pStyle w:val="TableParagraph"/>
              <w:spacing w:before="49" w:line="252" w:lineRule="exact"/>
              <w:ind w:left="107"/>
              <w:contextualSpacing/>
              <w:rPr>
                <w:sz w:val="21"/>
              </w:rPr>
            </w:pPr>
            <w:r w:rsidRPr="00677D1F">
              <w:rPr>
                <w:sz w:val="21"/>
              </w:rPr>
              <w:t>一级</w:t>
            </w:r>
          </w:p>
        </w:tc>
        <w:tc>
          <w:tcPr>
            <w:tcW w:w="4182" w:type="dxa"/>
          </w:tcPr>
          <w:p w:rsidR="00D228BE" w:rsidRPr="00677D1F" w:rsidRDefault="00332EB6" w:rsidP="00677D1F">
            <w:pPr>
              <w:pStyle w:val="TableParagraph"/>
              <w:spacing w:before="49" w:line="252" w:lineRule="exact"/>
              <w:ind w:left="106"/>
              <w:contextualSpacing/>
              <w:rPr>
                <w:sz w:val="21"/>
              </w:rPr>
            </w:pPr>
            <w:r w:rsidRPr="00677D1F">
              <w:rPr>
                <w:sz w:val="21"/>
              </w:rPr>
              <w:t>厂址中心半径</w:t>
            </w:r>
            <w:r w:rsidRPr="00677D1F">
              <w:rPr>
                <w:rFonts w:ascii="Times New Roman" w:eastAsia="Times New Roman"/>
                <w:sz w:val="21"/>
              </w:rPr>
              <w:t>5km</w:t>
            </w:r>
            <w:r w:rsidRPr="00677D1F">
              <w:rPr>
                <w:sz w:val="21"/>
              </w:rPr>
              <w:t>的区域</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2.5.2</w:t>
      </w:r>
      <w:r w:rsidRPr="00677D1F">
        <w:rPr>
          <w:rFonts w:ascii="宋体" w:hAnsi="宋体" w:hint="eastAsia"/>
          <w:sz w:val="28"/>
          <w:szCs w:val="28"/>
        </w:rPr>
        <w:t>污染控制</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）建设期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主要控制施工噪声、施工扬尘、压占土地和水土流失等，具体污染控制标准见表</w:t>
      </w:r>
      <w:r w:rsidRPr="00677D1F">
        <w:rPr>
          <w:rFonts w:ascii="宋体" w:eastAsia="宋体" w:hAnsi="宋体" w:cs="宋体"/>
          <w:color w:val="000000"/>
          <w:kern w:val="0"/>
          <w:sz w:val="24"/>
          <w:szCs w:val="24"/>
        </w:rPr>
        <w:t>2.5-2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表2.5-2  建设期污染控制目标</w:t>
      </w:r>
    </w:p>
    <w:tbl>
      <w:tblPr>
        <w:tblW w:w="8526"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2"/>
        <w:gridCol w:w="1685"/>
        <w:gridCol w:w="2414"/>
        <w:gridCol w:w="2925"/>
      </w:tblGrid>
      <w:tr w:rsidR="00D228BE" w:rsidRPr="00677D1F">
        <w:trPr>
          <w:trHeight w:val="239"/>
        </w:trPr>
        <w:tc>
          <w:tcPr>
            <w:tcW w:w="1502" w:type="dxa"/>
            <w:tcBorders>
              <w:bottom w:val="single" w:sz="6" w:space="0" w:color="000000"/>
              <w:right w:val="single" w:sz="6" w:space="0" w:color="000000"/>
            </w:tcBorders>
          </w:tcPr>
          <w:p w:rsidR="00D228BE" w:rsidRPr="00677D1F" w:rsidRDefault="00332EB6" w:rsidP="00677D1F">
            <w:pPr>
              <w:pStyle w:val="TableParagraph"/>
              <w:spacing w:line="220" w:lineRule="exact"/>
              <w:ind w:left="107"/>
              <w:contextualSpacing/>
              <w:rPr>
                <w:sz w:val="18"/>
                <w:szCs w:val="18"/>
              </w:rPr>
            </w:pPr>
            <w:r w:rsidRPr="00677D1F">
              <w:rPr>
                <w:sz w:val="18"/>
                <w:szCs w:val="18"/>
              </w:rPr>
              <w:t>污染源</w:t>
            </w:r>
          </w:p>
        </w:tc>
        <w:tc>
          <w:tcPr>
            <w:tcW w:w="1685" w:type="dxa"/>
            <w:tcBorders>
              <w:left w:val="single" w:sz="6" w:space="0" w:color="000000"/>
              <w:bottom w:val="single" w:sz="6" w:space="0" w:color="000000"/>
              <w:right w:val="single" w:sz="6" w:space="0" w:color="000000"/>
            </w:tcBorders>
          </w:tcPr>
          <w:p w:rsidR="00D228BE" w:rsidRPr="00677D1F" w:rsidRDefault="00332EB6" w:rsidP="00677D1F">
            <w:pPr>
              <w:pStyle w:val="TableParagraph"/>
              <w:spacing w:line="220" w:lineRule="exact"/>
              <w:ind w:left="105"/>
              <w:contextualSpacing/>
              <w:rPr>
                <w:sz w:val="18"/>
                <w:szCs w:val="18"/>
              </w:rPr>
            </w:pPr>
            <w:r w:rsidRPr="00677D1F">
              <w:rPr>
                <w:sz w:val="18"/>
                <w:szCs w:val="18"/>
              </w:rPr>
              <w:t>污染物类型</w:t>
            </w:r>
          </w:p>
        </w:tc>
        <w:tc>
          <w:tcPr>
            <w:tcW w:w="2414" w:type="dxa"/>
            <w:tcBorders>
              <w:left w:val="single" w:sz="6" w:space="0" w:color="000000"/>
              <w:bottom w:val="single" w:sz="6" w:space="0" w:color="000000"/>
              <w:right w:val="single" w:sz="6" w:space="0" w:color="000000"/>
            </w:tcBorders>
          </w:tcPr>
          <w:p w:rsidR="00D228BE" w:rsidRPr="00677D1F" w:rsidRDefault="00332EB6" w:rsidP="00677D1F">
            <w:pPr>
              <w:pStyle w:val="TableParagraph"/>
              <w:spacing w:line="220" w:lineRule="exact"/>
              <w:ind w:left="103"/>
              <w:contextualSpacing/>
              <w:rPr>
                <w:sz w:val="18"/>
                <w:szCs w:val="18"/>
              </w:rPr>
            </w:pPr>
            <w:r w:rsidRPr="00677D1F">
              <w:rPr>
                <w:sz w:val="18"/>
                <w:szCs w:val="18"/>
              </w:rPr>
              <w:t>控制内容</w:t>
            </w:r>
          </w:p>
        </w:tc>
        <w:tc>
          <w:tcPr>
            <w:tcW w:w="2925" w:type="dxa"/>
            <w:tcBorders>
              <w:left w:val="single" w:sz="6" w:space="0" w:color="000000"/>
              <w:bottom w:val="single" w:sz="6" w:space="0" w:color="000000"/>
            </w:tcBorders>
          </w:tcPr>
          <w:p w:rsidR="00D228BE" w:rsidRPr="00677D1F" w:rsidRDefault="00332EB6" w:rsidP="00677D1F">
            <w:pPr>
              <w:pStyle w:val="TableParagraph"/>
              <w:spacing w:line="220" w:lineRule="exact"/>
              <w:ind w:left="106"/>
              <w:contextualSpacing/>
              <w:rPr>
                <w:sz w:val="18"/>
                <w:szCs w:val="18"/>
              </w:rPr>
            </w:pPr>
            <w:r w:rsidRPr="00677D1F">
              <w:rPr>
                <w:sz w:val="18"/>
                <w:szCs w:val="18"/>
              </w:rPr>
              <w:t>控制目标</w:t>
            </w:r>
          </w:p>
        </w:tc>
      </w:tr>
      <w:tr w:rsidR="00D228BE" w:rsidRPr="00677D1F">
        <w:trPr>
          <w:trHeight w:val="719"/>
        </w:trPr>
        <w:tc>
          <w:tcPr>
            <w:tcW w:w="1502" w:type="dxa"/>
            <w:tcBorders>
              <w:top w:val="single" w:sz="6" w:space="0" w:color="000000"/>
              <w:bottom w:val="single" w:sz="6" w:space="0" w:color="000000"/>
              <w:right w:val="single" w:sz="6" w:space="0" w:color="000000"/>
            </w:tcBorders>
          </w:tcPr>
          <w:p w:rsidR="00D228BE" w:rsidRPr="00677D1F" w:rsidRDefault="00D228BE" w:rsidP="00677D1F">
            <w:pPr>
              <w:pStyle w:val="TableParagraph"/>
              <w:spacing w:before="4"/>
              <w:contextualSpacing/>
              <w:rPr>
                <w:rFonts w:ascii="黑体"/>
                <w:sz w:val="18"/>
                <w:szCs w:val="18"/>
              </w:rPr>
            </w:pPr>
          </w:p>
          <w:p w:rsidR="00D228BE" w:rsidRPr="00677D1F" w:rsidRDefault="00332EB6" w:rsidP="00677D1F">
            <w:pPr>
              <w:pStyle w:val="TableParagraph"/>
              <w:ind w:left="107"/>
              <w:contextualSpacing/>
              <w:rPr>
                <w:sz w:val="18"/>
                <w:szCs w:val="18"/>
              </w:rPr>
            </w:pPr>
            <w:r w:rsidRPr="00677D1F">
              <w:rPr>
                <w:sz w:val="18"/>
                <w:szCs w:val="18"/>
              </w:rPr>
              <w:t>弃土、弃渣</w:t>
            </w:r>
          </w:p>
        </w:tc>
        <w:tc>
          <w:tcPr>
            <w:tcW w:w="1685" w:type="dxa"/>
            <w:tcBorders>
              <w:top w:val="single" w:sz="6" w:space="0" w:color="000000"/>
              <w:left w:val="single" w:sz="6" w:space="0" w:color="000000"/>
              <w:bottom w:val="single" w:sz="6" w:space="0" w:color="000000"/>
              <w:right w:val="single" w:sz="6" w:space="0" w:color="000000"/>
            </w:tcBorders>
          </w:tcPr>
          <w:p w:rsidR="00D228BE" w:rsidRPr="00677D1F" w:rsidRDefault="00D228BE" w:rsidP="00677D1F">
            <w:pPr>
              <w:pStyle w:val="TableParagraph"/>
              <w:spacing w:before="4"/>
              <w:contextualSpacing/>
              <w:rPr>
                <w:rFonts w:ascii="黑体"/>
                <w:sz w:val="18"/>
                <w:szCs w:val="18"/>
              </w:rPr>
            </w:pPr>
          </w:p>
          <w:p w:rsidR="00D228BE" w:rsidRPr="00677D1F" w:rsidRDefault="00332EB6" w:rsidP="00677D1F">
            <w:pPr>
              <w:pStyle w:val="TableParagraph"/>
              <w:ind w:left="105"/>
              <w:contextualSpacing/>
              <w:rPr>
                <w:sz w:val="18"/>
                <w:szCs w:val="18"/>
              </w:rPr>
            </w:pPr>
            <w:r w:rsidRPr="00677D1F">
              <w:rPr>
                <w:sz w:val="18"/>
                <w:szCs w:val="18"/>
              </w:rPr>
              <w:t>固体废物</w:t>
            </w:r>
          </w:p>
        </w:tc>
        <w:tc>
          <w:tcPr>
            <w:tcW w:w="2414"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124" w:line="213" w:lineRule="auto"/>
              <w:ind w:left="103" w:right="95"/>
              <w:contextualSpacing/>
              <w:rPr>
                <w:sz w:val="18"/>
                <w:szCs w:val="18"/>
              </w:rPr>
            </w:pPr>
            <w:r w:rsidRPr="00677D1F">
              <w:rPr>
                <w:sz w:val="18"/>
                <w:szCs w:val="18"/>
              </w:rPr>
              <w:t>制定完善的处置措施、禁止乱堆放</w:t>
            </w:r>
          </w:p>
        </w:tc>
        <w:tc>
          <w:tcPr>
            <w:tcW w:w="2925"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line="236" w:lineRule="exact"/>
              <w:ind w:left="106"/>
              <w:contextualSpacing/>
              <w:rPr>
                <w:sz w:val="18"/>
                <w:szCs w:val="18"/>
              </w:rPr>
            </w:pPr>
            <w:r w:rsidRPr="00677D1F">
              <w:rPr>
                <w:sz w:val="18"/>
                <w:szCs w:val="18"/>
              </w:rPr>
              <w:t>①控制压占土地面积</w:t>
            </w:r>
          </w:p>
          <w:p w:rsidR="00D228BE" w:rsidRPr="00677D1F" w:rsidRDefault="00332EB6" w:rsidP="00677D1F">
            <w:pPr>
              <w:pStyle w:val="TableParagraph"/>
              <w:spacing w:before="3" w:line="240" w:lineRule="exact"/>
              <w:ind w:left="106" w:right="42"/>
              <w:contextualSpacing/>
              <w:rPr>
                <w:rFonts w:ascii="Times New Roman" w:eastAsia="Times New Roman" w:hAnsi="Times New Roman"/>
                <w:sz w:val="18"/>
                <w:szCs w:val="18"/>
              </w:rPr>
            </w:pPr>
            <w:r w:rsidRPr="00677D1F">
              <w:rPr>
                <w:sz w:val="18"/>
                <w:szCs w:val="18"/>
              </w:rPr>
              <w:t xml:space="preserve">②到当地垃圾埋场覆土，其处置率 </w:t>
            </w:r>
            <w:r w:rsidRPr="00677D1F">
              <w:rPr>
                <w:rFonts w:ascii="Times New Roman" w:eastAsia="Times New Roman" w:hAnsi="Times New Roman"/>
                <w:sz w:val="18"/>
                <w:szCs w:val="18"/>
              </w:rPr>
              <w:t>100%</w:t>
            </w:r>
          </w:p>
        </w:tc>
      </w:tr>
      <w:tr w:rsidR="00D228BE" w:rsidRPr="00677D1F">
        <w:trPr>
          <w:trHeight w:val="729"/>
        </w:trPr>
        <w:tc>
          <w:tcPr>
            <w:tcW w:w="1502" w:type="dxa"/>
            <w:tcBorders>
              <w:top w:val="single" w:sz="6" w:space="0" w:color="000000"/>
              <w:bottom w:val="single" w:sz="6" w:space="0" w:color="000000"/>
              <w:right w:val="single" w:sz="6" w:space="0" w:color="000000"/>
            </w:tcBorders>
          </w:tcPr>
          <w:p w:rsidR="00D228BE" w:rsidRPr="00677D1F" w:rsidRDefault="00D228BE" w:rsidP="00677D1F">
            <w:pPr>
              <w:pStyle w:val="TableParagraph"/>
              <w:spacing w:before="8"/>
              <w:contextualSpacing/>
              <w:rPr>
                <w:rFonts w:ascii="黑体"/>
                <w:sz w:val="18"/>
                <w:szCs w:val="18"/>
              </w:rPr>
            </w:pPr>
          </w:p>
          <w:p w:rsidR="00D228BE" w:rsidRPr="00677D1F" w:rsidRDefault="00332EB6" w:rsidP="00677D1F">
            <w:pPr>
              <w:pStyle w:val="TableParagraph"/>
              <w:ind w:left="107"/>
              <w:contextualSpacing/>
              <w:rPr>
                <w:sz w:val="18"/>
                <w:szCs w:val="18"/>
              </w:rPr>
            </w:pPr>
            <w:r w:rsidRPr="00677D1F">
              <w:rPr>
                <w:sz w:val="18"/>
                <w:szCs w:val="18"/>
              </w:rPr>
              <w:t>施工设施</w:t>
            </w:r>
          </w:p>
        </w:tc>
        <w:tc>
          <w:tcPr>
            <w:tcW w:w="1685"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129" w:line="213" w:lineRule="auto"/>
              <w:ind w:left="105" w:right="93"/>
              <w:contextualSpacing/>
              <w:rPr>
                <w:sz w:val="18"/>
                <w:szCs w:val="18"/>
              </w:rPr>
            </w:pPr>
            <w:r w:rsidRPr="00677D1F">
              <w:rPr>
                <w:sz w:val="18"/>
                <w:szCs w:val="18"/>
              </w:rPr>
              <w:t>机械、空气动力性噪声</w:t>
            </w:r>
          </w:p>
        </w:tc>
        <w:tc>
          <w:tcPr>
            <w:tcW w:w="2414"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4" w:line="240" w:lineRule="exact"/>
              <w:ind w:left="103" w:right="94"/>
              <w:contextualSpacing/>
              <w:jc w:val="both"/>
              <w:rPr>
                <w:sz w:val="18"/>
                <w:szCs w:val="18"/>
              </w:rPr>
            </w:pPr>
            <w:r w:rsidRPr="00677D1F">
              <w:rPr>
                <w:sz w:val="18"/>
                <w:szCs w:val="18"/>
              </w:rPr>
              <w:t>合理安排施工作业时间、选用低噪声机械设备等</w:t>
            </w:r>
          </w:p>
        </w:tc>
        <w:tc>
          <w:tcPr>
            <w:tcW w:w="2925"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4" w:line="240" w:lineRule="exact"/>
              <w:ind w:left="106" w:right="88"/>
              <w:contextualSpacing/>
              <w:jc w:val="both"/>
              <w:rPr>
                <w:sz w:val="18"/>
                <w:szCs w:val="18"/>
              </w:rPr>
            </w:pPr>
            <w:r w:rsidRPr="00677D1F">
              <w:rPr>
                <w:sz w:val="18"/>
                <w:szCs w:val="18"/>
              </w:rPr>
              <w:t>达到《建筑施工场界环境噪声排放标准》（</w:t>
            </w:r>
            <w:r w:rsidRPr="00677D1F">
              <w:rPr>
                <w:rFonts w:ascii="Times New Roman" w:eastAsia="Times New Roman"/>
                <w:sz w:val="18"/>
                <w:szCs w:val="18"/>
              </w:rPr>
              <w:t>GB12523-2011</w:t>
            </w:r>
            <w:r w:rsidRPr="00677D1F">
              <w:rPr>
                <w:sz w:val="18"/>
                <w:szCs w:val="18"/>
              </w:rPr>
              <w:t>） 中环境噪声排放限值规定</w:t>
            </w:r>
          </w:p>
        </w:tc>
      </w:tr>
      <w:tr w:rsidR="00D228BE" w:rsidRPr="00677D1F">
        <w:trPr>
          <w:trHeight w:val="239"/>
        </w:trPr>
        <w:tc>
          <w:tcPr>
            <w:tcW w:w="1502"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line="219" w:lineRule="exact"/>
              <w:ind w:left="107"/>
              <w:contextualSpacing/>
              <w:rPr>
                <w:sz w:val="18"/>
                <w:szCs w:val="18"/>
              </w:rPr>
            </w:pPr>
            <w:r w:rsidRPr="00677D1F">
              <w:rPr>
                <w:sz w:val="18"/>
                <w:szCs w:val="18"/>
              </w:rPr>
              <w:t>施工场地扬尘</w:t>
            </w:r>
          </w:p>
        </w:tc>
        <w:tc>
          <w:tcPr>
            <w:tcW w:w="1685"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line="219" w:lineRule="exact"/>
              <w:ind w:left="105"/>
              <w:contextualSpacing/>
              <w:rPr>
                <w:sz w:val="18"/>
                <w:szCs w:val="18"/>
              </w:rPr>
            </w:pPr>
            <w:r w:rsidRPr="00677D1F">
              <w:rPr>
                <w:sz w:val="18"/>
                <w:szCs w:val="18"/>
              </w:rPr>
              <w:t>粉尘</w:t>
            </w:r>
          </w:p>
        </w:tc>
        <w:tc>
          <w:tcPr>
            <w:tcW w:w="2414"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line="219" w:lineRule="exact"/>
              <w:ind w:left="103"/>
              <w:contextualSpacing/>
              <w:rPr>
                <w:sz w:val="18"/>
                <w:szCs w:val="18"/>
              </w:rPr>
            </w:pPr>
            <w:r w:rsidRPr="00677D1F">
              <w:rPr>
                <w:sz w:val="18"/>
                <w:szCs w:val="18"/>
              </w:rPr>
              <w:t>设围栏、定期洒水等</w:t>
            </w:r>
          </w:p>
        </w:tc>
        <w:tc>
          <w:tcPr>
            <w:tcW w:w="2925"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line="219" w:lineRule="exact"/>
              <w:ind w:left="106"/>
              <w:contextualSpacing/>
              <w:rPr>
                <w:sz w:val="18"/>
                <w:szCs w:val="18"/>
              </w:rPr>
            </w:pPr>
            <w:r w:rsidRPr="00677D1F">
              <w:rPr>
                <w:sz w:val="18"/>
                <w:szCs w:val="18"/>
              </w:rPr>
              <w:t>无组织排放监控浓度限值</w:t>
            </w:r>
          </w:p>
        </w:tc>
      </w:tr>
      <w:tr w:rsidR="00D228BE" w:rsidRPr="00677D1F">
        <w:trPr>
          <w:trHeight w:val="481"/>
        </w:trPr>
        <w:tc>
          <w:tcPr>
            <w:tcW w:w="1502" w:type="dxa"/>
            <w:tcBorders>
              <w:top w:val="single" w:sz="6" w:space="0" w:color="000000"/>
              <w:right w:val="single" w:sz="6" w:space="0" w:color="000000"/>
            </w:tcBorders>
          </w:tcPr>
          <w:p w:rsidR="00D228BE" w:rsidRPr="00677D1F" w:rsidRDefault="00332EB6" w:rsidP="00677D1F">
            <w:pPr>
              <w:pStyle w:val="TableParagraph"/>
              <w:spacing w:before="104"/>
              <w:ind w:left="107"/>
              <w:contextualSpacing/>
              <w:rPr>
                <w:sz w:val="18"/>
                <w:szCs w:val="18"/>
              </w:rPr>
            </w:pPr>
            <w:r w:rsidRPr="00677D1F">
              <w:rPr>
                <w:sz w:val="18"/>
                <w:szCs w:val="18"/>
              </w:rPr>
              <w:t>施工废水</w:t>
            </w:r>
          </w:p>
        </w:tc>
        <w:tc>
          <w:tcPr>
            <w:tcW w:w="1685" w:type="dxa"/>
            <w:tcBorders>
              <w:top w:val="single" w:sz="6" w:space="0" w:color="000000"/>
              <w:left w:val="single" w:sz="6" w:space="0" w:color="000000"/>
              <w:right w:val="single" w:sz="6" w:space="0" w:color="000000"/>
            </w:tcBorders>
          </w:tcPr>
          <w:p w:rsidR="00D228BE" w:rsidRPr="00677D1F" w:rsidRDefault="00332EB6" w:rsidP="00677D1F">
            <w:pPr>
              <w:pStyle w:val="TableParagraph"/>
              <w:spacing w:before="2" w:line="240" w:lineRule="exact"/>
              <w:ind w:left="105" w:right="93"/>
              <w:contextualSpacing/>
              <w:rPr>
                <w:sz w:val="18"/>
                <w:szCs w:val="18"/>
              </w:rPr>
            </w:pPr>
            <w:r w:rsidRPr="00677D1F">
              <w:rPr>
                <w:sz w:val="18"/>
                <w:szCs w:val="18"/>
              </w:rPr>
              <w:t>施工废水、生活污水</w:t>
            </w:r>
          </w:p>
        </w:tc>
        <w:tc>
          <w:tcPr>
            <w:tcW w:w="2414" w:type="dxa"/>
            <w:tcBorders>
              <w:top w:val="single" w:sz="6" w:space="0" w:color="000000"/>
              <w:left w:val="single" w:sz="6" w:space="0" w:color="000000"/>
              <w:right w:val="single" w:sz="6" w:space="0" w:color="000000"/>
            </w:tcBorders>
          </w:tcPr>
          <w:p w:rsidR="00D228BE" w:rsidRPr="00677D1F" w:rsidRDefault="00332EB6" w:rsidP="00677D1F">
            <w:pPr>
              <w:pStyle w:val="TableParagraph"/>
              <w:spacing w:before="2" w:line="240" w:lineRule="exact"/>
              <w:ind w:left="103" w:right="94"/>
              <w:contextualSpacing/>
              <w:rPr>
                <w:sz w:val="18"/>
                <w:szCs w:val="18"/>
              </w:rPr>
            </w:pPr>
            <w:r w:rsidRPr="00677D1F">
              <w:rPr>
                <w:sz w:val="18"/>
                <w:szCs w:val="18"/>
              </w:rPr>
              <w:t>施工废水设临时沉淀池，处理后回用</w:t>
            </w:r>
          </w:p>
        </w:tc>
        <w:tc>
          <w:tcPr>
            <w:tcW w:w="2925" w:type="dxa"/>
            <w:tcBorders>
              <w:top w:val="single" w:sz="6" w:space="0" w:color="000000"/>
              <w:left w:val="single" w:sz="6" w:space="0" w:color="000000"/>
            </w:tcBorders>
          </w:tcPr>
          <w:p w:rsidR="00D228BE" w:rsidRPr="00677D1F" w:rsidRDefault="00332EB6" w:rsidP="00677D1F">
            <w:pPr>
              <w:pStyle w:val="TableParagraph"/>
              <w:spacing w:before="104"/>
              <w:ind w:left="106"/>
              <w:contextualSpacing/>
              <w:rPr>
                <w:sz w:val="18"/>
                <w:szCs w:val="18"/>
              </w:rPr>
            </w:pPr>
            <w:r w:rsidRPr="00677D1F">
              <w:rPr>
                <w:sz w:val="18"/>
                <w:szCs w:val="18"/>
              </w:rPr>
              <w:t>合理处置</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）运营期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通过评价，确定本项目在运营期主要污染控制措施与目标见表</w:t>
      </w:r>
      <w:r w:rsidRPr="00677D1F">
        <w:rPr>
          <w:rFonts w:ascii="宋体" w:eastAsia="宋体" w:hAnsi="宋体" w:cs="宋体"/>
          <w:color w:val="000000"/>
          <w:kern w:val="0"/>
          <w:sz w:val="24"/>
          <w:szCs w:val="24"/>
        </w:rPr>
        <w:t>2.5-3</w:t>
      </w:r>
      <w:r w:rsidRPr="00677D1F">
        <w:rPr>
          <w:rFonts w:ascii="宋体" w:eastAsia="宋体" w:hAnsi="宋体" w:cs="宋体" w:hint="eastAsia"/>
          <w:color w:val="000000"/>
          <w:kern w:val="0"/>
          <w:sz w:val="24"/>
          <w:szCs w:val="24"/>
        </w:rPr>
        <w:t>。</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contextualSpacing/>
      </w:pPr>
    </w:p>
    <w:p w:rsidR="00D228BE" w:rsidRPr="00677D1F" w:rsidRDefault="00D228BE" w:rsidP="00677D1F">
      <w:pPr>
        <w:contextualSpacing/>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表2.5-3  运营期污染控制内容</w:t>
      </w:r>
    </w:p>
    <w:tbl>
      <w:tblPr>
        <w:tblW w:w="9071"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6"/>
        <w:gridCol w:w="1907"/>
        <w:gridCol w:w="1625"/>
        <w:gridCol w:w="2534"/>
        <w:gridCol w:w="2149"/>
      </w:tblGrid>
      <w:tr w:rsidR="00D228BE" w:rsidRPr="00677D1F">
        <w:trPr>
          <w:trHeight w:val="340"/>
          <w:jc w:val="center"/>
        </w:trPr>
        <w:tc>
          <w:tcPr>
            <w:tcW w:w="856" w:type="dxa"/>
            <w:tcBorders>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lastRenderedPageBreak/>
              <w:t>控制污染对象</w:t>
            </w:r>
          </w:p>
        </w:tc>
        <w:tc>
          <w:tcPr>
            <w:tcW w:w="190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污染工序</w:t>
            </w:r>
          </w:p>
        </w:tc>
        <w:tc>
          <w:tcPr>
            <w:tcW w:w="1625"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主要污染因子</w:t>
            </w:r>
          </w:p>
        </w:tc>
        <w:tc>
          <w:tcPr>
            <w:tcW w:w="2534"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拟采取控制措施</w:t>
            </w:r>
          </w:p>
        </w:tc>
        <w:tc>
          <w:tcPr>
            <w:tcW w:w="2149" w:type="dxa"/>
            <w:tcBorders>
              <w:left w:val="single" w:sz="6" w:space="0" w:color="000000"/>
              <w:bottom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控制目标</w:t>
            </w:r>
          </w:p>
        </w:tc>
      </w:tr>
      <w:tr w:rsidR="00D228BE" w:rsidRPr="00677D1F">
        <w:trPr>
          <w:trHeight w:val="340"/>
          <w:jc w:val="center"/>
        </w:trPr>
        <w:tc>
          <w:tcPr>
            <w:tcW w:w="856" w:type="dxa"/>
            <w:vMerge w:val="restart"/>
            <w:tcBorders>
              <w:top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大气污染</w:t>
            </w:r>
          </w:p>
        </w:tc>
        <w:tc>
          <w:tcPr>
            <w:tcW w:w="190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海绵钛生产系统的原料贮存、输送、制备、配料等各产尘点</w:t>
            </w:r>
          </w:p>
        </w:tc>
        <w:tc>
          <w:tcPr>
            <w:tcW w:w="1625"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颗粒物</w:t>
            </w:r>
          </w:p>
        </w:tc>
        <w:tc>
          <w:tcPr>
            <w:tcW w:w="2534"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布袋除尘器</w:t>
            </w:r>
          </w:p>
        </w:tc>
        <w:tc>
          <w:tcPr>
            <w:tcW w:w="2149" w:type="dxa"/>
            <w:vMerge w:val="restart"/>
            <w:tcBorders>
              <w:top w:val="single" w:sz="6" w:space="0" w:color="000000"/>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达到《镁、钛工业水污染物排放标准》(GB25468-2010)中“表5 新建企业大气污染物排放浓度限值”</w:t>
            </w: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高钛渣电炉烟气</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颗粒物、SO2</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布袋除尘器</w:t>
            </w:r>
          </w:p>
        </w:tc>
        <w:tc>
          <w:tcPr>
            <w:tcW w:w="2149" w:type="dxa"/>
            <w:vMerge/>
            <w:tcBorders>
              <w:lef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氯化及精制尾气</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Cl2、HCl</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收尘、两级水洗、三级碱液洗涤净化处理</w:t>
            </w:r>
          </w:p>
        </w:tc>
        <w:tc>
          <w:tcPr>
            <w:tcW w:w="2149" w:type="dxa"/>
            <w:vMerge/>
            <w:tcBorders>
              <w:lef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pStyle w:val="TableParagraph"/>
              <w:spacing w:line="240" w:lineRule="exact"/>
              <w:contextualSpacing/>
              <w:jc w:val="center"/>
              <w:rPr>
                <w:rFonts w:asciiTheme="minorEastAsia" w:eastAsia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镁生产( 镁电解槽、坩锅精炼炉、连续精炼炉、还蒸等)尾气</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Cl2、HCl</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收集到尾气处理工段经三级串联洗涤塔碱液洗涤</w:t>
            </w:r>
          </w:p>
        </w:tc>
        <w:tc>
          <w:tcPr>
            <w:tcW w:w="2149" w:type="dxa"/>
            <w:vMerge/>
            <w:tcBorders>
              <w:left w:val="single" w:sz="6" w:space="0" w:color="000000"/>
            </w:tcBorders>
            <w:vAlign w:val="center"/>
          </w:tcPr>
          <w:p w:rsidR="00D228BE" w:rsidRPr="00677D1F" w:rsidRDefault="00D228BE" w:rsidP="00677D1F">
            <w:pPr>
              <w:pStyle w:val="TableParagraph"/>
              <w:spacing w:line="240" w:lineRule="exact"/>
              <w:contextualSpacing/>
              <w:jc w:val="center"/>
              <w:rPr>
                <w:rFonts w:asciiTheme="minorEastAsia" w:eastAsiaTheme="minorEastAsia" w:hAnsiTheme="minorEastAsia" w:cstheme="minorEastAsia"/>
                <w:sz w:val="18"/>
                <w:szCs w:val="18"/>
              </w:rPr>
            </w:pP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氯气生产尾气</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Cl2</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收集到吸收塔中与15% 稀碱液逆流接触处理</w:t>
            </w:r>
          </w:p>
        </w:tc>
        <w:tc>
          <w:tcPr>
            <w:tcW w:w="2149" w:type="dxa"/>
            <w:tcBorders>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达到《大气污染物综合排放标准》（GB16297-1996）中“表 2 新污染源大气污染物排放限值”的二级标准</w:t>
            </w: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铁合金熔炼烟气</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颗粒物</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直接排放</w:t>
            </w:r>
          </w:p>
        </w:tc>
        <w:tc>
          <w:tcPr>
            <w:tcW w:w="2149" w:type="dxa"/>
            <w:tcBorders>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达到《铁合金工业污染物排放标准》(GB28666-2012) 中“表5 新建企业大气污染物排放浓度限值”</w:t>
            </w: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锻造及板带生产、钛管生产的加热炉</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烟尘、SO2 和 NOx</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直接排放</w:t>
            </w:r>
          </w:p>
        </w:tc>
        <w:tc>
          <w:tcPr>
            <w:tcW w:w="2149" w:type="dxa"/>
            <w:tcBorders>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达到《工业炉窑大气污染物排放标准》（GB9078-1996）中“1997年1月1日起新。改、扩建的工业炉窑“的二级标准</w:t>
            </w: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喷丸机组、板材砂光机、薄板矫平机、轧辊磨床、打磨、焊接、挤压、破碎等烟(粉)尘</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颗粒物</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各散尘点采取密闭抽风并设高效除尘系统收尘</w:t>
            </w:r>
          </w:p>
        </w:tc>
        <w:tc>
          <w:tcPr>
            <w:tcW w:w="2149" w:type="dxa"/>
            <w:vMerge w:val="restart"/>
            <w:tcBorders>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达到《大气污染物综合排放标准》（GB16297-1996）中“表2新污染源大气污染物排放限值”的二级标准</w:t>
            </w:r>
          </w:p>
        </w:tc>
      </w:tr>
      <w:tr w:rsidR="00D228BE" w:rsidRPr="00677D1F">
        <w:trPr>
          <w:trHeight w:val="340"/>
          <w:jc w:val="center"/>
        </w:trPr>
        <w:tc>
          <w:tcPr>
            <w:tcW w:w="856" w:type="dxa"/>
            <w:vMerge/>
            <w:tcBorders>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钛合金加工时酸洗处理酸雾</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氯化氢</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酸雾废气由风管引入净化塔经氢氧化钠吸收液净化</w:t>
            </w:r>
          </w:p>
        </w:tc>
        <w:tc>
          <w:tcPr>
            <w:tcW w:w="2149" w:type="dxa"/>
            <w:vMerge/>
            <w:tcBorders>
              <w:top w:val="nil"/>
              <w:lef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r>
      <w:tr w:rsidR="00D228BE" w:rsidRPr="00677D1F">
        <w:trPr>
          <w:trHeight w:val="340"/>
          <w:jc w:val="center"/>
        </w:trPr>
        <w:tc>
          <w:tcPr>
            <w:tcW w:w="856" w:type="dxa"/>
            <w:vMerge/>
            <w:tcBorders>
              <w:bottom w:val="single" w:sz="6" w:space="0" w:color="000000"/>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无组织废气</w:t>
            </w:r>
          </w:p>
        </w:tc>
        <w:tc>
          <w:tcPr>
            <w:tcW w:w="1625"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颗粒物、Cl2、HCl 和 SO2</w:t>
            </w:r>
          </w:p>
        </w:tc>
        <w:tc>
          <w:tcPr>
            <w:tcW w:w="2534"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密闭、车间采取强制通风措施等</w:t>
            </w:r>
          </w:p>
        </w:tc>
        <w:tc>
          <w:tcPr>
            <w:tcW w:w="2149" w:type="dxa"/>
            <w:tcBorders>
              <w:left w:val="single" w:sz="6" w:space="0" w:color="000000"/>
              <w:bottom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达到《镁、钛工业水污染物排放标准》(GB25468-2010)中“表7 现有和新建企业大气污染物无组织排放浓度限值”</w:t>
            </w:r>
          </w:p>
        </w:tc>
      </w:tr>
      <w:tr w:rsidR="00D228BE" w:rsidRPr="00677D1F">
        <w:trPr>
          <w:trHeight w:val="340"/>
          <w:jc w:val="center"/>
        </w:trPr>
        <w:tc>
          <w:tcPr>
            <w:tcW w:w="856"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水污染</w:t>
            </w:r>
          </w:p>
        </w:tc>
        <w:tc>
          <w:tcPr>
            <w:tcW w:w="1907"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生活污水和生产废水</w:t>
            </w:r>
          </w:p>
        </w:tc>
        <w:tc>
          <w:tcPr>
            <w:tcW w:w="1625"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lang w:val="en-US"/>
              </w:rPr>
            </w:pPr>
            <w:r w:rsidRPr="00677D1F">
              <w:rPr>
                <w:rFonts w:asciiTheme="minorEastAsia" w:eastAsiaTheme="minorEastAsia" w:hAnsiTheme="minorEastAsia" w:cstheme="minorEastAsia" w:hint="eastAsia"/>
                <w:sz w:val="18"/>
                <w:szCs w:val="18"/>
                <w:lang w:val="en-US"/>
              </w:rPr>
              <w:t xml:space="preserve">SS </w:t>
            </w:r>
            <w:r w:rsidRPr="00677D1F">
              <w:rPr>
                <w:rFonts w:asciiTheme="minorEastAsia" w:eastAsiaTheme="minorEastAsia" w:hAnsiTheme="minorEastAsia" w:cstheme="minorEastAsia" w:hint="eastAsia"/>
                <w:sz w:val="18"/>
                <w:szCs w:val="18"/>
              </w:rPr>
              <w:t>、</w:t>
            </w:r>
            <w:r w:rsidRPr="00677D1F">
              <w:rPr>
                <w:rFonts w:asciiTheme="minorEastAsia" w:eastAsiaTheme="minorEastAsia" w:hAnsiTheme="minorEastAsia" w:cstheme="minorEastAsia" w:hint="eastAsia"/>
                <w:sz w:val="18"/>
                <w:szCs w:val="18"/>
                <w:lang w:val="en-US"/>
              </w:rPr>
              <w:t>COD</w:t>
            </w:r>
            <w:r w:rsidRPr="00677D1F">
              <w:rPr>
                <w:rFonts w:asciiTheme="minorEastAsia" w:eastAsiaTheme="minorEastAsia" w:hAnsiTheme="minorEastAsia" w:cstheme="minorEastAsia" w:hint="eastAsia"/>
                <w:sz w:val="18"/>
                <w:szCs w:val="18"/>
              </w:rPr>
              <w:t>、</w:t>
            </w:r>
            <w:r w:rsidRPr="00677D1F">
              <w:rPr>
                <w:rFonts w:asciiTheme="minorEastAsia" w:eastAsiaTheme="minorEastAsia" w:hAnsiTheme="minorEastAsia" w:cstheme="minorEastAsia" w:hint="eastAsia"/>
                <w:sz w:val="18"/>
                <w:szCs w:val="18"/>
                <w:lang w:val="en-US"/>
              </w:rPr>
              <w:t xml:space="preserve">BOD5 </w:t>
            </w:r>
            <w:r w:rsidRPr="00677D1F">
              <w:rPr>
                <w:rFonts w:asciiTheme="minorEastAsia" w:eastAsiaTheme="minorEastAsia" w:hAnsiTheme="minorEastAsia" w:cstheme="minorEastAsia" w:hint="eastAsia"/>
                <w:sz w:val="18"/>
                <w:szCs w:val="18"/>
              </w:rPr>
              <w:t>和</w:t>
            </w:r>
          </w:p>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NH3-N、石油类、氯化物等</w:t>
            </w:r>
          </w:p>
        </w:tc>
        <w:tc>
          <w:tcPr>
            <w:tcW w:w="253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生活污水处理设施和废水处理站处理</w:t>
            </w:r>
          </w:p>
        </w:tc>
        <w:tc>
          <w:tcPr>
            <w:tcW w:w="2149"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废水处理后厂区综合利用，不外排</w:t>
            </w:r>
          </w:p>
        </w:tc>
      </w:tr>
      <w:tr w:rsidR="00D228BE" w:rsidRPr="00677D1F">
        <w:trPr>
          <w:trHeight w:val="340"/>
          <w:jc w:val="center"/>
        </w:trPr>
        <w:tc>
          <w:tcPr>
            <w:tcW w:w="856" w:type="dxa"/>
            <w:vMerge w:val="restart"/>
            <w:tcBorders>
              <w:top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固体废物</w:t>
            </w:r>
          </w:p>
        </w:tc>
        <w:tc>
          <w:tcPr>
            <w:tcW w:w="190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生活区</w:t>
            </w:r>
          </w:p>
        </w:tc>
        <w:tc>
          <w:tcPr>
            <w:tcW w:w="1625"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生活垃圾</w:t>
            </w:r>
          </w:p>
        </w:tc>
        <w:tc>
          <w:tcPr>
            <w:tcW w:w="2534"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收集到当地垃圾场填埋</w:t>
            </w:r>
          </w:p>
        </w:tc>
        <w:tc>
          <w:tcPr>
            <w:tcW w:w="2149" w:type="dxa"/>
            <w:tcBorders>
              <w:top w:val="single" w:sz="6" w:space="0" w:color="000000"/>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生活垃圾处置率100%</w:t>
            </w:r>
          </w:p>
        </w:tc>
      </w:tr>
      <w:tr w:rsidR="00D228BE" w:rsidRPr="00677D1F">
        <w:trPr>
          <w:trHeight w:val="340"/>
          <w:jc w:val="center"/>
        </w:trPr>
        <w:tc>
          <w:tcPr>
            <w:tcW w:w="856" w:type="dxa"/>
            <w:vMerge/>
            <w:tcBorders>
              <w:top w:val="nil"/>
              <w:bottom w:val="nil"/>
              <w:right w:val="single" w:sz="6" w:space="0" w:color="000000"/>
            </w:tcBorders>
            <w:vAlign w:val="center"/>
          </w:tcPr>
          <w:p w:rsidR="00D228BE" w:rsidRPr="00677D1F" w:rsidRDefault="00D228BE" w:rsidP="00677D1F">
            <w:pPr>
              <w:spacing w:line="240" w:lineRule="exact"/>
              <w:contextualSpacing/>
              <w:jc w:val="center"/>
              <w:rPr>
                <w:rFonts w:asciiTheme="minorEastAsia" w:hAnsiTheme="minorEastAsia" w:cstheme="minorEastAsia"/>
                <w:sz w:val="18"/>
                <w:szCs w:val="18"/>
              </w:rPr>
            </w:pP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各生产工序</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工业固体废物</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外排的到厂区厂区临时渣棚堆放或其它措施收集储存后安全处理处置等</w:t>
            </w:r>
          </w:p>
        </w:tc>
        <w:tc>
          <w:tcPr>
            <w:tcW w:w="2149" w:type="dxa"/>
            <w:tcBorders>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综合利用率和安全处置率100%</w:t>
            </w:r>
          </w:p>
        </w:tc>
      </w:tr>
      <w:tr w:rsidR="00D228BE" w:rsidRPr="00677D1F">
        <w:trPr>
          <w:trHeight w:val="340"/>
          <w:jc w:val="center"/>
        </w:trPr>
        <w:tc>
          <w:tcPr>
            <w:tcW w:w="856" w:type="dxa"/>
            <w:tcBorders>
              <w:top w:val="nil"/>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sz w:val="18"/>
                <w:szCs w:val="18"/>
              </w:rPr>
              <w:t>噪声</w:t>
            </w:r>
          </w:p>
        </w:tc>
        <w:tc>
          <w:tcPr>
            <w:tcW w:w="1907"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sz w:val="18"/>
                <w:szCs w:val="18"/>
              </w:rPr>
              <w:t>作业机械</w:t>
            </w:r>
          </w:p>
        </w:tc>
        <w:tc>
          <w:tcPr>
            <w:tcW w:w="1625"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sz w:val="18"/>
                <w:szCs w:val="18"/>
              </w:rPr>
              <w:t>噪声</w:t>
            </w:r>
          </w:p>
        </w:tc>
        <w:tc>
          <w:tcPr>
            <w:tcW w:w="2534" w:type="dxa"/>
            <w:tcBorders>
              <w:left w:val="single" w:sz="6" w:space="0" w:color="000000"/>
              <w:righ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sz w:val="18"/>
                <w:szCs w:val="18"/>
              </w:rPr>
              <w:t>减振、封闭等</w:t>
            </w:r>
          </w:p>
        </w:tc>
        <w:tc>
          <w:tcPr>
            <w:tcW w:w="2149" w:type="dxa"/>
            <w:tcBorders>
              <w:left w:val="single" w:sz="6" w:space="0" w:color="000000"/>
            </w:tcBorders>
            <w:vAlign w:val="center"/>
          </w:tcPr>
          <w:p w:rsidR="00D228BE" w:rsidRPr="00677D1F" w:rsidRDefault="00332EB6" w:rsidP="00677D1F">
            <w:pPr>
              <w:pStyle w:val="TableParagraph"/>
              <w:spacing w:line="240" w:lineRule="exact"/>
              <w:contextualSpacing/>
              <w:jc w:val="center"/>
              <w:rPr>
                <w:rFonts w:asciiTheme="minorEastAsia" w:eastAsiaTheme="minorEastAsia" w:hAnsiTheme="minorEastAsia" w:cstheme="minorEastAsia"/>
                <w:sz w:val="18"/>
                <w:szCs w:val="18"/>
              </w:rPr>
            </w:pPr>
            <w:r w:rsidRPr="00677D1F">
              <w:rPr>
                <w:sz w:val="18"/>
                <w:szCs w:val="18"/>
              </w:rPr>
              <w:t>厂界噪声符合《工业企业厂界环境噪声排放标准》（GB12348-2008）的3类标准</w:t>
            </w: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2.5.3</w:t>
      </w:r>
      <w:r w:rsidRPr="00677D1F">
        <w:rPr>
          <w:rFonts w:ascii="宋体" w:hAnsi="宋体" w:hint="eastAsia"/>
          <w:sz w:val="28"/>
          <w:szCs w:val="28"/>
        </w:rPr>
        <w:t>环境敏感区域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根据环境空气、声环境、水环境和环境风险影响评价范围的现状调查，厂址区域周围无自然保护区、风景旅游区等环境敏感区。根据工程性质及周围环境特征，本次评价确定的需要环境保护的敏感区域见表</w:t>
      </w:r>
      <w:r w:rsidRPr="00677D1F">
        <w:rPr>
          <w:rFonts w:ascii="宋体" w:eastAsia="宋体" w:hAnsi="宋体" w:cs="宋体"/>
          <w:color w:val="000000"/>
          <w:kern w:val="0"/>
          <w:sz w:val="24"/>
          <w:szCs w:val="24"/>
        </w:rPr>
        <w:t>2.5-4</w:t>
      </w:r>
      <w:r w:rsidRPr="00677D1F">
        <w:rPr>
          <w:rFonts w:ascii="宋体" w:eastAsia="宋体" w:hAnsi="宋体" w:cs="宋体" w:hint="eastAsia"/>
          <w:color w:val="000000"/>
          <w:kern w:val="0"/>
          <w:sz w:val="24"/>
          <w:szCs w:val="24"/>
        </w:rPr>
        <w:t>、敏感区域分布见图</w:t>
      </w:r>
      <w:r w:rsidRPr="00677D1F">
        <w:rPr>
          <w:rFonts w:ascii="宋体" w:eastAsia="宋体" w:hAnsi="宋体" w:cs="宋体"/>
          <w:color w:val="000000"/>
          <w:kern w:val="0"/>
          <w:sz w:val="24"/>
          <w:szCs w:val="24"/>
        </w:rPr>
        <w:t>2.5-1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表2.5-4本项目环境敏感区域</w:t>
      </w:r>
    </w:p>
    <w:tbl>
      <w:tblPr>
        <w:tblW w:w="8750" w:type="dxa"/>
        <w:jc w:val="center"/>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7"/>
        <w:gridCol w:w="1832"/>
        <w:gridCol w:w="1745"/>
        <w:gridCol w:w="1001"/>
        <w:gridCol w:w="2905"/>
      </w:tblGrid>
      <w:tr w:rsidR="00D228BE" w:rsidRPr="00677D1F">
        <w:trPr>
          <w:trHeight w:val="616"/>
          <w:jc w:val="center"/>
        </w:trPr>
        <w:tc>
          <w:tcPr>
            <w:tcW w:w="1267"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环境类别</w:t>
            </w: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保护对象</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离厂界方位及最近距离</w:t>
            </w:r>
          </w:p>
        </w:tc>
        <w:tc>
          <w:tcPr>
            <w:tcW w:w="100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环境功能区划</w:t>
            </w:r>
          </w:p>
        </w:tc>
        <w:tc>
          <w:tcPr>
            <w:tcW w:w="290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保护级别</w:t>
            </w:r>
          </w:p>
        </w:tc>
      </w:tr>
      <w:tr w:rsidR="00D228BE" w:rsidRPr="00677D1F">
        <w:trPr>
          <w:trHeight w:val="299"/>
          <w:jc w:val="center"/>
        </w:trPr>
        <w:tc>
          <w:tcPr>
            <w:tcW w:w="1267"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环境空气</w:t>
            </w: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北面村庄</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北面、13km</w:t>
            </w:r>
          </w:p>
        </w:tc>
        <w:tc>
          <w:tcPr>
            <w:tcW w:w="1001"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二类区</w:t>
            </w:r>
          </w:p>
        </w:tc>
        <w:tc>
          <w:tcPr>
            <w:tcW w:w="29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满足《环境空气质量标准》</w:t>
            </w: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（GB3095-2012）二级标准</w:t>
            </w:r>
          </w:p>
        </w:tc>
      </w:tr>
      <w:tr w:rsidR="00D228BE" w:rsidRPr="00677D1F">
        <w:trPr>
          <w:trHeight w:val="273"/>
          <w:jc w:val="center"/>
        </w:trPr>
        <w:tc>
          <w:tcPr>
            <w:tcW w:w="1267"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花园乡</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东北面、12.9km</w:t>
            </w:r>
          </w:p>
        </w:tc>
        <w:tc>
          <w:tcPr>
            <w:tcW w:w="1001"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2905"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r>
      <w:tr w:rsidR="00D228BE" w:rsidRPr="00677D1F">
        <w:trPr>
          <w:trHeight w:val="273"/>
          <w:jc w:val="center"/>
        </w:trPr>
        <w:tc>
          <w:tcPr>
            <w:tcW w:w="1267"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喀垃塔勒村</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东面、12km</w:t>
            </w:r>
          </w:p>
        </w:tc>
        <w:tc>
          <w:tcPr>
            <w:tcW w:w="1001"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2905"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r>
      <w:tr w:rsidR="00D228BE" w:rsidRPr="00677D1F">
        <w:trPr>
          <w:trHeight w:val="270"/>
          <w:jc w:val="center"/>
        </w:trPr>
        <w:tc>
          <w:tcPr>
            <w:tcW w:w="1267"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农田</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EN、7.2km</w:t>
            </w:r>
          </w:p>
        </w:tc>
        <w:tc>
          <w:tcPr>
            <w:tcW w:w="1001"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2905"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r>
      <w:tr w:rsidR="00D228BE" w:rsidRPr="00677D1F">
        <w:trPr>
          <w:trHeight w:val="285"/>
          <w:jc w:val="center"/>
        </w:trPr>
        <w:tc>
          <w:tcPr>
            <w:tcW w:w="1267"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农田</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E、10.9km</w:t>
            </w:r>
          </w:p>
        </w:tc>
        <w:tc>
          <w:tcPr>
            <w:tcW w:w="1001"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2905"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r>
      <w:tr w:rsidR="00D228BE" w:rsidRPr="00677D1F">
        <w:trPr>
          <w:trHeight w:val="273"/>
          <w:jc w:val="center"/>
        </w:trPr>
        <w:tc>
          <w:tcPr>
            <w:tcW w:w="1267"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农田</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N、10.9km</w:t>
            </w:r>
          </w:p>
        </w:tc>
        <w:tc>
          <w:tcPr>
            <w:tcW w:w="1001"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c>
          <w:tcPr>
            <w:tcW w:w="2905" w:type="dxa"/>
            <w:vMerge/>
            <w:tcBorders>
              <w:top w:val="nil"/>
            </w:tcBorders>
            <w:vAlign w:val="center"/>
          </w:tcPr>
          <w:p w:rsidR="00D228BE" w:rsidRPr="00677D1F" w:rsidRDefault="00D228BE" w:rsidP="00677D1F">
            <w:pPr>
              <w:contextualSpacing/>
              <w:jc w:val="center"/>
              <w:rPr>
                <w:rFonts w:asciiTheme="minorEastAsia" w:hAnsiTheme="minorEastAsia" w:cstheme="minorEastAsia"/>
                <w:sz w:val="18"/>
                <w:szCs w:val="18"/>
              </w:rPr>
            </w:pPr>
          </w:p>
        </w:tc>
      </w:tr>
      <w:tr w:rsidR="00D228BE" w:rsidRPr="00677D1F">
        <w:trPr>
          <w:trHeight w:val="887"/>
          <w:jc w:val="center"/>
        </w:trPr>
        <w:tc>
          <w:tcPr>
            <w:tcW w:w="1267"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声环境</w:t>
            </w: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200m范围内无声环境敏感目标</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100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3类声环境功能区</w:t>
            </w:r>
          </w:p>
        </w:tc>
        <w:tc>
          <w:tcPr>
            <w:tcW w:w="290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《声环境质量标准》（GB3096-2008）3类声环境功能区环境噪声等效声级限值</w:t>
            </w:r>
          </w:p>
        </w:tc>
      </w:tr>
      <w:tr w:rsidR="00D228BE" w:rsidRPr="00677D1F">
        <w:trPr>
          <w:trHeight w:val="544"/>
          <w:jc w:val="center"/>
        </w:trPr>
        <w:tc>
          <w:tcPr>
            <w:tcW w:w="1267"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地表水</w:t>
            </w: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南湖水库</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东南面、4km</w:t>
            </w:r>
          </w:p>
        </w:tc>
        <w:tc>
          <w:tcPr>
            <w:tcW w:w="100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Ⅲ类</w:t>
            </w:r>
          </w:p>
        </w:tc>
        <w:tc>
          <w:tcPr>
            <w:tcW w:w="290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《地表水环境质量标准》（GB3838-2002）的Ⅲ类标准</w:t>
            </w:r>
          </w:p>
        </w:tc>
      </w:tr>
      <w:tr w:rsidR="00D228BE" w:rsidRPr="00677D1F">
        <w:trPr>
          <w:trHeight w:val="544"/>
          <w:jc w:val="center"/>
        </w:trPr>
        <w:tc>
          <w:tcPr>
            <w:tcW w:w="1267"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地下水</w:t>
            </w: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厂址场界外延1km</w:t>
            </w:r>
          </w:p>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区域浅层地下水</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100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Ⅲ类</w:t>
            </w:r>
          </w:p>
        </w:tc>
        <w:tc>
          <w:tcPr>
            <w:tcW w:w="290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《地下水质量标准》（GB</w:t>
            </w:r>
            <w:r w:rsidRPr="00677D1F">
              <w:rPr>
                <w:rFonts w:asciiTheme="minorEastAsia" w:eastAsiaTheme="minorEastAsia" w:hAnsiTheme="minorEastAsia" w:cstheme="minorEastAsia" w:hint="eastAsia"/>
                <w:sz w:val="18"/>
                <w:szCs w:val="18"/>
                <w:lang w:val="en-US"/>
              </w:rPr>
              <w:t>/</w:t>
            </w:r>
            <w:r w:rsidRPr="00677D1F">
              <w:rPr>
                <w:rFonts w:asciiTheme="minorEastAsia" w:eastAsiaTheme="minorEastAsia" w:hAnsiTheme="minorEastAsia" w:cstheme="minorEastAsia" w:hint="eastAsia"/>
                <w:sz w:val="18"/>
                <w:szCs w:val="18"/>
              </w:rPr>
              <w:t>T14848-93）Ⅲ类标准</w:t>
            </w:r>
          </w:p>
        </w:tc>
      </w:tr>
      <w:tr w:rsidR="00D228BE" w:rsidRPr="00677D1F">
        <w:trPr>
          <w:trHeight w:val="465"/>
          <w:jc w:val="center"/>
        </w:trPr>
        <w:tc>
          <w:tcPr>
            <w:tcW w:w="1267"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环境风险</w:t>
            </w:r>
          </w:p>
        </w:tc>
        <w:tc>
          <w:tcPr>
            <w:tcW w:w="1832"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无敏感目标</w:t>
            </w:r>
          </w:p>
        </w:tc>
        <w:tc>
          <w:tcPr>
            <w:tcW w:w="174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无敏感目标</w:t>
            </w:r>
          </w:p>
        </w:tc>
        <w:tc>
          <w:tcPr>
            <w:tcW w:w="1001"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c>
          <w:tcPr>
            <w:tcW w:w="2905" w:type="dxa"/>
            <w:vAlign w:val="center"/>
          </w:tcPr>
          <w:p w:rsidR="00D228BE" w:rsidRPr="00677D1F" w:rsidRDefault="00332EB6" w:rsidP="00677D1F">
            <w:pPr>
              <w:pStyle w:val="TableParagraph"/>
              <w:contextualSpacing/>
              <w:jc w:val="center"/>
              <w:rPr>
                <w:rFonts w:asciiTheme="minorEastAsia" w:eastAsiaTheme="minorEastAsia" w:hAnsiTheme="minorEastAsia" w:cstheme="minorEastAsia"/>
                <w:sz w:val="18"/>
                <w:szCs w:val="18"/>
              </w:rPr>
            </w:pPr>
            <w:r w:rsidRPr="00677D1F">
              <w:rPr>
                <w:rFonts w:asciiTheme="minorEastAsia" w:eastAsiaTheme="minorEastAsia" w:hAnsiTheme="minorEastAsia" w:cstheme="minorEastAsia" w:hint="eastAsia"/>
                <w:sz w:val="18"/>
                <w:szCs w:val="18"/>
              </w:rPr>
              <w:t>/</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2.6</w:t>
      </w:r>
      <w:r w:rsidRPr="00677D1F">
        <w:rPr>
          <w:rFonts w:ascii="宋体" w:hAnsi="宋体" w:hint="eastAsia"/>
          <w:bCs w:val="0"/>
          <w:kern w:val="2"/>
          <w:sz w:val="30"/>
          <w:szCs w:val="30"/>
        </w:rPr>
        <w:t>环境功能区划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根据《哈密市环境功能区划》，本项目各环境功能区划为：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）大气环境功能区划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根据《环境空气质量标准》（</w:t>
      </w:r>
      <w:r w:rsidRPr="00677D1F">
        <w:rPr>
          <w:rFonts w:ascii="宋体" w:eastAsia="宋体" w:hAnsi="宋体" w:cs="宋体"/>
          <w:color w:val="000000"/>
          <w:kern w:val="0"/>
          <w:sz w:val="24"/>
          <w:szCs w:val="24"/>
        </w:rPr>
        <w:t>GB3095-2012</w:t>
      </w:r>
      <w:r w:rsidRPr="00677D1F">
        <w:rPr>
          <w:rFonts w:ascii="宋体" w:eastAsia="宋体" w:hAnsi="宋体" w:cs="宋体" w:hint="eastAsia"/>
          <w:color w:val="000000"/>
          <w:kern w:val="0"/>
          <w:sz w:val="24"/>
          <w:szCs w:val="24"/>
        </w:rPr>
        <w:t>），项目所在地执行大气环境二类标准。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）声环境功能区划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声环境执行《声环境质量标准》（</w:t>
      </w:r>
      <w:r w:rsidRPr="00677D1F">
        <w:rPr>
          <w:rFonts w:ascii="宋体" w:eastAsia="宋体" w:hAnsi="宋体" w:cs="宋体"/>
          <w:color w:val="000000"/>
          <w:kern w:val="0"/>
          <w:sz w:val="24"/>
          <w:szCs w:val="24"/>
        </w:rPr>
        <w:t>GB3096-2008</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类标准。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）地下水环境功能区划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地下水环境质量执行《地下水质量标准》（</w:t>
      </w:r>
      <w:r w:rsidRPr="00677D1F">
        <w:rPr>
          <w:rFonts w:ascii="宋体" w:eastAsia="宋体" w:hAnsi="宋体" w:cs="宋体"/>
          <w:color w:val="000000"/>
          <w:kern w:val="0"/>
          <w:sz w:val="24"/>
          <w:szCs w:val="24"/>
        </w:rPr>
        <w:t>GB/T14848-93</w:t>
      </w:r>
      <w:r w:rsidRPr="00677D1F">
        <w:rPr>
          <w:rFonts w:ascii="宋体" w:eastAsia="宋体" w:hAnsi="宋体" w:cs="宋体" w:hint="eastAsia"/>
          <w:color w:val="000000"/>
          <w:kern w:val="0"/>
          <w:sz w:val="24"/>
          <w:szCs w:val="24"/>
        </w:rPr>
        <w:t>）中Ⅲ类标准。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）生态功能区划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项目所在地位于嘎顺一南湖戈壁荒漠植被及野生动物保护生态功能区。本项目所在生态环境功能区划位置见图</w:t>
      </w:r>
      <w:r w:rsidRPr="00677D1F">
        <w:rPr>
          <w:rFonts w:ascii="宋体" w:eastAsia="宋体" w:hAnsi="宋体" w:cs="宋体"/>
          <w:color w:val="000000"/>
          <w:kern w:val="0"/>
          <w:sz w:val="24"/>
          <w:szCs w:val="24"/>
        </w:rPr>
        <w:t>2.6-1</w:t>
      </w:r>
      <w:r w:rsidRPr="00677D1F">
        <w:rPr>
          <w:rFonts w:ascii="宋体" w:eastAsia="宋体" w:hAnsi="宋体"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3 建设项目概况与工程分析</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3.1</w:t>
      </w:r>
      <w:r w:rsidRPr="00677D1F">
        <w:rPr>
          <w:rFonts w:ascii="宋体" w:hAnsi="宋体" w:hint="eastAsia"/>
          <w:bCs w:val="0"/>
          <w:kern w:val="2"/>
          <w:sz w:val="30"/>
          <w:szCs w:val="30"/>
        </w:rPr>
        <w:t xml:space="preserve"> 建设项目概况</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3.1.1</w:t>
      </w:r>
      <w:r w:rsidRPr="00677D1F">
        <w:rPr>
          <w:rFonts w:ascii="宋体" w:hAnsi="宋体" w:hint="eastAsia"/>
          <w:sz w:val="28"/>
          <w:szCs w:val="28"/>
        </w:rPr>
        <w:t xml:space="preserve"> 建设项目基本情况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项目名称：新疆湘晟新材料科技有限公司年产 3 万吨高性能钛及钛合金新材料项目。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建设性质：新建。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建设地点：本项目拟建于新疆自治区哈密市工业园区的重工业加工区，哈密市工业园区距哈密市</w:t>
      </w:r>
      <w:r w:rsidRPr="00677D1F">
        <w:rPr>
          <w:rFonts w:ascii="宋体" w:eastAsia="宋体" w:hAnsi="宋体" w:cs="宋体"/>
          <w:color w:val="000000"/>
          <w:kern w:val="0"/>
          <w:sz w:val="24"/>
          <w:szCs w:val="24"/>
        </w:rPr>
        <w:t>10km</w:t>
      </w:r>
      <w:r w:rsidRPr="00677D1F">
        <w:rPr>
          <w:rFonts w:ascii="宋体" w:eastAsia="宋体" w:hAnsi="宋体" w:cs="宋体" w:hint="eastAsia"/>
          <w:color w:val="000000"/>
          <w:kern w:val="0"/>
          <w:sz w:val="24"/>
          <w:szCs w:val="24"/>
        </w:rPr>
        <w:t>，距</w:t>
      </w:r>
      <w:r w:rsidRPr="00677D1F">
        <w:rPr>
          <w:rFonts w:ascii="宋体" w:eastAsia="宋体" w:hAnsi="宋体" w:cs="宋体"/>
          <w:color w:val="000000"/>
          <w:kern w:val="0"/>
          <w:sz w:val="24"/>
          <w:szCs w:val="24"/>
        </w:rPr>
        <w:t>312</w:t>
      </w:r>
      <w:r w:rsidRPr="00677D1F">
        <w:rPr>
          <w:rFonts w:ascii="宋体" w:eastAsia="宋体" w:hAnsi="宋体" w:cs="宋体" w:hint="eastAsia"/>
          <w:color w:val="000000"/>
          <w:kern w:val="0"/>
          <w:sz w:val="24"/>
          <w:szCs w:val="24"/>
        </w:rPr>
        <w:t>国道</w:t>
      </w:r>
      <w:r w:rsidRPr="00677D1F">
        <w:rPr>
          <w:rFonts w:ascii="宋体" w:eastAsia="宋体" w:hAnsi="宋体" w:cs="宋体"/>
          <w:color w:val="000000"/>
          <w:kern w:val="0"/>
          <w:sz w:val="24"/>
          <w:szCs w:val="24"/>
        </w:rPr>
        <w:t>22km</w:t>
      </w:r>
      <w:r w:rsidRPr="00677D1F">
        <w:rPr>
          <w:rFonts w:ascii="宋体" w:eastAsia="宋体" w:hAnsi="宋体" w:cs="宋体" w:hint="eastAsia"/>
          <w:color w:val="000000"/>
          <w:kern w:val="0"/>
          <w:sz w:val="24"/>
          <w:szCs w:val="24"/>
        </w:rPr>
        <w:t>，与哈若公路毗邻，园区已引入铁路货运线，公路、铁路运输条件十分便利。厂址中心点地理坐标为东经</w:t>
      </w:r>
      <w:r w:rsidRPr="00677D1F">
        <w:rPr>
          <w:rFonts w:ascii="宋体" w:eastAsia="宋体" w:hAnsi="宋体" w:cs="宋体"/>
          <w:color w:val="000000"/>
          <w:kern w:val="0"/>
          <w:sz w:val="24"/>
          <w:szCs w:val="24"/>
        </w:rPr>
        <w:t>93</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19'33.53"</w:t>
      </w:r>
      <w:r w:rsidRPr="00677D1F">
        <w:rPr>
          <w:rFonts w:ascii="宋体" w:eastAsia="宋体" w:hAnsi="宋体" w:cs="宋体" w:hint="eastAsia"/>
          <w:color w:val="000000"/>
          <w:kern w:val="0"/>
          <w:sz w:val="24"/>
          <w:szCs w:val="24"/>
        </w:rPr>
        <w:t>，北纬</w:t>
      </w:r>
      <w:r w:rsidRPr="00677D1F">
        <w:rPr>
          <w:rFonts w:ascii="宋体" w:eastAsia="宋体" w:hAnsi="宋体" w:cs="宋体"/>
          <w:color w:val="000000"/>
          <w:kern w:val="0"/>
          <w:sz w:val="24"/>
          <w:szCs w:val="24"/>
        </w:rPr>
        <w:t>42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41'9.34"</w:t>
      </w:r>
      <w:r w:rsidRPr="00677D1F">
        <w:rPr>
          <w:rFonts w:ascii="宋体" w:eastAsia="宋体" w:hAnsi="宋体" w:cs="宋体" w:hint="eastAsia"/>
          <w:color w:val="000000"/>
          <w:kern w:val="0"/>
          <w:sz w:val="24"/>
          <w:szCs w:val="24"/>
        </w:rPr>
        <w:t>。建设地点见图</w:t>
      </w:r>
      <w:r w:rsidRPr="00677D1F">
        <w:rPr>
          <w:rFonts w:ascii="宋体" w:eastAsia="宋体" w:hAnsi="宋体" w:cs="宋体"/>
          <w:color w:val="000000"/>
          <w:kern w:val="0"/>
          <w:sz w:val="24"/>
          <w:szCs w:val="24"/>
        </w:rPr>
        <w:t>3.1-1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建设单位：新疆湘晟新材料科技有限公司。</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项目总投资：本项目总投资估算为</w:t>
      </w:r>
      <w:r w:rsidRPr="00677D1F">
        <w:rPr>
          <w:rFonts w:ascii="宋体" w:eastAsia="宋体" w:hAnsi="宋体" w:cs="宋体"/>
          <w:color w:val="000000"/>
          <w:kern w:val="0"/>
          <w:sz w:val="24"/>
          <w:szCs w:val="24"/>
        </w:rPr>
        <w:t>979768</w:t>
      </w:r>
      <w:r w:rsidRPr="00677D1F">
        <w:rPr>
          <w:rFonts w:ascii="宋体" w:eastAsia="宋体" w:hAnsi="宋体" w:cs="宋体" w:hint="eastAsia"/>
          <w:color w:val="000000"/>
          <w:kern w:val="0"/>
          <w:sz w:val="24"/>
          <w:szCs w:val="24"/>
        </w:rPr>
        <w:t>万元，其中建设投资为</w:t>
      </w:r>
      <w:r w:rsidRPr="00677D1F">
        <w:rPr>
          <w:rFonts w:ascii="宋体" w:eastAsia="宋体" w:hAnsi="宋体" w:cs="宋体"/>
          <w:color w:val="000000"/>
          <w:kern w:val="0"/>
          <w:sz w:val="24"/>
          <w:szCs w:val="24"/>
        </w:rPr>
        <w:t>877020</w:t>
      </w:r>
      <w:r w:rsidRPr="00677D1F">
        <w:rPr>
          <w:rFonts w:ascii="宋体" w:eastAsia="宋体" w:hAnsi="宋体" w:cs="宋体" w:hint="eastAsia"/>
          <w:color w:val="000000"/>
          <w:kern w:val="0"/>
          <w:sz w:val="24"/>
          <w:szCs w:val="24"/>
        </w:rPr>
        <w:t>万元，建设期贷款利息</w:t>
      </w:r>
      <w:r w:rsidRPr="00677D1F">
        <w:rPr>
          <w:rFonts w:ascii="宋体" w:eastAsia="宋体" w:hAnsi="宋体" w:cs="宋体"/>
          <w:color w:val="000000"/>
          <w:kern w:val="0"/>
          <w:sz w:val="24"/>
          <w:szCs w:val="24"/>
        </w:rPr>
        <w:t>62961</w:t>
      </w:r>
      <w:r w:rsidRPr="00677D1F">
        <w:rPr>
          <w:rFonts w:ascii="宋体" w:eastAsia="宋体" w:hAnsi="宋体" w:cs="宋体" w:hint="eastAsia"/>
          <w:color w:val="000000"/>
          <w:kern w:val="0"/>
          <w:sz w:val="24"/>
          <w:szCs w:val="24"/>
        </w:rPr>
        <w:t>万元，流动资金</w:t>
      </w:r>
      <w:r w:rsidRPr="00677D1F">
        <w:rPr>
          <w:rFonts w:ascii="宋体" w:eastAsia="宋体" w:hAnsi="宋体" w:cs="宋体"/>
          <w:color w:val="000000"/>
          <w:kern w:val="0"/>
          <w:sz w:val="24"/>
          <w:szCs w:val="24"/>
        </w:rPr>
        <w:t>39787</w:t>
      </w:r>
      <w:r w:rsidRPr="00677D1F">
        <w:rPr>
          <w:rFonts w:ascii="宋体" w:eastAsia="宋体" w:hAnsi="宋体" w:cs="宋体" w:hint="eastAsia"/>
          <w:color w:val="000000"/>
          <w:kern w:val="0"/>
          <w:sz w:val="24"/>
          <w:szCs w:val="24"/>
        </w:rPr>
        <w:t>万元。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环保投资：本项目环保投资额</w:t>
      </w:r>
      <w:r w:rsidRPr="00677D1F">
        <w:rPr>
          <w:rFonts w:ascii="宋体" w:eastAsia="宋体" w:hAnsi="宋体" w:cs="宋体"/>
          <w:color w:val="000000"/>
          <w:kern w:val="0"/>
          <w:sz w:val="24"/>
          <w:szCs w:val="24"/>
        </w:rPr>
        <w:t>34525.86</w:t>
      </w:r>
      <w:r w:rsidRPr="00677D1F">
        <w:rPr>
          <w:rFonts w:ascii="宋体" w:eastAsia="宋体" w:hAnsi="宋体" w:cs="宋体" w:hint="eastAsia"/>
          <w:color w:val="000000"/>
          <w:kern w:val="0"/>
          <w:sz w:val="24"/>
          <w:szCs w:val="24"/>
        </w:rPr>
        <w:t>万元。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建设时期：</w:t>
      </w:r>
      <w:r w:rsidRPr="00677D1F">
        <w:rPr>
          <w:rFonts w:ascii="宋体" w:eastAsia="宋体" w:hAnsi="宋体" w:cs="宋体"/>
          <w:color w:val="000000"/>
          <w:kern w:val="0"/>
          <w:sz w:val="24"/>
          <w:szCs w:val="24"/>
        </w:rPr>
        <w:t>20</w:t>
      </w:r>
      <w:r w:rsidRPr="00677D1F">
        <w:rPr>
          <w:rFonts w:ascii="宋体" w:eastAsia="宋体" w:hAnsi="宋体" w:cs="宋体" w:hint="eastAsia"/>
          <w:color w:val="000000"/>
          <w:kern w:val="0"/>
          <w:sz w:val="24"/>
          <w:szCs w:val="24"/>
        </w:rPr>
        <w:t>20年下半年工程开工建设，</w:t>
      </w:r>
      <w:r w:rsidRPr="00677D1F">
        <w:rPr>
          <w:rFonts w:ascii="宋体" w:eastAsia="宋体" w:hAnsi="宋体" w:cs="宋体"/>
          <w:color w:val="000000"/>
          <w:kern w:val="0"/>
          <w:sz w:val="24"/>
          <w:szCs w:val="24"/>
        </w:rPr>
        <w:t>20</w:t>
      </w:r>
      <w:r w:rsidRPr="00677D1F">
        <w:rPr>
          <w:rFonts w:ascii="宋体" w:eastAsia="宋体" w:hAnsi="宋体" w:cs="宋体" w:hint="eastAsia"/>
          <w:color w:val="000000"/>
          <w:kern w:val="0"/>
          <w:sz w:val="24"/>
          <w:szCs w:val="24"/>
        </w:rPr>
        <w:t>24年上半年工程建成试生产。</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3.1.2</w:t>
      </w:r>
      <w:r w:rsidRPr="00677D1F">
        <w:rPr>
          <w:rFonts w:ascii="宋体" w:hAnsi="宋体" w:hint="eastAsia"/>
          <w:sz w:val="28"/>
          <w:szCs w:val="28"/>
        </w:rPr>
        <w:t xml:space="preserve"> 建设规模与产品方案</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建设规模为年产钛30kt及钛（合金）型材加工。产品：其中钛带 10000t，钛及钛合金板材10000t，钛及钛合金锻件及棒材6000t，无缝管及焊管4000t。产品结构见表3.1-1。</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  钛及钛合金材料产品结构一览表</w:t>
      </w:r>
    </w:p>
    <w:tbl>
      <w:tblPr>
        <w:tblStyle w:val="TableNormal"/>
        <w:tblW w:w="9072"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237"/>
        <w:gridCol w:w="4181"/>
        <w:gridCol w:w="689"/>
        <w:gridCol w:w="689"/>
      </w:tblGrid>
      <w:tr w:rsidR="00D228BE" w:rsidRPr="00677D1F">
        <w:trPr>
          <w:trHeight w:val="340"/>
          <w:jc w:val="center"/>
        </w:trPr>
        <w:tc>
          <w:tcPr>
            <w:tcW w:w="1276"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黑体" w:eastAsia="黑体"/>
                <w:b/>
                <w:sz w:val="18"/>
                <w:szCs w:val="18"/>
              </w:rPr>
            </w:pPr>
            <w:r w:rsidRPr="00677D1F">
              <w:rPr>
                <w:rFonts w:ascii="黑体" w:eastAsia="黑体" w:hint="eastAsia"/>
                <w:b/>
                <w:sz w:val="18"/>
                <w:szCs w:val="18"/>
              </w:rPr>
              <w:t>产品名称</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黑体" w:eastAsia="黑体"/>
                <w:b/>
                <w:sz w:val="18"/>
                <w:szCs w:val="18"/>
              </w:rPr>
            </w:pPr>
            <w:r w:rsidRPr="00677D1F">
              <w:rPr>
                <w:rFonts w:ascii="黑体" w:eastAsia="黑体" w:hint="eastAsia"/>
                <w:b/>
                <w:sz w:val="18"/>
                <w:szCs w:val="18"/>
              </w:rPr>
              <w:t>应用领域</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黑体" w:eastAsia="黑体"/>
                <w:b/>
                <w:sz w:val="18"/>
                <w:szCs w:val="18"/>
                <w:lang w:eastAsia="zh-CN"/>
              </w:rPr>
            </w:pPr>
            <w:r w:rsidRPr="00677D1F">
              <w:rPr>
                <w:rFonts w:ascii="黑体" w:eastAsia="黑体" w:hint="eastAsia"/>
                <w:b/>
                <w:sz w:val="18"/>
                <w:szCs w:val="18"/>
                <w:lang w:eastAsia="zh-CN"/>
              </w:rPr>
              <w:t>典型牌号规格（mm）</w:t>
            </w:r>
          </w:p>
        </w:tc>
        <w:tc>
          <w:tcPr>
            <w:tcW w:w="1378" w:type="dxa"/>
            <w:gridSpan w:val="2"/>
            <w:tcMar>
              <w:left w:w="57" w:type="dxa"/>
              <w:right w:w="57" w:type="dxa"/>
            </w:tcMar>
            <w:vAlign w:val="center"/>
          </w:tcPr>
          <w:p w:rsidR="00D228BE" w:rsidRPr="00677D1F" w:rsidRDefault="00332EB6" w:rsidP="00677D1F">
            <w:pPr>
              <w:pStyle w:val="TableParagraph"/>
              <w:spacing w:line="240" w:lineRule="exact"/>
              <w:contextualSpacing/>
              <w:jc w:val="center"/>
              <w:rPr>
                <w:rFonts w:ascii="黑体" w:eastAsia="黑体"/>
                <w:b/>
                <w:sz w:val="18"/>
                <w:szCs w:val="18"/>
              </w:rPr>
            </w:pPr>
            <w:r w:rsidRPr="00677D1F">
              <w:rPr>
                <w:rFonts w:ascii="黑体" w:eastAsia="黑体" w:hint="eastAsia"/>
                <w:b/>
                <w:sz w:val="18"/>
                <w:szCs w:val="18"/>
              </w:rPr>
              <w:t>产品规模（t）</w:t>
            </w:r>
          </w:p>
        </w:tc>
      </w:tr>
      <w:tr w:rsidR="00D228BE" w:rsidRPr="00677D1F">
        <w:trPr>
          <w:trHeight w:val="340"/>
          <w:jc w:val="center"/>
        </w:trPr>
        <w:tc>
          <w:tcPr>
            <w:tcW w:w="1276"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热轧卷带</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化工、民用</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TA1</w:t>
            </w:r>
            <w:r w:rsidRPr="00677D1F">
              <w:rPr>
                <w:rFonts w:ascii="宋体" w:eastAsia="宋体" w:hAnsi="宋体" w:hint="eastAsia"/>
                <w:sz w:val="18"/>
                <w:szCs w:val="18"/>
                <w:lang w:eastAsia="zh-CN"/>
              </w:rPr>
              <w:t>、</w:t>
            </w:r>
            <w:r w:rsidRPr="00677D1F">
              <w:rPr>
                <w:sz w:val="18"/>
                <w:szCs w:val="18"/>
                <w:lang w:eastAsia="zh-CN"/>
              </w:rPr>
              <w:t>TA2</w:t>
            </w:r>
            <w:r w:rsidRPr="00677D1F">
              <w:rPr>
                <w:rFonts w:ascii="宋体" w:eastAsia="宋体" w:hAnsi="宋体" w:hint="eastAsia"/>
                <w:sz w:val="18"/>
                <w:szCs w:val="18"/>
                <w:lang w:eastAsia="zh-CN"/>
              </w:rPr>
              <w:t>、</w:t>
            </w:r>
            <w:r w:rsidRPr="00677D1F">
              <w:rPr>
                <w:sz w:val="18"/>
                <w:szCs w:val="18"/>
                <w:lang w:eastAsia="zh-CN"/>
              </w:rPr>
              <w:t>TA3</w:t>
            </w:r>
            <w:r w:rsidRPr="00677D1F">
              <w:rPr>
                <w:rFonts w:ascii="宋体" w:eastAsia="宋体" w:hAnsi="宋体" w:hint="eastAsia"/>
                <w:sz w:val="18"/>
                <w:szCs w:val="18"/>
                <w:lang w:eastAsia="zh-CN"/>
              </w:rPr>
              <w:t>、</w:t>
            </w:r>
            <w:r w:rsidRPr="00677D1F">
              <w:rPr>
                <w:sz w:val="18"/>
                <w:szCs w:val="18"/>
                <w:lang w:eastAsia="zh-CN"/>
              </w:rPr>
              <w:t>TA4</w:t>
            </w:r>
          </w:p>
          <w:p w:rsidR="00D228BE" w:rsidRPr="00677D1F" w:rsidRDefault="00332EB6" w:rsidP="00677D1F">
            <w:pPr>
              <w:pStyle w:val="TableParagraph"/>
              <w:spacing w:line="240" w:lineRule="exact"/>
              <w:contextualSpacing/>
              <w:jc w:val="center"/>
              <w:rPr>
                <w:sz w:val="18"/>
                <w:szCs w:val="18"/>
              </w:rPr>
            </w:pPr>
            <w:r w:rsidRPr="00677D1F">
              <w:rPr>
                <w:sz w:val="18"/>
                <w:szCs w:val="18"/>
              </w:rPr>
              <w:t>4~12×1000~1530×L</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3000</w:t>
            </w:r>
          </w:p>
        </w:tc>
        <w:tc>
          <w:tcPr>
            <w:tcW w:w="689"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4000</w:t>
            </w: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管道</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TA1</w:t>
            </w:r>
            <w:r w:rsidRPr="00677D1F">
              <w:rPr>
                <w:rFonts w:ascii="宋体" w:eastAsia="宋体" w:hAnsi="宋体" w:hint="eastAsia"/>
                <w:sz w:val="18"/>
                <w:szCs w:val="18"/>
                <w:lang w:eastAsia="zh-CN"/>
              </w:rPr>
              <w:t>、</w:t>
            </w:r>
            <w:r w:rsidRPr="00677D1F">
              <w:rPr>
                <w:sz w:val="18"/>
                <w:szCs w:val="18"/>
                <w:lang w:eastAsia="zh-CN"/>
              </w:rPr>
              <w:t>TA2</w:t>
            </w:r>
            <w:r w:rsidRPr="00677D1F">
              <w:rPr>
                <w:rFonts w:ascii="宋体" w:eastAsia="宋体" w:hAnsi="宋体" w:hint="eastAsia"/>
                <w:sz w:val="18"/>
                <w:szCs w:val="18"/>
                <w:lang w:eastAsia="zh-CN"/>
              </w:rPr>
              <w:t>、</w:t>
            </w:r>
            <w:r w:rsidRPr="00677D1F">
              <w:rPr>
                <w:sz w:val="18"/>
                <w:szCs w:val="18"/>
                <w:lang w:eastAsia="zh-CN"/>
              </w:rPr>
              <w:t>TA3</w:t>
            </w:r>
            <w:r w:rsidRPr="00677D1F">
              <w:rPr>
                <w:rFonts w:ascii="宋体" w:eastAsia="宋体" w:hAnsi="宋体" w:hint="eastAsia"/>
                <w:sz w:val="18"/>
                <w:szCs w:val="18"/>
                <w:lang w:eastAsia="zh-CN"/>
              </w:rPr>
              <w:t>、</w:t>
            </w:r>
            <w:r w:rsidRPr="00677D1F">
              <w:rPr>
                <w:sz w:val="18"/>
                <w:szCs w:val="18"/>
                <w:lang w:eastAsia="zh-CN"/>
              </w:rPr>
              <w:t>TA4</w:t>
            </w:r>
          </w:p>
          <w:p w:rsidR="00D228BE" w:rsidRPr="00677D1F" w:rsidRDefault="00332EB6" w:rsidP="00677D1F">
            <w:pPr>
              <w:pStyle w:val="TableParagraph"/>
              <w:spacing w:line="240" w:lineRule="exact"/>
              <w:contextualSpacing/>
              <w:jc w:val="center"/>
              <w:rPr>
                <w:sz w:val="18"/>
                <w:szCs w:val="18"/>
              </w:rPr>
            </w:pPr>
            <w:r w:rsidRPr="00677D1F">
              <w:rPr>
                <w:sz w:val="18"/>
                <w:szCs w:val="18"/>
              </w:rPr>
              <w:t>4~8×1000~1530×L</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冷轧卷带</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深冲、板式换热器</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TA1 0.5~0.8×1000~1530×L</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2000</w:t>
            </w:r>
          </w:p>
        </w:tc>
        <w:tc>
          <w:tcPr>
            <w:tcW w:w="689"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6000</w:t>
            </w: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焊管</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TA1</w:t>
            </w:r>
            <w:r w:rsidRPr="00677D1F">
              <w:rPr>
                <w:rFonts w:ascii="宋体" w:eastAsia="宋体" w:hAnsi="宋体" w:hint="eastAsia"/>
                <w:sz w:val="18"/>
                <w:szCs w:val="18"/>
              </w:rPr>
              <w:t>、</w:t>
            </w:r>
            <w:r w:rsidRPr="00677D1F">
              <w:rPr>
                <w:sz w:val="18"/>
                <w:szCs w:val="18"/>
              </w:rPr>
              <w:t>TA2 0.4~1.5×1000~1530×L</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4000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lastRenderedPageBreak/>
              <w:t>纯钛中厚板</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lang w:eastAsia="zh-CN"/>
              </w:rPr>
            </w:pPr>
            <w:r w:rsidRPr="00677D1F">
              <w:rPr>
                <w:rFonts w:ascii="宋体" w:eastAsia="宋体" w:hint="eastAsia"/>
                <w:sz w:val="18"/>
                <w:szCs w:val="18"/>
                <w:lang w:eastAsia="zh-CN"/>
              </w:rPr>
              <w:t>化工装备、电力、冶金、</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TA1</w:t>
            </w:r>
            <w:r w:rsidRPr="00677D1F">
              <w:rPr>
                <w:rFonts w:ascii="宋体" w:eastAsia="宋体" w:hAnsi="宋体" w:hint="eastAsia"/>
                <w:sz w:val="18"/>
                <w:szCs w:val="18"/>
                <w:lang w:eastAsia="zh-CN"/>
              </w:rPr>
              <w:t>、</w:t>
            </w:r>
            <w:r w:rsidRPr="00677D1F">
              <w:rPr>
                <w:sz w:val="18"/>
                <w:szCs w:val="18"/>
                <w:lang w:eastAsia="zh-CN"/>
              </w:rPr>
              <w:t>TA2</w:t>
            </w:r>
            <w:r w:rsidRPr="00677D1F">
              <w:rPr>
                <w:rFonts w:ascii="宋体" w:eastAsia="宋体" w:hAnsi="宋体" w:hint="eastAsia"/>
                <w:sz w:val="18"/>
                <w:szCs w:val="18"/>
                <w:lang w:eastAsia="zh-CN"/>
              </w:rPr>
              <w:t>、</w:t>
            </w:r>
            <w:r w:rsidRPr="00677D1F">
              <w:rPr>
                <w:sz w:val="18"/>
                <w:szCs w:val="18"/>
                <w:lang w:eastAsia="zh-CN"/>
              </w:rPr>
              <w:t>TA8</w:t>
            </w:r>
            <w:r w:rsidRPr="00677D1F">
              <w:rPr>
                <w:rFonts w:ascii="宋体" w:eastAsia="宋体" w:hAnsi="宋体" w:hint="eastAsia"/>
                <w:sz w:val="18"/>
                <w:szCs w:val="18"/>
                <w:lang w:eastAsia="zh-CN"/>
              </w:rPr>
              <w:t>、</w:t>
            </w:r>
            <w:r w:rsidRPr="00677D1F">
              <w:rPr>
                <w:sz w:val="18"/>
                <w:szCs w:val="18"/>
                <w:lang w:eastAsia="zh-CN"/>
              </w:rPr>
              <w:t>TA9</w:t>
            </w:r>
            <w:r w:rsidRPr="00677D1F">
              <w:rPr>
                <w:rFonts w:ascii="宋体" w:eastAsia="宋体" w:hAnsi="宋体" w:hint="eastAsia"/>
                <w:sz w:val="18"/>
                <w:szCs w:val="18"/>
                <w:lang w:eastAsia="zh-CN"/>
              </w:rPr>
              <w:t>、</w:t>
            </w:r>
            <w:r w:rsidRPr="00677D1F">
              <w:rPr>
                <w:sz w:val="18"/>
                <w:szCs w:val="18"/>
                <w:lang w:eastAsia="zh-CN"/>
              </w:rPr>
              <w:t>TA10</w:t>
            </w:r>
          </w:p>
          <w:p w:rsidR="00D228BE" w:rsidRPr="00677D1F" w:rsidRDefault="00332EB6" w:rsidP="00677D1F">
            <w:pPr>
              <w:pStyle w:val="TableParagraph"/>
              <w:spacing w:line="240" w:lineRule="exact"/>
              <w:contextualSpacing/>
              <w:jc w:val="center"/>
              <w:rPr>
                <w:sz w:val="18"/>
                <w:szCs w:val="18"/>
              </w:rPr>
            </w:pPr>
            <w:r w:rsidRPr="00677D1F">
              <w:rPr>
                <w:sz w:val="18"/>
                <w:szCs w:val="18"/>
              </w:rPr>
              <w:t>4~30×1500~2500×6000~10000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4000</w:t>
            </w:r>
          </w:p>
        </w:tc>
        <w:tc>
          <w:tcPr>
            <w:tcW w:w="689"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5000</w:t>
            </w: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医疗用品</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TA2</w:t>
            </w:r>
            <w:r w:rsidRPr="00677D1F">
              <w:rPr>
                <w:rFonts w:ascii="宋体" w:eastAsia="宋体" w:hAnsi="宋体" w:hint="eastAsia"/>
                <w:sz w:val="18"/>
                <w:szCs w:val="18"/>
              </w:rPr>
              <w:t>、</w:t>
            </w:r>
            <w:r w:rsidRPr="00677D1F">
              <w:rPr>
                <w:sz w:val="18"/>
                <w:szCs w:val="18"/>
              </w:rPr>
              <w:t>TA3 1.2~6.0×1000~2000×1000~3000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钛合金中厚板</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航空、航天、</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rPr>
            </w:pPr>
            <w:r w:rsidRPr="00677D1F">
              <w:rPr>
                <w:sz w:val="18"/>
                <w:szCs w:val="18"/>
              </w:rPr>
              <w:t>TC4 20~100×1000~2000×1500~5000</w:t>
            </w:r>
          </w:p>
          <w:p w:rsidR="00D228BE" w:rsidRPr="00677D1F" w:rsidRDefault="00332EB6" w:rsidP="00677D1F">
            <w:pPr>
              <w:pStyle w:val="TableParagraph"/>
              <w:spacing w:line="240" w:lineRule="exact"/>
              <w:contextualSpacing/>
              <w:jc w:val="center"/>
              <w:rPr>
                <w:sz w:val="18"/>
                <w:szCs w:val="18"/>
              </w:rPr>
            </w:pPr>
            <w:r w:rsidRPr="00677D1F">
              <w:rPr>
                <w:sz w:val="18"/>
                <w:szCs w:val="18"/>
              </w:rPr>
              <w:t>TA15 20~100×1000~2000×1500~4000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3000</w:t>
            </w: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兵器</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TC4 8~55×1000~2000×2000~3000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500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舰船、海洋工程</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rPr>
            </w:pPr>
            <w:r w:rsidRPr="00677D1F">
              <w:rPr>
                <w:sz w:val="18"/>
                <w:szCs w:val="18"/>
              </w:rPr>
              <w:t>TC4ELI 20~50×1000~2000×12000</w:t>
            </w:r>
          </w:p>
          <w:p w:rsidR="00D228BE" w:rsidRPr="00677D1F" w:rsidRDefault="00332EB6" w:rsidP="00677D1F">
            <w:pPr>
              <w:pStyle w:val="TableParagraph"/>
              <w:spacing w:line="240" w:lineRule="exact"/>
              <w:contextualSpacing/>
              <w:jc w:val="center"/>
              <w:rPr>
                <w:sz w:val="18"/>
                <w:szCs w:val="18"/>
              </w:rPr>
            </w:pPr>
            <w:r w:rsidRPr="00677D1F">
              <w:rPr>
                <w:sz w:val="18"/>
                <w:szCs w:val="18"/>
              </w:rPr>
              <w:t>TA5 16~50×1000~2000×2000~5000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医疗用品</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lang w:eastAsia="zh-CN"/>
              </w:rPr>
            </w:pPr>
            <w:r w:rsidRPr="00677D1F">
              <w:rPr>
                <w:sz w:val="18"/>
                <w:szCs w:val="18"/>
                <w:lang w:eastAsia="zh-CN"/>
              </w:rPr>
              <w:t xml:space="preserve">TC4 </w:t>
            </w:r>
            <w:r w:rsidRPr="00677D1F">
              <w:rPr>
                <w:rFonts w:ascii="宋体" w:eastAsia="宋体" w:hAnsi="宋体" w:hint="eastAsia"/>
                <w:sz w:val="18"/>
                <w:szCs w:val="18"/>
                <w:lang w:eastAsia="zh-CN"/>
              </w:rPr>
              <w:t>、</w:t>
            </w:r>
            <w:r w:rsidRPr="00677D1F">
              <w:rPr>
                <w:sz w:val="18"/>
                <w:szCs w:val="18"/>
                <w:lang w:eastAsia="zh-CN"/>
              </w:rPr>
              <w:t>TC4ELI 12~22×1000~2000×1000~3000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500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钛合金薄板</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航空航天</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rPr>
            </w:pPr>
            <w:r w:rsidRPr="00677D1F">
              <w:rPr>
                <w:sz w:val="18"/>
                <w:szCs w:val="18"/>
              </w:rPr>
              <w:t>TC4 0.5~4.75×914~1219×2438~3657.6</w:t>
            </w:r>
          </w:p>
          <w:p w:rsidR="00D228BE" w:rsidRPr="00677D1F" w:rsidRDefault="00332EB6" w:rsidP="00677D1F">
            <w:pPr>
              <w:pStyle w:val="TableParagraph"/>
              <w:spacing w:line="240" w:lineRule="exact"/>
              <w:contextualSpacing/>
              <w:jc w:val="center"/>
              <w:rPr>
                <w:rFonts w:eastAsiaTheme="minorEastAsia"/>
                <w:sz w:val="18"/>
                <w:szCs w:val="18"/>
              </w:rPr>
            </w:pPr>
            <w:r w:rsidRPr="00677D1F">
              <w:rPr>
                <w:sz w:val="18"/>
                <w:szCs w:val="18"/>
              </w:rPr>
              <w:t xml:space="preserve">TA15 0.5~4.75×1000~1500×2000~3000 </w:t>
            </w:r>
          </w:p>
          <w:p w:rsidR="00D228BE" w:rsidRPr="00677D1F" w:rsidRDefault="00332EB6" w:rsidP="00677D1F">
            <w:pPr>
              <w:pStyle w:val="TableParagraph"/>
              <w:spacing w:line="240" w:lineRule="exact"/>
              <w:contextualSpacing/>
              <w:jc w:val="center"/>
              <w:rPr>
                <w:rFonts w:eastAsiaTheme="minorEastAsia"/>
                <w:sz w:val="18"/>
                <w:szCs w:val="18"/>
              </w:rPr>
            </w:pPr>
            <w:r w:rsidRPr="00677D1F">
              <w:rPr>
                <w:sz w:val="18"/>
                <w:szCs w:val="18"/>
              </w:rPr>
              <w:t>TC1 0.5~4.75×1000~1500×2000~3000</w:t>
            </w:r>
          </w:p>
          <w:p w:rsidR="00D228BE" w:rsidRPr="00677D1F" w:rsidRDefault="00332EB6" w:rsidP="00677D1F">
            <w:pPr>
              <w:pStyle w:val="TableParagraph"/>
              <w:spacing w:line="240" w:lineRule="exact"/>
              <w:contextualSpacing/>
              <w:jc w:val="center"/>
              <w:rPr>
                <w:sz w:val="18"/>
                <w:szCs w:val="18"/>
              </w:rPr>
            </w:pPr>
            <w:r w:rsidRPr="00677D1F">
              <w:rPr>
                <w:sz w:val="18"/>
                <w:szCs w:val="18"/>
              </w:rPr>
              <w:t>TC2 0.5~4.75×1000~1500×2000~3000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2000</w:t>
            </w: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医疗用品</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TC4</w:t>
            </w:r>
            <w:r w:rsidRPr="00677D1F">
              <w:rPr>
                <w:rFonts w:ascii="宋体" w:eastAsia="宋体" w:hAnsi="宋体" w:hint="eastAsia"/>
                <w:sz w:val="18"/>
                <w:szCs w:val="18"/>
              </w:rPr>
              <w:t>、</w:t>
            </w:r>
            <w:r w:rsidRPr="00677D1F">
              <w:rPr>
                <w:sz w:val="18"/>
                <w:szCs w:val="18"/>
              </w:rPr>
              <w:t>TC20 2.0~6.0×1000~1500×2000~3000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500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体育器材</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TC4</w:t>
            </w:r>
            <w:r w:rsidRPr="00677D1F">
              <w:rPr>
                <w:rFonts w:ascii="宋体" w:eastAsia="宋体" w:hAnsi="宋体" w:hint="eastAsia"/>
                <w:sz w:val="18"/>
                <w:szCs w:val="18"/>
              </w:rPr>
              <w:t>、</w:t>
            </w:r>
            <w:r w:rsidRPr="00677D1F">
              <w:rPr>
                <w:sz w:val="18"/>
                <w:szCs w:val="18"/>
              </w:rPr>
              <w:t>TC24 3.0~6.0×1000~1500×2000~3000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500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钛合金锻件</w:t>
            </w: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航空、航天</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 xml:space="preserve">TC4 </w:t>
            </w:r>
            <w:r w:rsidRPr="00677D1F">
              <w:rPr>
                <w:sz w:val="18"/>
                <w:szCs w:val="18"/>
              </w:rPr>
              <w:t>Φ</w:t>
            </w:r>
            <w:r w:rsidRPr="00677D1F">
              <w:rPr>
                <w:sz w:val="18"/>
                <w:szCs w:val="18"/>
                <w:lang w:eastAsia="zh-CN"/>
              </w:rPr>
              <w:t>200</w:t>
            </w:r>
            <w:r w:rsidRPr="00677D1F">
              <w:rPr>
                <w:rFonts w:ascii="宋体" w:eastAsia="宋体" w:hAnsi="宋体" w:hint="eastAsia"/>
                <w:sz w:val="18"/>
                <w:szCs w:val="18"/>
                <w:lang w:eastAsia="zh-CN"/>
              </w:rPr>
              <w:t>～</w:t>
            </w:r>
            <w:r w:rsidRPr="00677D1F">
              <w:rPr>
                <w:sz w:val="18"/>
                <w:szCs w:val="18"/>
                <w:lang w:eastAsia="zh-CN"/>
              </w:rPr>
              <w:t>500×150</w:t>
            </w:r>
            <w:r w:rsidRPr="00677D1F">
              <w:rPr>
                <w:rFonts w:ascii="宋体" w:eastAsia="宋体" w:hAnsi="宋体" w:hint="eastAsia"/>
                <w:sz w:val="18"/>
                <w:szCs w:val="18"/>
                <w:lang w:eastAsia="zh-CN"/>
              </w:rPr>
              <w:t>～</w:t>
            </w:r>
            <w:r w:rsidRPr="00677D1F">
              <w:rPr>
                <w:sz w:val="18"/>
                <w:szCs w:val="18"/>
                <w:lang w:eastAsia="zh-CN"/>
              </w:rPr>
              <w:t>450</w:t>
            </w:r>
          </w:p>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rPr>
              <w:t>Φ</w:t>
            </w:r>
            <w:r w:rsidRPr="00677D1F">
              <w:rPr>
                <w:sz w:val="18"/>
                <w:szCs w:val="18"/>
                <w:lang w:eastAsia="zh-CN"/>
              </w:rPr>
              <w:t>350</w:t>
            </w:r>
            <w:r w:rsidRPr="00677D1F">
              <w:rPr>
                <w:rFonts w:ascii="宋体" w:eastAsia="宋体" w:hAnsi="宋体" w:hint="eastAsia"/>
                <w:sz w:val="18"/>
                <w:szCs w:val="18"/>
                <w:lang w:eastAsia="zh-CN"/>
              </w:rPr>
              <w:t>～</w:t>
            </w:r>
            <w:r w:rsidRPr="00677D1F">
              <w:rPr>
                <w:sz w:val="18"/>
                <w:szCs w:val="18"/>
                <w:lang w:eastAsia="zh-CN"/>
              </w:rPr>
              <w:t>850/</w:t>
            </w:r>
            <w:r w:rsidRPr="00677D1F">
              <w:rPr>
                <w:sz w:val="18"/>
                <w:szCs w:val="18"/>
              </w:rPr>
              <w:t>Φ</w:t>
            </w:r>
            <w:r w:rsidRPr="00677D1F">
              <w:rPr>
                <w:sz w:val="18"/>
                <w:szCs w:val="18"/>
                <w:lang w:eastAsia="zh-CN"/>
              </w:rPr>
              <w:t>250</w:t>
            </w:r>
            <w:r w:rsidRPr="00677D1F">
              <w:rPr>
                <w:rFonts w:ascii="宋体" w:eastAsia="宋体" w:hAnsi="宋体" w:hint="eastAsia"/>
                <w:sz w:val="18"/>
                <w:szCs w:val="18"/>
                <w:lang w:eastAsia="zh-CN"/>
              </w:rPr>
              <w:t>～</w:t>
            </w:r>
            <w:r w:rsidRPr="00677D1F">
              <w:rPr>
                <w:sz w:val="18"/>
                <w:szCs w:val="18"/>
                <w:lang w:eastAsia="zh-CN"/>
              </w:rPr>
              <w:t>720×120</w:t>
            </w:r>
            <w:r w:rsidRPr="00677D1F">
              <w:rPr>
                <w:rFonts w:ascii="宋体" w:eastAsia="宋体" w:hAnsi="宋体" w:hint="eastAsia"/>
                <w:sz w:val="18"/>
                <w:szCs w:val="18"/>
                <w:lang w:eastAsia="zh-CN"/>
              </w:rPr>
              <w:t>～</w:t>
            </w:r>
            <w:r w:rsidRPr="00677D1F">
              <w:rPr>
                <w:sz w:val="18"/>
                <w:szCs w:val="18"/>
                <w:lang w:eastAsia="zh-CN"/>
              </w:rPr>
              <w:t>500</w:t>
            </w:r>
          </w:p>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 xml:space="preserve">TA15 </w:t>
            </w:r>
            <w:r w:rsidRPr="00677D1F">
              <w:rPr>
                <w:sz w:val="18"/>
                <w:szCs w:val="18"/>
              </w:rPr>
              <w:t>Φ</w:t>
            </w:r>
            <w:r w:rsidRPr="00677D1F">
              <w:rPr>
                <w:sz w:val="18"/>
                <w:szCs w:val="18"/>
                <w:lang w:eastAsia="zh-CN"/>
              </w:rPr>
              <w:t>200</w:t>
            </w:r>
            <w:r w:rsidRPr="00677D1F">
              <w:rPr>
                <w:rFonts w:ascii="宋体" w:eastAsia="宋体" w:hAnsi="宋体" w:hint="eastAsia"/>
                <w:sz w:val="18"/>
                <w:szCs w:val="18"/>
                <w:lang w:eastAsia="zh-CN"/>
              </w:rPr>
              <w:t>～</w:t>
            </w:r>
            <w:r w:rsidRPr="00677D1F">
              <w:rPr>
                <w:sz w:val="18"/>
                <w:szCs w:val="18"/>
                <w:lang w:eastAsia="zh-CN"/>
              </w:rPr>
              <w:t>340×120</w:t>
            </w:r>
            <w:r w:rsidRPr="00677D1F">
              <w:rPr>
                <w:rFonts w:ascii="宋体" w:eastAsia="宋体" w:hAnsi="宋体" w:hint="eastAsia"/>
                <w:sz w:val="18"/>
                <w:szCs w:val="18"/>
                <w:lang w:eastAsia="zh-CN"/>
              </w:rPr>
              <w:t>～</w:t>
            </w:r>
            <w:r w:rsidRPr="00677D1F">
              <w:rPr>
                <w:sz w:val="18"/>
                <w:szCs w:val="18"/>
                <w:lang w:eastAsia="zh-CN"/>
              </w:rPr>
              <w:t>380</w:t>
            </w:r>
          </w:p>
          <w:p w:rsidR="00D228BE" w:rsidRPr="00677D1F" w:rsidRDefault="00332EB6" w:rsidP="00677D1F">
            <w:pPr>
              <w:pStyle w:val="TableParagraph"/>
              <w:spacing w:line="240" w:lineRule="exact"/>
              <w:contextualSpacing/>
              <w:jc w:val="center"/>
              <w:rPr>
                <w:sz w:val="18"/>
                <w:szCs w:val="18"/>
                <w:lang w:eastAsia="zh-CN"/>
              </w:rPr>
            </w:pPr>
            <w:r w:rsidRPr="00677D1F">
              <w:rPr>
                <w:sz w:val="18"/>
                <w:szCs w:val="18"/>
              </w:rPr>
              <w:t>Φ</w:t>
            </w:r>
            <w:r w:rsidRPr="00677D1F">
              <w:rPr>
                <w:sz w:val="18"/>
                <w:szCs w:val="18"/>
                <w:lang w:eastAsia="zh-CN"/>
              </w:rPr>
              <w:t>300</w:t>
            </w:r>
            <w:r w:rsidRPr="00677D1F">
              <w:rPr>
                <w:rFonts w:ascii="宋体" w:eastAsia="宋体" w:hAnsi="宋体" w:hint="eastAsia"/>
                <w:sz w:val="18"/>
                <w:szCs w:val="18"/>
                <w:lang w:eastAsia="zh-CN"/>
              </w:rPr>
              <w:t>～</w:t>
            </w:r>
            <w:r w:rsidRPr="00677D1F">
              <w:rPr>
                <w:sz w:val="18"/>
                <w:szCs w:val="18"/>
                <w:lang w:eastAsia="zh-CN"/>
              </w:rPr>
              <w:t>500/</w:t>
            </w:r>
            <w:r w:rsidRPr="00677D1F">
              <w:rPr>
                <w:sz w:val="18"/>
                <w:szCs w:val="18"/>
              </w:rPr>
              <w:t>Φ</w:t>
            </w:r>
            <w:r w:rsidRPr="00677D1F">
              <w:rPr>
                <w:sz w:val="18"/>
                <w:szCs w:val="18"/>
                <w:lang w:eastAsia="zh-CN"/>
              </w:rPr>
              <w:t>220</w:t>
            </w:r>
            <w:r w:rsidRPr="00677D1F">
              <w:rPr>
                <w:rFonts w:ascii="宋体" w:eastAsia="宋体" w:hAnsi="宋体" w:hint="eastAsia"/>
                <w:sz w:val="18"/>
                <w:szCs w:val="18"/>
                <w:lang w:eastAsia="zh-CN"/>
              </w:rPr>
              <w:t>～</w:t>
            </w:r>
            <w:r w:rsidRPr="00677D1F">
              <w:rPr>
                <w:sz w:val="18"/>
                <w:szCs w:val="18"/>
                <w:lang w:eastAsia="zh-CN"/>
              </w:rPr>
              <w:t>420×100</w:t>
            </w:r>
            <w:r w:rsidRPr="00677D1F">
              <w:rPr>
                <w:rFonts w:ascii="宋体" w:eastAsia="宋体" w:hAnsi="宋体" w:hint="eastAsia"/>
                <w:sz w:val="18"/>
                <w:szCs w:val="18"/>
                <w:lang w:eastAsia="zh-CN"/>
              </w:rPr>
              <w:t>～</w:t>
            </w:r>
            <w:r w:rsidRPr="00677D1F">
              <w:rPr>
                <w:sz w:val="18"/>
                <w:szCs w:val="18"/>
                <w:lang w:eastAsia="zh-CN"/>
              </w:rPr>
              <w:t>300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val="restart"/>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3000</w:t>
            </w: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兵器</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 xml:space="preserve">TC4 </w:t>
            </w:r>
            <w:r w:rsidRPr="00677D1F">
              <w:rPr>
                <w:sz w:val="18"/>
                <w:szCs w:val="18"/>
              </w:rPr>
              <w:t>Φ</w:t>
            </w:r>
            <w:r w:rsidRPr="00677D1F">
              <w:rPr>
                <w:sz w:val="18"/>
                <w:szCs w:val="18"/>
                <w:lang w:eastAsia="zh-CN"/>
              </w:rPr>
              <w:t>200</w:t>
            </w:r>
            <w:r w:rsidRPr="00677D1F">
              <w:rPr>
                <w:rFonts w:ascii="宋体" w:eastAsia="宋体" w:hAnsi="宋体" w:hint="eastAsia"/>
                <w:sz w:val="18"/>
                <w:szCs w:val="18"/>
                <w:lang w:eastAsia="zh-CN"/>
              </w:rPr>
              <w:t>～</w:t>
            </w:r>
            <w:r w:rsidRPr="00677D1F">
              <w:rPr>
                <w:sz w:val="18"/>
                <w:szCs w:val="18"/>
                <w:lang w:eastAsia="zh-CN"/>
              </w:rPr>
              <w:t>340×120</w:t>
            </w:r>
            <w:r w:rsidRPr="00677D1F">
              <w:rPr>
                <w:rFonts w:ascii="宋体" w:eastAsia="宋体" w:hAnsi="宋体" w:hint="eastAsia"/>
                <w:sz w:val="18"/>
                <w:szCs w:val="18"/>
                <w:lang w:eastAsia="zh-CN"/>
              </w:rPr>
              <w:t>～</w:t>
            </w:r>
            <w:r w:rsidRPr="00677D1F">
              <w:rPr>
                <w:sz w:val="18"/>
                <w:szCs w:val="18"/>
                <w:lang w:eastAsia="zh-CN"/>
              </w:rPr>
              <w:t>380</w:t>
            </w:r>
          </w:p>
          <w:p w:rsidR="00D228BE" w:rsidRPr="00677D1F" w:rsidRDefault="00332EB6" w:rsidP="00677D1F">
            <w:pPr>
              <w:pStyle w:val="TableParagraph"/>
              <w:spacing w:line="240" w:lineRule="exact"/>
              <w:contextualSpacing/>
              <w:jc w:val="center"/>
              <w:rPr>
                <w:sz w:val="18"/>
                <w:szCs w:val="18"/>
                <w:lang w:eastAsia="zh-CN"/>
              </w:rPr>
            </w:pPr>
            <w:r w:rsidRPr="00677D1F">
              <w:rPr>
                <w:sz w:val="18"/>
                <w:szCs w:val="18"/>
                <w:lang w:eastAsia="zh-CN"/>
              </w:rPr>
              <w:t xml:space="preserve">TC18 </w:t>
            </w:r>
            <w:r w:rsidRPr="00677D1F">
              <w:rPr>
                <w:sz w:val="18"/>
                <w:szCs w:val="18"/>
              </w:rPr>
              <w:t>Φ</w:t>
            </w:r>
            <w:r w:rsidRPr="00677D1F">
              <w:rPr>
                <w:sz w:val="18"/>
                <w:szCs w:val="18"/>
                <w:lang w:eastAsia="zh-CN"/>
              </w:rPr>
              <w:t>250</w:t>
            </w:r>
            <w:r w:rsidRPr="00677D1F">
              <w:rPr>
                <w:rFonts w:ascii="宋体" w:eastAsia="宋体" w:hAnsi="宋体" w:hint="eastAsia"/>
                <w:sz w:val="18"/>
                <w:szCs w:val="18"/>
                <w:lang w:eastAsia="zh-CN"/>
              </w:rPr>
              <w:t>～</w:t>
            </w:r>
            <w:r w:rsidRPr="00677D1F">
              <w:rPr>
                <w:sz w:val="18"/>
                <w:szCs w:val="18"/>
                <w:lang w:eastAsia="zh-CN"/>
              </w:rPr>
              <w:t>340×120</w:t>
            </w:r>
            <w:r w:rsidRPr="00677D1F">
              <w:rPr>
                <w:rFonts w:ascii="宋体" w:eastAsia="宋体" w:hAnsi="宋体" w:hint="eastAsia"/>
                <w:sz w:val="18"/>
                <w:szCs w:val="18"/>
                <w:lang w:eastAsia="zh-CN"/>
              </w:rPr>
              <w:t>～</w:t>
            </w:r>
            <w:r w:rsidRPr="00677D1F">
              <w:rPr>
                <w:sz w:val="18"/>
                <w:szCs w:val="18"/>
                <w:lang w:eastAsia="zh-CN"/>
              </w:rPr>
              <w:t>380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400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r w:rsidR="00D228BE" w:rsidRPr="00677D1F">
        <w:trPr>
          <w:trHeight w:val="340"/>
          <w:jc w:val="center"/>
        </w:trPr>
        <w:tc>
          <w:tcPr>
            <w:tcW w:w="1276"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c>
          <w:tcPr>
            <w:tcW w:w="2237" w:type="dxa"/>
            <w:tcMar>
              <w:left w:w="57" w:type="dxa"/>
              <w:right w:w="57" w:type="dxa"/>
            </w:tcMar>
            <w:vAlign w:val="center"/>
          </w:tcPr>
          <w:p w:rsidR="00D228BE" w:rsidRPr="00677D1F" w:rsidRDefault="00332EB6" w:rsidP="00677D1F">
            <w:pPr>
              <w:pStyle w:val="TableParagraph"/>
              <w:spacing w:line="240" w:lineRule="exact"/>
              <w:contextualSpacing/>
              <w:jc w:val="center"/>
              <w:rPr>
                <w:rFonts w:ascii="宋体" w:eastAsia="宋体"/>
                <w:sz w:val="18"/>
                <w:szCs w:val="18"/>
              </w:rPr>
            </w:pPr>
            <w:r w:rsidRPr="00677D1F">
              <w:rPr>
                <w:rFonts w:ascii="宋体" w:eastAsia="宋体" w:hint="eastAsia"/>
                <w:sz w:val="18"/>
                <w:szCs w:val="18"/>
              </w:rPr>
              <w:t>舰船、海洋工程</w:t>
            </w:r>
          </w:p>
        </w:tc>
        <w:tc>
          <w:tcPr>
            <w:tcW w:w="4181" w:type="dxa"/>
            <w:tcMar>
              <w:left w:w="57" w:type="dxa"/>
              <w:right w:w="57" w:type="dxa"/>
            </w:tcMar>
            <w:vAlign w:val="center"/>
          </w:tcPr>
          <w:p w:rsidR="00D228BE" w:rsidRPr="00677D1F" w:rsidRDefault="00332EB6" w:rsidP="00677D1F">
            <w:pPr>
              <w:pStyle w:val="TableParagraph"/>
              <w:spacing w:line="240" w:lineRule="exact"/>
              <w:contextualSpacing/>
              <w:jc w:val="center"/>
              <w:rPr>
                <w:rFonts w:eastAsiaTheme="minorEastAsia"/>
                <w:sz w:val="18"/>
                <w:szCs w:val="18"/>
                <w:lang w:eastAsia="zh-CN"/>
              </w:rPr>
            </w:pPr>
            <w:r w:rsidRPr="00677D1F">
              <w:rPr>
                <w:sz w:val="18"/>
                <w:szCs w:val="18"/>
                <w:lang w:eastAsia="zh-CN"/>
              </w:rPr>
              <w:t xml:space="preserve">TC4ELI </w:t>
            </w:r>
            <w:r w:rsidRPr="00677D1F">
              <w:rPr>
                <w:sz w:val="18"/>
                <w:szCs w:val="18"/>
              </w:rPr>
              <w:t>Φ</w:t>
            </w:r>
            <w:r w:rsidRPr="00677D1F">
              <w:rPr>
                <w:sz w:val="18"/>
                <w:szCs w:val="18"/>
                <w:lang w:eastAsia="zh-CN"/>
              </w:rPr>
              <w:t>540</w:t>
            </w:r>
            <w:r w:rsidRPr="00677D1F">
              <w:rPr>
                <w:rFonts w:ascii="宋体" w:eastAsia="宋体" w:hAnsi="宋体" w:hint="eastAsia"/>
                <w:sz w:val="18"/>
                <w:szCs w:val="18"/>
                <w:lang w:eastAsia="zh-CN"/>
              </w:rPr>
              <w:t>～</w:t>
            </w:r>
            <w:r w:rsidRPr="00677D1F">
              <w:rPr>
                <w:sz w:val="18"/>
                <w:szCs w:val="18"/>
                <w:lang w:eastAsia="zh-CN"/>
              </w:rPr>
              <w:t>1550/</w:t>
            </w:r>
            <w:r w:rsidRPr="00677D1F">
              <w:rPr>
                <w:sz w:val="18"/>
                <w:szCs w:val="18"/>
              </w:rPr>
              <w:t>Φ</w:t>
            </w:r>
            <w:r w:rsidRPr="00677D1F">
              <w:rPr>
                <w:sz w:val="18"/>
                <w:szCs w:val="18"/>
                <w:lang w:eastAsia="zh-CN"/>
              </w:rPr>
              <w:t>300</w:t>
            </w:r>
            <w:r w:rsidRPr="00677D1F">
              <w:rPr>
                <w:rFonts w:ascii="宋体" w:eastAsia="宋体" w:hAnsi="宋体" w:hint="eastAsia"/>
                <w:sz w:val="18"/>
                <w:szCs w:val="18"/>
                <w:lang w:eastAsia="zh-CN"/>
              </w:rPr>
              <w:t>～</w:t>
            </w:r>
            <w:r w:rsidRPr="00677D1F">
              <w:rPr>
                <w:sz w:val="18"/>
                <w:szCs w:val="18"/>
                <w:lang w:eastAsia="zh-CN"/>
              </w:rPr>
              <w:t>1200×80</w:t>
            </w:r>
            <w:r w:rsidRPr="00677D1F">
              <w:rPr>
                <w:rFonts w:ascii="宋体" w:eastAsia="宋体" w:hAnsi="宋体" w:hint="eastAsia"/>
                <w:sz w:val="18"/>
                <w:szCs w:val="18"/>
                <w:lang w:eastAsia="zh-CN"/>
              </w:rPr>
              <w:t>～</w:t>
            </w:r>
            <w:r w:rsidRPr="00677D1F">
              <w:rPr>
                <w:sz w:val="18"/>
                <w:szCs w:val="18"/>
                <w:lang w:eastAsia="zh-CN"/>
              </w:rPr>
              <w:t>380</w:t>
            </w:r>
          </w:p>
          <w:p w:rsidR="00D228BE" w:rsidRPr="00677D1F" w:rsidRDefault="00332EB6" w:rsidP="00677D1F">
            <w:pPr>
              <w:pStyle w:val="TableParagraph"/>
              <w:spacing w:line="240" w:lineRule="exact"/>
              <w:contextualSpacing/>
              <w:jc w:val="center"/>
              <w:rPr>
                <w:sz w:val="18"/>
                <w:szCs w:val="18"/>
              </w:rPr>
            </w:pPr>
            <w:r w:rsidRPr="00677D1F">
              <w:rPr>
                <w:sz w:val="18"/>
                <w:szCs w:val="18"/>
              </w:rPr>
              <w:t>TA5 Φ380</w:t>
            </w:r>
            <w:r w:rsidRPr="00677D1F">
              <w:rPr>
                <w:rFonts w:ascii="宋体" w:eastAsia="宋体" w:hAnsi="宋体" w:hint="eastAsia"/>
                <w:sz w:val="18"/>
                <w:szCs w:val="18"/>
              </w:rPr>
              <w:t>～</w:t>
            </w:r>
            <w:r w:rsidRPr="00677D1F">
              <w:rPr>
                <w:sz w:val="18"/>
                <w:szCs w:val="18"/>
              </w:rPr>
              <w:t>550/Φ220</w:t>
            </w:r>
            <w:r w:rsidRPr="00677D1F">
              <w:rPr>
                <w:rFonts w:ascii="宋体" w:eastAsia="宋体" w:hAnsi="宋体" w:hint="eastAsia"/>
                <w:sz w:val="18"/>
                <w:szCs w:val="18"/>
              </w:rPr>
              <w:t>～</w:t>
            </w:r>
            <w:r w:rsidRPr="00677D1F">
              <w:rPr>
                <w:sz w:val="18"/>
                <w:szCs w:val="18"/>
              </w:rPr>
              <w:t>420×350</w:t>
            </w:r>
            <w:r w:rsidRPr="00677D1F">
              <w:rPr>
                <w:rFonts w:ascii="宋体" w:eastAsia="宋体" w:hAnsi="宋体" w:hint="eastAsia"/>
                <w:sz w:val="18"/>
                <w:szCs w:val="18"/>
              </w:rPr>
              <w:t>～</w:t>
            </w:r>
            <w:r w:rsidRPr="00677D1F">
              <w:rPr>
                <w:sz w:val="18"/>
                <w:szCs w:val="18"/>
              </w:rPr>
              <w:t>550</w:t>
            </w:r>
          </w:p>
        </w:tc>
        <w:tc>
          <w:tcPr>
            <w:tcW w:w="689" w:type="dxa"/>
            <w:tcMar>
              <w:left w:w="57" w:type="dxa"/>
              <w:right w:w="57" w:type="dxa"/>
            </w:tcMar>
            <w:vAlign w:val="center"/>
          </w:tcPr>
          <w:p w:rsidR="00D228BE" w:rsidRPr="00677D1F" w:rsidRDefault="00332EB6" w:rsidP="00677D1F">
            <w:pPr>
              <w:pStyle w:val="TableParagraph"/>
              <w:spacing w:line="240" w:lineRule="exact"/>
              <w:contextualSpacing/>
              <w:jc w:val="center"/>
              <w:rPr>
                <w:sz w:val="18"/>
                <w:szCs w:val="18"/>
              </w:rPr>
            </w:pPr>
            <w:r w:rsidRPr="00677D1F">
              <w:rPr>
                <w:sz w:val="18"/>
                <w:szCs w:val="18"/>
              </w:rPr>
              <w:t>1000</w:t>
            </w:r>
          </w:p>
        </w:tc>
        <w:tc>
          <w:tcPr>
            <w:tcW w:w="689" w:type="dxa"/>
            <w:vMerge/>
            <w:tcBorders>
              <w:top w:val="nil"/>
            </w:tcBorders>
            <w:tcMar>
              <w:left w:w="57" w:type="dxa"/>
              <w:right w:w="57" w:type="dxa"/>
            </w:tcMar>
            <w:vAlign w:val="center"/>
          </w:tcPr>
          <w:p w:rsidR="00D228BE" w:rsidRPr="00677D1F" w:rsidRDefault="00D228BE" w:rsidP="00677D1F">
            <w:pPr>
              <w:spacing w:line="240" w:lineRule="exact"/>
              <w:contextualSpacing/>
              <w:jc w:val="center"/>
              <w:rPr>
                <w:kern w:val="0"/>
                <w:sz w:val="18"/>
                <w:szCs w:val="18"/>
              </w:rPr>
            </w:pP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3.1.3</w:t>
      </w:r>
      <w:r w:rsidRPr="00677D1F">
        <w:rPr>
          <w:rFonts w:ascii="宋体" w:hAnsi="宋体" w:hint="eastAsia"/>
          <w:sz w:val="28"/>
          <w:szCs w:val="28"/>
        </w:rPr>
        <w:t xml:space="preserve"> 项目组成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主要由海绵钛生产系统、镁电解生产系统、氯气生产系统、钛加工系统、公用及辅助系统、仓储和生活及办公设施。海绵钛生产系统包括钛渣熔炼及冷却、钛渣破碎及成品库、氯化原料库、四氯化钛制备车间、氯化尾气处理系统、收尘渣及废液处理系统、还原蒸馏工段、海绵钛破碎及成品库；镁生产系统包括镁电解工段、镁精炼车间、镁电解氯压机室、液氯储库及液氯蒸发、透平机室、镁系统、还蒸尾气及事故氯气处理；氯气生产系统包括原盐仓库、盐水制备（含二次盐精制）车间、盐电解及整流工段、氯气处理及液化工段、氯气生产区废气处理；钛加工系统包括海绵钛熔铸车间、锻造车间、板带车间、残钛回收车间、钛材成品库；公用及辅助系统包括供电系统、动力系统、供排水系统、中心化验室、临时渣棚、污水处理站、全厂综合管网、加压泵站、冷冻站、水喷雾泵房、天然气调压站等；仓储包括原料库、成品库、化学试剂室等；生活及办公设施包括车间办公楼、综合办公楼、厂区食堂、厂区浴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拟建工程的项目主要工序组成及配套建设内容见表</w:t>
      </w:r>
      <w:r w:rsidRPr="00677D1F">
        <w:rPr>
          <w:rFonts w:ascii="宋体" w:eastAsia="宋体" w:hAnsi="宋体" w:cs="宋体"/>
          <w:color w:val="000000"/>
          <w:kern w:val="0"/>
          <w:sz w:val="24"/>
          <w:szCs w:val="24"/>
        </w:rPr>
        <w:t>3.1-</w:t>
      </w:r>
      <w:r w:rsidRPr="00677D1F">
        <w:rPr>
          <w:rFonts w:ascii="宋体" w:eastAsia="宋体" w:hAnsi="宋体" w:cs="宋体" w:hint="eastAsia"/>
          <w:color w:val="000000"/>
          <w:kern w:val="0"/>
          <w:sz w:val="24"/>
          <w:szCs w:val="24"/>
        </w:rPr>
        <w:t>2，工艺设备清单见表</w:t>
      </w:r>
      <w:r w:rsidRPr="00677D1F">
        <w:rPr>
          <w:rFonts w:ascii="宋体" w:eastAsia="宋体" w:hAnsi="宋体" w:cs="宋体"/>
          <w:color w:val="000000"/>
          <w:kern w:val="0"/>
          <w:sz w:val="24"/>
          <w:szCs w:val="24"/>
        </w:rPr>
        <w:t>3.1-</w:t>
      </w:r>
      <w:r w:rsidRPr="00677D1F">
        <w:rPr>
          <w:rFonts w:ascii="宋体" w:eastAsia="宋体" w:hAnsi="宋体" w:cs="宋体" w:hint="eastAsia"/>
          <w:color w:val="000000"/>
          <w:kern w:val="0"/>
          <w:sz w:val="24"/>
          <w:szCs w:val="24"/>
        </w:rPr>
        <w:t>3。</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  项目组成表</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84"/>
        <w:gridCol w:w="5078"/>
        <w:gridCol w:w="2910"/>
      </w:tblGrid>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序号</w:t>
            </w:r>
          </w:p>
        </w:tc>
        <w:tc>
          <w:tcPr>
            <w:tcW w:w="5078" w:type="dxa"/>
            <w:vAlign w:val="center"/>
          </w:tcPr>
          <w:p w:rsidR="00D228BE" w:rsidRPr="00677D1F" w:rsidRDefault="00332EB6" w:rsidP="00677D1F">
            <w:pPr>
              <w:pStyle w:val="TableParagraph"/>
              <w:tabs>
                <w:tab w:val="left" w:pos="448"/>
                <w:tab w:val="left" w:pos="870"/>
                <w:tab w:val="left" w:pos="1293"/>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工序名称</w:t>
            </w:r>
          </w:p>
        </w:tc>
        <w:tc>
          <w:tcPr>
            <w:tcW w:w="2910" w:type="dxa"/>
            <w:vAlign w:val="center"/>
          </w:tcPr>
          <w:p w:rsidR="00D228BE" w:rsidRPr="00677D1F" w:rsidRDefault="00332EB6" w:rsidP="00677D1F">
            <w:pPr>
              <w:pStyle w:val="TableParagraph"/>
              <w:tabs>
                <w:tab w:val="left" w:pos="451"/>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备注</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全厂总平面布置</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全厂生活废水处理站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全厂生产污水处理站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220kV</w:t>
            </w:r>
            <w:r w:rsidRPr="00677D1F">
              <w:rPr>
                <w:rFonts w:asciiTheme="minorEastAsia" w:eastAsiaTheme="minorEastAsia" w:hAnsiTheme="minorEastAsia" w:hint="eastAsia"/>
                <w:sz w:val="21"/>
                <w:szCs w:val="21"/>
              </w:rPr>
              <w:t>总降压变电站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空压站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氮气站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制氧站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质检</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化验中心</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消防加压泵站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倒班宿舍</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办公楼</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初期雨水收集</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事故水池</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综合仓库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备品备件库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天然气调压站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工艺车库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全厂控制中心</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智能制造</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地中衡</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大门围墙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高盐废水处理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食堂</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危废暂存间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钛渣原料转运站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钛渣熔炼车间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生铁处理机加工铸件车间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钛渣冷却及初碎</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钛渣破碎成品转运站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电炉烟气净化</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出炉口烟气净化</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电炉煤气存储与加压</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钛渣熔炼系统综合循环水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10kV</w:t>
            </w:r>
            <w:r w:rsidRPr="00677D1F">
              <w:rPr>
                <w:rFonts w:asciiTheme="minorEastAsia" w:eastAsiaTheme="minorEastAsia" w:hAnsiTheme="minorEastAsia" w:hint="eastAsia"/>
                <w:sz w:val="21"/>
                <w:szCs w:val="21"/>
              </w:rPr>
              <w:t>配电室</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电炉煤气锅炉房</w:t>
            </w:r>
            <w:r w:rsidRPr="00677D1F">
              <w:rPr>
                <w:rFonts w:asciiTheme="minorEastAsia" w:eastAsiaTheme="minorEastAsia" w:hAnsiTheme="minorEastAsia"/>
                <w:sz w:val="21"/>
                <w:szCs w:val="21"/>
                <w:lang w:eastAsia="zh-CN"/>
              </w:rPr>
              <w:t>/</w:t>
            </w:r>
            <w:r w:rsidRPr="00677D1F">
              <w:rPr>
                <w:rFonts w:asciiTheme="minorEastAsia" w:eastAsiaTheme="minorEastAsia" w:hAnsiTheme="minorEastAsia" w:hint="eastAsia"/>
                <w:sz w:val="21"/>
                <w:szCs w:val="21"/>
                <w:lang w:eastAsia="zh-CN"/>
              </w:rPr>
              <w:t>软水站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脱硫脱硝净化处理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lastRenderedPageBreak/>
              <w:t>35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钛渣熔炼换热站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钛渣区域综合管网</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氯化原料库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6#</w:t>
            </w:r>
            <w:r w:rsidRPr="00677D1F">
              <w:rPr>
                <w:rFonts w:asciiTheme="minorEastAsia" w:eastAsiaTheme="minorEastAsia" w:hAnsiTheme="minorEastAsia" w:hint="eastAsia"/>
                <w:sz w:val="21"/>
                <w:szCs w:val="21"/>
              </w:rPr>
              <w:t>氯化车间</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w:t>
            </w:r>
            <w:r w:rsidRPr="00677D1F">
              <w:rPr>
                <w:rFonts w:asciiTheme="minorEastAsia" w:eastAsiaTheme="minorEastAsia" w:hAnsiTheme="minorEastAsia" w:hint="eastAsia"/>
                <w:sz w:val="21"/>
                <w:szCs w:val="21"/>
              </w:rPr>
              <w:t>台套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6#</w:t>
            </w:r>
            <w:r w:rsidRPr="00677D1F">
              <w:rPr>
                <w:rFonts w:asciiTheme="minorEastAsia" w:eastAsiaTheme="minorEastAsia" w:hAnsiTheme="minorEastAsia" w:hint="eastAsia"/>
                <w:sz w:val="21"/>
                <w:szCs w:val="21"/>
              </w:rPr>
              <w:t>尾气处理系统</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w:t>
            </w:r>
            <w:r w:rsidRPr="00677D1F">
              <w:rPr>
                <w:rFonts w:asciiTheme="minorEastAsia" w:eastAsiaTheme="minorEastAsia" w:hAnsiTheme="minorEastAsia" w:hint="eastAsia"/>
                <w:sz w:val="21"/>
                <w:szCs w:val="21"/>
              </w:rPr>
              <w:t>台套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精制车间</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台套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四氯化钛储罐区</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矿浆蒸发系统</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卫生排气处理系统</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 xml:space="preserve">3 </w:t>
            </w:r>
            <w:r w:rsidRPr="00677D1F">
              <w:rPr>
                <w:rFonts w:asciiTheme="minorEastAsia" w:eastAsiaTheme="minorEastAsia" w:hAnsiTheme="minorEastAsia" w:hint="eastAsia"/>
                <w:sz w:val="21"/>
                <w:szCs w:val="21"/>
              </w:rPr>
              <w:t>台套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碱液储库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收尘渣处理系统</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冷冻站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四氯化钛循环水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临时渣场</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四氯化钛区域综合管网</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还原蒸馏车间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＃还原蒸馏废气处理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还原蒸馏车间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＃还原蒸馏废气处理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还原蒸馏通廊</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镁电解车间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氯压机室</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事故氯气处理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镁电解整流所</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海绵钛系统综合循环水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液氩储存与汽化</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海绵钛系统换热站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准备工段</w:t>
            </w:r>
            <w:r w:rsidRPr="00677D1F">
              <w:rPr>
                <w:rFonts w:asciiTheme="minorEastAsia" w:eastAsiaTheme="minorEastAsia" w:hAnsiTheme="minorEastAsia"/>
                <w:sz w:val="21"/>
                <w:szCs w:val="21"/>
                <w:lang w:eastAsia="zh-CN"/>
              </w:rPr>
              <w:t>/</w:t>
            </w:r>
            <w:r w:rsidRPr="00677D1F">
              <w:rPr>
                <w:rFonts w:asciiTheme="minorEastAsia" w:eastAsiaTheme="minorEastAsia" w:hAnsiTheme="minorEastAsia" w:hint="eastAsia"/>
                <w:sz w:val="21"/>
                <w:szCs w:val="21"/>
                <w:lang w:eastAsia="zh-CN"/>
              </w:rPr>
              <w:t>海绵钛取出车间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＃海绵钛破碎</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海绵钛挑选及包装</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海绵钛生产控制中心</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精盐原料库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精盐干燥工段</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钠电解车间</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＃钠电解整流所</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＃钠精炼车间</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＃钠铸锭</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包装车间</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硫酸储库</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液碱库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lastRenderedPageBreak/>
              <w:t>73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＃钠电解氯压机室</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钠系统包装桶库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6#</w:t>
            </w:r>
            <w:r w:rsidRPr="00677D1F">
              <w:rPr>
                <w:rFonts w:asciiTheme="minorEastAsia" w:eastAsiaTheme="minorEastAsia" w:hAnsiTheme="minorEastAsia" w:hint="eastAsia"/>
                <w:sz w:val="21"/>
                <w:szCs w:val="21"/>
              </w:rPr>
              <w:t>金属钠库</w:t>
            </w:r>
          </w:p>
        </w:tc>
        <w:tc>
          <w:tcPr>
            <w:tcW w:w="2910"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w:t>
            </w:r>
            <w:r w:rsidRPr="00677D1F">
              <w:rPr>
                <w:rFonts w:asciiTheme="minorEastAsia" w:eastAsiaTheme="minorEastAsia" w:hAnsiTheme="minorEastAsia" w:hint="eastAsia"/>
                <w:sz w:val="21"/>
                <w:szCs w:val="21"/>
              </w:rPr>
              <w:t>套</w:t>
            </w: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钠电解卫生排气处理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钠电解事故氯气处理</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氯气液化</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及储存</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钠电解</w:t>
            </w:r>
            <w:r w:rsidRPr="00677D1F">
              <w:rPr>
                <w:rFonts w:asciiTheme="minorEastAsia" w:eastAsiaTheme="minorEastAsia" w:hAnsiTheme="minorEastAsia"/>
                <w:sz w:val="21"/>
                <w:szCs w:val="21"/>
                <w:lang w:eastAsia="zh-CN"/>
              </w:rPr>
              <w:t>1</w:t>
            </w:r>
            <w:r w:rsidRPr="00677D1F">
              <w:rPr>
                <w:rFonts w:asciiTheme="minorEastAsia" w:eastAsiaTheme="minorEastAsia" w:hAnsiTheme="minorEastAsia" w:hint="eastAsia"/>
                <w:sz w:val="21"/>
                <w:szCs w:val="21"/>
                <w:lang w:eastAsia="zh-CN"/>
              </w:rPr>
              <w:t>、</w:t>
            </w:r>
            <w:r w:rsidRPr="00677D1F">
              <w:rPr>
                <w:rFonts w:asciiTheme="minorEastAsia" w:eastAsiaTheme="minorEastAsia" w:hAnsiTheme="minorEastAsia"/>
                <w:sz w:val="21"/>
                <w:szCs w:val="21"/>
                <w:lang w:eastAsia="zh-CN"/>
              </w:rPr>
              <w:t>2</w:t>
            </w:r>
            <w:r w:rsidRPr="00677D1F">
              <w:rPr>
                <w:rFonts w:asciiTheme="minorEastAsia" w:eastAsiaTheme="minorEastAsia" w:hAnsiTheme="minorEastAsia" w:hint="eastAsia"/>
                <w:sz w:val="21"/>
                <w:szCs w:val="21"/>
                <w:lang w:eastAsia="zh-CN"/>
              </w:rPr>
              <w:t>＃</w:t>
            </w:r>
            <w:r w:rsidRPr="00677D1F">
              <w:rPr>
                <w:rFonts w:asciiTheme="minorEastAsia" w:eastAsiaTheme="minorEastAsia" w:hAnsiTheme="minorEastAsia"/>
                <w:sz w:val="21"/>
                <w:szCs w:val="21"/>
                <w:lang w:eastAsia="zh-CN"/>
              </w:rPr>
              <w:t>10kV</w:t>
            </w:r>
            <w:r w:rsidRPr="00677D1F">
              <w:rPr>
                <w:rFonts w:asciiTheme="minorEastAsia" w:eastAsiaTheme="minorEastAsia" w:hAnsiTheme="minorEastAsia" w:hint="eastAsia"/>
                <w:sz w:val="21"/>
                <w:szCs w:val="21"/>
                <w:lang w:eastAsia="zh-CN"/>
              </w:rPr>
              <w:t>配电室</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制膜车间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钠系统换热站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钠电解系统综合循环水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试剂库（工艺仓库）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次氯酸钠储库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熔铸车间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锻造车间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钛板生产车间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焊接管生产车间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89</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无缝管生产车间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90</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残钛回收车间</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91</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w:t>
            </w:r>
            <w:r w:rsidRPr="00677D1F">
              <w:rPr>
                <w:rFonts w:asciiTheme="minorEastAsia" w:eastAsiaTheme="minorEastAsia" w:hAnsiTheme="minorEastAsia" w:hint="eastAsia"/>
                <w:sz w:val="21"/>
                <w:szCs w:val="21"/>
              </w:rPr>
              <w:t>＃液氩储存与汽化</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92</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钛材加工区域换热站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93</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加工区域废水处理站</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94</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应急高位塔</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95</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加工循环水系统</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96</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加工工艺仓库</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97</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综合维修</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1084"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98</w:t>
            </w:r>
          </w:p>
        </w:tc>
        <w:tc>
          <w:tcPr>
            <w:tcW w:w="5078" w:type="dxa"/>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综合管网</w:t>
            </w:r>
          </w:p>
        </w:tc>
        <w:tc>
          <w:tcPr>
            <w:tcW w:w="2910" w:type="dxa"/>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表3.1-3  工艺设备清单一览表</w:t>
      </w:r>
    </w:p>
    <w:tbl>
      <w:tblPr>
        <w:tblStyle w:val="aa"/>
        <w:tblW w:w="9072" w:type="dxa"/>
        <w:jc w:val="center"/>
        <w:tblLayout w:type="fixed"/>
        <w:tblCellMar>
          <w:left w:w="57" w:type="dxa"/>
          <w:right w:w="57" w:type="dxa"/>
        </w:tblCellMar>
        <w:tblLook w:val="04A0" w:firstRow="1" w:lastRow="0" w:firstColumn="1" w:lastColumn="0" w:noHBand="0" w:noVBand="1"/>
      </w:tblPr>
      <w:tblGrid>
        <w:gridCol w:w="685"/>
        <w:gridCol w:w="561"/>
        <w:gridCol w:w="2029"/>
        <w:gridCol w:w="3688"/>
        <w:gridCol w:w="737"/>
        <w:gridCol w:w="738"/>
        <w:gridCol w:w="634"/>
      </w:tblGrid>
      <w:tr w:rsidR="00D228BE" w:rsidRPr="00677D1F">
        <w:trPr>
          <w:trHeight w:val="340"/>
          <w:jc w:val="center"/>
        </w:trPr>
        <w:tc>
          <w:tcPr>
            <w:tcW w:w="685"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序号</w:t>
            </w:r>
          </w:p>
        </w:tc>
        <w:tc>
          <w:tcPr>
            <w:tcW w:w="561"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安装</w:t>
            </w:r>
          </w:p>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设备名称</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规格性能</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单位</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数量</w:t>
            </w:r>
          </w:p>
        </w:tc>
        <w:tc>
          <w:tcPr>
            <w:tcW w:w="634"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备注</w:t>
            </w: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钛渣原料转运站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抓斗吊钩两用桥式起重机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QD型 Q=5t.A6,Lk=22.5m,H=11m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抓斗吊钩两用桥式起重机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QD型 Q=10t.A6,Lk=22.5m,H=11m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螺旋平板闸门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SLV -0.6d 400*400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电子配料秤</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TD70 B=800,Lh=40.7m,α=5.3013°V=0.8m/s</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螺旋平板闸门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SLV -0.6d 400*400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电磁振动给料机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GZ5F L=1200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附控制箱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P=0.45kW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大倾角胶带输送机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B1000 B1000 Lh=71.8m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9</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钛渣熔炼车间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25.5MVA钛渣熔炼炉系统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附25.5MVA钛渣熔炼炉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25.5MVA,φ14600,极心圆φ2900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附炉顶配料、加料系统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附电动单梁起重机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Q=5t,Lk=16m,A5,H=31m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附出渣除铁口开口机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附出渣除铁口堵口机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附炉底冷却风机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4-73-11（10.5D）, 4000m/h,P=1300Pa</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卷扬机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渣包车组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渣模</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V=3.95m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B=800,Lh=15.950m,α=0℃,V=0.8m/s</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TD75 B=800,Lh=15.950m,α=0°V=0.8m/s</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restart"/>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w:t>
            </w:r>
          </w:p>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电液动三通</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DFC-Ⅱ 400*400,α=45℃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附电液推杆</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DYT500 N=0.55kW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配料仓</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3350*3350*4500（直段）</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生铁处理机加工铸件车间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吊钩桥式铸造起重机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QDY型 Q=74t/20t.A7,Lk=22.5m,H=11m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吊钩桥式铸造起重机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QDY型 Q=20t/5t.A6,Lk=22.5m,H=11m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铁水过跨车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15t/h混砂系统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10t/h砂再生系统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铁、钢水罐烘烤器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15t电炉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30tLF炉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30tVD炉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钛渣冷却及初碎</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渣车牵引装置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N=200kN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20t/10t,A6,Lk=28.5m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抓斗电磁桥式起重机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15t/5t,A6,Lk=28.5m,超重型抓斗V=2.5m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棒条闸阀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BZ-Ⅰ,800*800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振动给料机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HDZ1225 1000*2250*300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TD75,B8050,α=10.1517°,v=0.8,L=31000（投影）</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带式强磁永磁除铁器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RCYD-8,磁场强度≥70mT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颚式破碎机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500*750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TD70,B6550,α=10.4424°,v=0.8,L=9500（投影）</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带式强磁永磁除铁器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RCYD-6,磁场强度≥70mT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渣包车组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B=2476,L=29494</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钛渣破碎成品转运站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电液动三通</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DFC-Ⅱ,400*400,α=50°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可逆双反击锤式破碎机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PFCM-1508型,1500*800,处理能力50～60t/h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TD75,B6550,α=3.342°,v=0.8,,L=7225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斗式提升机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TD315型,TD315-SD-C3-左-24.543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42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TD75,B6550,α=0°,v=0.8,L=14350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带式强磁永磁除铁器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RCYD-65,磁场强度≥71mT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手动插板阀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300*300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惯性振动给料机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GZG1503,2250*1500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直线振动筛</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3GZS1836,筛网尺寸1800*3600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contextualSpacing/>
              <w:jc w:val="center"/>
              <w:rPr>
                <w:sz w:val="15"/>
                <w:szCs w:val="15"/>
              </w:rPr>
            </w:pPr>
            <w:r w:rsidRPr="00677D1F">
              <w:rPr>
                <w:rFonts w:ascii="宋体" w:eastAsia="宋体" w:hAnsi="宋体" w:cs="宋体" w:hint="eastAsia"/>
                <w:color w:val="000000"/>
                <w:kern w:val="0"/>
                <w:sz w:val="15"/>
                <w:szCs w:val="15"/>
              </w:rPr>
              <w:t>TD75,B6550,α=0°,v=0.8,,L=14250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contextualSpacing/>
              <w:jc w:val="center"/>
              <w:rPr>
                <w:sz w:val="15"/>
                <w:szCs w:val="15"/>
              </w:rPr>
            </w:pPr>
            <w:r w:rsidRPr="00677D1F">
              <w:rPr>
                <w:rFonts w:ascii="宋体" w:eastAsia="宋体" w:hAnsi="宋体" w:cs="宋体" w:hint="eastAsia"/>
                <w:color w:val="000000"/>
                <w:kern w:val="0"/>
                <w:sz w:val="15"/>
                <w:szCs w:val="15"/>
              </w:rPr>
              <w:t>TD75,B6550,α=0°,v=0.8,,L=14050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contextualSpacing/>
              <w:jc w:val="center"/>
              <w:rPr>
                <w:sz w:val="15"/>
                <w:szCs w:val="15"/>
              </w:rPr>
            </w:pPr>
            <w:r w:rsidRPr="00677D1F">
              <w:rPr>
                <w:rFonts w:ascii="宋体" w:eastAsia="宋体" w:hAnsi="宋体" w:cs="宋体" w:hint="eastAsia"/>
                <w:color w:val="000000"/>
                <w:kern w:val="0"/>
                <w:sz w:val="15"/>
                <w:szCs w:val="15"/>
              </w:rPr>
              <w:t>TD75,B6550,α=0°,v=0.8,,L=14050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斗式提升机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TD315型,TD315-SD-C3-左-20.043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斗式提升机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TD315型,TD315-SD-C3-左-20.043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手动插板阀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300*300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吨袋包装机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≥15包/h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QD型,5t,A6,Lk=28.5m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手动单轨小车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SDX-3型,Q=3t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手动葫芦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Q=3t,H=24m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手动单轨小车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SDX-3型,Q=5t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手动插板阀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Q=5t,H=9m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悬挂式永磁除铁器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RCYB-6,磁场强度≥65mT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强力双光辊破碎机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PGYQ-1012,1000*1200处理能力50～60t/h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电动葫芦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CD-3[[1]],Q=3t,H=24m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成品料仓</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V=180m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DJⅡ型波状挡边带式输送机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B=1000,β=α=49.7271°,L=27700（水平距离）</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64</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氯化原料库</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抓斗吊钩桥式起重机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Q=5t,Lk=28.5m,A6,H=12m,配用抓斗：2.5m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手动式平板闸门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SLCd-06,400*400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电磁振动给料机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GZ4,P=0.45kW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附电动滚筒P=3kW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手动单轨小车</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69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悬挂式电磁除铁器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RCD-6,B=650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工业盐输送系统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配套控制柜</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石油焦输送系统</w:t>
            </w:r>
          </w:p>
        </w:tc>
        <w:tc>
          <w:tcPr>
            <w:tcW w:w="3688" w:type="dxa"/>
            <w:vAlign w:val="center"/>
          </w:tcPr>
          <w:p w:rsidR="00D228BE" w:rsidRPr="00677D1F" w:rsidRDefault="00332EB6" w:rsidP="00677D1F">
            <w:pPr>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配套控制柜</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盐干燥系统</w:t>
            </w:r>
          </w:p>
        </w:tc>
        <w:tc>
          <w:tcPr>
            <w:tcW w:w="3688" w:type="dxa"/>
            <w:vAlign w:val="center"/>
          </w:tcPr>
          <w:p w:rsidR="00D228BE" w:rsidRPr="00677D1F" w:rsidRDefault="00332EB6" w:rsidP="00677D1F">
            <w:pPr>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配套控制柜</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74</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氯化车间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Lk=21.3m,Q=10t,H=10m,A7,P=46.5kW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手动插板阀</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皮带配料称</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附电动滚筒</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滚筒输送机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P=2.6kW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Q=20t/5t,Lk=26.5m,H=30m,A5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79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氯气缓冲罐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φ1600*2850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熔盐氯化炉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140t/d,P=600kW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81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1#收尘器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2#收尘器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一级洗淋塔</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1#循环泵槽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V=22m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Q=120m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/h,H=32m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1#套管冷却器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F=96m</w:t>
            </w:r>
            <w:r w:rsidRPr="00677D1F">
              <w:rPr>
                <w:rFonts w:ascii="宋体" w:eastAsia="宋体" w:hAnsi="宋体" w:cs="宋体" w:hint="eastAsia"/>
                <w:color w:val="000000"/>
                <w:kern w:val="0"/>
                <w:sz w:val="15"/>
                <w:szCs w:val="15"/>
                <w:vertAlign w:val="superscript"/>
              </w:rPr>
              <w:t>2</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泵槽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H=38m,Q=m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89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二级喷淋冷凝他</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φ1200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循环泵槽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V=22m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/h,H=32m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套管冷却器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F=144m</w:t>
            </w:r>
            <w:r w:rsidRPr="00677D1F">
              <w:rPr>
                <w:rFonts w:ascii="宋体" w:eastAsia="宋体" w:hAnsi="宋体" w:cs="宋体" w:hint="eastAsia"/>
                <w:color w:val="000000"/>
                <w:kern w:val="0"/>
                <w:sz w:val="15"/>
                <w:szCs w:val="15"/>
                <w:vertAlign w:val="superscript"/>
              </w:rPr>
              <w:t>2</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沉降槽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泥浆槽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/h,H=30m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泥浆槽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/h,H=45m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泵槽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99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Q=54m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/h,H=38m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捕滴器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泵槽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V=15m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氯气混合器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104</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精制车间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四氯化钛接收罐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φ2400*1400,附搅拌电动机,P=2.2kW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/h,H=24m,P=5.5kW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铝粉混合罐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φ2400*1400附搅拌电动机P=2.2kW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Q=54m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/h,H=24m,P=11kW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加料泵槽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φ2400*1600附搅拌电动机P=2.2kW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109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蒸馏釜</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φ3800*2600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蒸馏塔</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φ1200*21745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管式换热器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F=120m</w:t>
            </w:r>
            <w:r w:rsidRPr="00677D1F">
              <w:rPr>
                <w:rFonts w:ascii="宋体" w:eastAsia="宋体" w:hAnsi="宋体" w:cs="宋体" w:hint="eastAsia"/>
                <w:color w:val="000000"/>
                <w:kern w:val="0"/>
                <w:sz w:val="15"/>
                <w:szCs w:val="15"/>
                <w:vertAlign w:val="superscript"/>
              </w:rPr>
              <w:t>2</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管式换热器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F=50m</w:t>
            </w:r>
            <w:r w:rsidRPr="00677D1F">
              <w:rPr>
                <w:rFonts w:ascii="宋体" w:eastAsia="宋体" w:hAnsi="宋体" w:cs="宋体" w:hint="eastAsia"/>
                <w:color w:val="000000"/>
                <w:kern w:val="0"/>
                <w:sz w:val="15"/>
                <w:szCs w:val="15"/>
                <w:vertAlign w:val="superscript"/>
              </w:rPr>
              <w:t>2</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检测槽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浮阀塔蒸馏釜</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浮阀塔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管式换热器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四氯化硅储槽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119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泥浆槽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120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产品检测槽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回流槽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沉降槽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运输罐</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液下泵</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水解罐</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计量罐</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矿浆蒸发炉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129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渣桶</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电动单梁悬挂起重机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LX型,Q=5t,S=3.4m,H=16m,A5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LD型,Q=5t,Lk=10.5m,H=36m,A5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手动单轨小车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SDX-3,Q=3t,H=6m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133</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氯化精制尾气处理系统</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水洗塔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碱洗塔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碱液循环槽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Q=40m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Q=25000m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139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Q=45000m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折流板槽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141</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还蒸准备间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酸洗回转机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非标n=17r/min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双梁桥式起重机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WXD41-8135-87,P=4.0kW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储酸罐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QD型</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氟塑料泵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V=4m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,φ1600*2000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直流电焊机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40FSB-15,Q=5m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砂轮机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砂轮切割机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台式钻床</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ZQ4015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149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交流电焊机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车上反应器翻转架</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电动平车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载荷10t,P=3.5kW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152</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还原蒸馏车间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精四氯化钛中转槽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φ3228*12180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单车间设备量，共2个车间</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磁力泵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双梁桥式起重机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Lk=28.5m,H=14m,A6,Q=50t/20t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精四氯化钛高位槽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φ2420*4000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还原蒸馏反应器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φ2072*6520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还原蒸馏炉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φ3580*7460,N=900kW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158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蒸馏冷凝支桶</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N总=100kW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159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蒸馏真空系统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筒体冷却风机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Q=5788～10575m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/h,2900r/min,P=2613Pa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大盖冷却风机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预抽真空系统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Q=565～1131m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/h,1450r/min,P=245Pa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废气真空系统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氩气缓冲罐</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精镁真空抬包</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Q=3t,φ1964*2100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液镁抬包车</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炉壳真空系统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排氯化镁真空系统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169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氯化镁抬包</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Q=4t,φ1964*2100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氯化镁抬包车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15t转台</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冷却器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清渣翻转装置</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电动平板车</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储气罐</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反应器支桶</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翻转支架</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178</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海绵钛取出车间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QD,Q=32/16t,Lk=31.5m,A6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179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清渣翻转装置</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翻转支架</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反应器支架</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液压顶出机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2500tf</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海绵钛收集箱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vertAlign w:val="superscript"/>
              </w:rPr>
            </w:pPr>
            <w:r w:rsidRPr="00677D1F">
              <w:rPr>
                <w:rFonts w:ascii="宋体" w:eastAsia="宋体" w:hAnsi="宋体" w:cs="宋体" w:hint="eastAsia"/>
                <w:color w:val="000000"/>
                <w:kern w:val="0"/>
                <w:sz w:val="15"/>
                <w:szCs w:val="15"/>
              </w:rPr>
              <w:t>V=3.5m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还原罐维修准备台</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工作负荷300kg</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钛坨处理台</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工作负荷10000kg</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渣皮分拣装置</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还原罐清理台</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188</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海绵钛破碎包装车间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Q=20/5t,Lk=31.5m,A6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单车间设备量，共3个车间</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189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吊钩秤</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海绵钛切片机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1800tf</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大倾角胶带机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B800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齿状盘式粗级破碎机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大倾角胶带机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B650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齿状盘式破碎机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大倾角胶带机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B650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B650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三层振动筛</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198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手拉葫芦</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199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电磁除铁器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RCDB-6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分拣输送机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B10000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大倾角胶带机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电流动三通</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手动平板闸门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胶带定量给料机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分拣输送机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B1000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计量秤</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海绵钛混料装置</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分拣输送机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B1000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209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无动力辊道输送机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辊道式电子台秤</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真空泵</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齿辊式破碎机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振动筛</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214</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还原尾气处理</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水洗塔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碱洗塔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碱液循环槽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Q=25000m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219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折流板槽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220</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液碱储库</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FSB型氟塑料泵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80FSB-50L,Q=50m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/h,H=50m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FSB型氟塑料泵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65FSB-50L,Q=35m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/h,H=50m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碱液槽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手动截止阀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J11F-16,DN65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手动截止阀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J11F-16,DN50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手动截止阀</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J41F-16C,DN80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226</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液氩储库</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低温液氩贮槽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φ1800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汽化器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缓冲罐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φ1204</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229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手动单轨小车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SG-3,Q=3t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手拉葫芦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Q=3t,H=5m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231</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镁电解车间（含镁精炼）</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电动双梁绝缘桥式起重机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QY型起重机,Q=16/3.2t,Lk=28.5m,H=18m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多级电解槽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90～165kA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氯气导管系统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φ600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多用途台包</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单口坩埚Q=3t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熔体缓冲箱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V=0.4m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氯化镁台包</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单口坩埚Q=3t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237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粗镁真空台包</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单口坩埚Q=3t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烤槽器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162kW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239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电动平板车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Q=3220～6978m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盐箱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V=0.4m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坩埚翻转架</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Q=15t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真空缓冲罐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V=3m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坩埚</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Q=15t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电热坩埚炉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Q=15t,N=360kW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精镁真空台包</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单口坩埚Q=15t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罗茨真空泵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300L/s,P≤-0.016MPa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氩气缓冲罐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V=3m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249</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氯压机室</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液环式氯压机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P=185kW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带式除尘器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F=400m</w:t>
            </w:r>
            <w:r w:rsidRPr="00677D1F">
              <w:rPr>
                <w:rFonts w:ascii="宋体" w:eastAsia="宋体" w:hAnsi="宋体" w:cs="宋体" w:hint="eastAsia"/>
                <w:color w:val="000000"/>
                <w:kern w:val="0"/>
                <w:sz w:val="15"/>
                <w:szCs w:val="15"/>
                <w:vertAlign w:val="superscript"/>
              </w:rPr>
              <w:t>2</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硫酸洗涤循环泵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P=7.5</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浓硫酸泵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P=3</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微热再生干燥器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P=10</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废酸泵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P=3</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酸分离器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硫酸冷却器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F=15m</w:t>
            </w:r>
            <w:r w:rsidRPr="00677D1F">
              <w:rPr>
                <w:rFonts w:ascii="宋体" w:eastAsia="宋体" w:hAnsi="宋体" w:cs="宋体" w:hint="eastAsia"/>
                <w:color w:val="000000"/>
                <w:kern w:val="0"/>
                <w:sz w:val="15"/>
                <w:szCs w:val="15"/>
                <w:vertAlign w:val="superscript"/>
              </w:rPr>
              <w:t>2</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分离器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259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螺旋板换热器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洗涤净化塔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硫酸储槽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硫酸高位槽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除沫器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264</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事故氯气处理</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洗涤塔</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φ2000*15000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填料塔</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φ2000*15000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气水分离器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φ2500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碱洗循环槽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φ3000*3000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碱液槽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φ3000*3000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269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P=11kW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P=55kW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P=220kW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P=5.5kW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273</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干燥车间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盐储罐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φ2700*3100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圆盘给料机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PB800-Ⅲ</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刮板输送机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RMSS25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276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微波干燥器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P=150</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277</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电解、精制、铸锭车间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电解槽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移动式集钠罐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φ1270*1065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140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279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Q=10t,Lk=16.5m,P总=12</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Q=5t,Lk=16.5m,P总=10</w:t>
            </w:r>
            <w:r w:rsidRPr="00677D1F">
              <w:rPr>
                <w:rFonts w:ascii="宋体" w:eastAsia="宋体" w:hAnsi="宋体" w:cs="宋体"/>
                <w:color w:val="000000"/>
                <w:kern w:val="0"/>
                <w:sz w:val="15"/>
                <w:szCs w:val="15"/>
              </w:rPr>
              <w:t>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压缩空气储罐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φ2400*5400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氮气储罐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φ2400*5400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钠精制器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螺旋出渣机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P=11kW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氮气缓冲罐</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连续铸钠机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Q=2000t/a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精钠储罐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φ2600*4814</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真空缓冲罐</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V=2m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289</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钠电解氯压机室</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LDP-2t型,Q=2t,Lk=22.5m,H=18m,P总=6kW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微热再生干燥器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WQZ-3,P=10kW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液环式氯压机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Q=1600m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/h,P=0.1～0.15MPa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螺旋板换热器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分离器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除沫器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φ4000*10200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洗涤净化塔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硫酸洗涤循环泵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Q=40m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/h,H=18m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硫酸冷却器</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299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浓硫酸高位槽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φ1030*2260,V=1.5m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废酸储槽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浓硫酸泵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/h,H=20m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浓硫酸储槽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废酸排酸泵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Q=15m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/h,H=20m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304</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钠电解事故氯气处理</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洗涤塔</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φ2000*14000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填料塔</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φ2000*14000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气水分离器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φ2500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碱洗循环槽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φ3000*3000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液碱槽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φ3000*3000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309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80FIU-ZK-45-35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耐腐蚀耐磨砂浆泵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150FIU-ZK-200-35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钛风机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9-19-14D,1450r/min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耐腐蚀液下泵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50FSY-30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313</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氯气液化</w:t>
            </w:r>
            <w:r w:rsidRPr="00677D1F">
              <w:rPr>
                <w:rFonts w:ascii="宋体" w:eastAsia="宋体" w:hAnsi="宋体" w:cs="宋体" w:hint="eastAsia"/>
                <w:color w:val="000000"/>
                <w:kern w:val="0"/>
                <w:sz w:val="15"/>
                <w:szCs w:val="15"/>
              </w:rPr>
              <w:lastRenderedPageBreak/>
              <w:t>及储存</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lastRenderedPageBreak/>
              <w:t>冷冻机组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液化能力5t/h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液化器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液化能力5t/h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315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液氯储槽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40m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316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Q=5t,Lk=22.5m,P总=15kW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317</w:t>
            </w:r>
          </w:p>
        </w:tc>
        <w:tc>
          <w:tcPr>
            <w:tcW w:w="561" w:type="dxa"/>
            <w:vMerge w:val="restart"/>
            <w:vAlign w:val="center"/>
          </w:tcPr>
          <w:p w:rsidR="00D228BE" w:rsidRPr="00677D1F" w:rsidRDefault="00332EB6" w:rsidP="00677D1F">
            <w:pPr>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熔铸车间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319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自动配混压系统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油压机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100MN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等离子焊箱</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自耗炉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Q=3t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自耗炉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Q=10t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5"/>
                <w:szCs w:val="15"/>
              </w:rPr>
            </w:pPr>
            <w:r w:rsidRPr="00677D1F">
              <w:rPr>
                <w:rFonts w:ascii="宋体" w:eastAsia="宋体" w:hAnsi="宋体" w:cs="宋体" w:hint="eastAsia"/>
                <w:b/>
                <w:color w:val="000000"/>
                <w:kern w:val="0"/>
                <w:sz w:val="15"/>
                <w:szCs w:val="15"/>
              </w:rPr>
              <w:t>14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3t炉配坩埚</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10t炉配坩埚</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坩埚、铸锭清洗机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329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闭式冷却塔</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平板小车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车床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332</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锻造车间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快锻机生产线</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快锻机组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80/100MN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快锻机组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50MN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快锻机组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25MN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台车式燃气加热炉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339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台车式电阻加热炉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热处理炉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装取料车</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小规格棒材生产线</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精锻机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箱式电阻加热炉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热处理炉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矫直机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剥皮机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349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抛光机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轧环机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轧环机生产线</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立车</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打磨生产线</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自动打磨机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354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打磨机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机加生产线</w:t>
            </w: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车床</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C50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卧式带锯床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龙门铣床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359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端面铣床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刨床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车床</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C30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平板小车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363</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板材生成线车间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可逆热轧机组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L=2450mm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主辅传系统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厚板矫直机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L=2450mm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369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薄板矫直机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L=2450mm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隧道式天然气加热炉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辊底式电阻加热炉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辊底式电阻退火炉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剪切中心</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抛丸机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喷淋酸洗机组</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砂光机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真空蠕变矫形炉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水浸探伤仪</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379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打磨机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平板磨光机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淬火炉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电阻压矫形炉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火焰切割机组</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压辊磨床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废酸处理</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386</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焊管车间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7</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开卷机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389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焊管机列</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感应退火炉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管材矫直机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φ10～40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管材矫直机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φ40～63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393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铣刀</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带式研磨机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水压试验机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涡流探伤机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397</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无缝管车间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16t,A6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399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电阻加热炉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立式油压穿孔机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油压挤压机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斜轧钻孔机组</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深孔钻镗床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无心车床</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LG120轧管机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LD120轧管机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LG90轧管机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LD90轧管机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409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LG60轧管机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LD60轧管机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LG30轧管机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LD30轧管机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LD8轧管机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矫直机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真空退火炉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探伤仪</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气密试验机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水压试验机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419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管材酸洗槽组</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自动切管机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超声波清洗装置系统</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422</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残极回收车间</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电动双梁桥式天车</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5t,A6</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电子束冷床炉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纯钛屑除油清洗线</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合金屑除油清洗线</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粗破碎线</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429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超声除油清洗线</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剪板机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捆扎打包机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432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鳄鱼剪</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压块机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烘干炉</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手动等离子焊机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抛丸机</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光谱鉴别仪</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438</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空压站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离心式空气压缩机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Q=280m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/min,P=0.85MPa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439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余热再生干燥装置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Q=280m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/min,P=0.85MPa,排气压力露点温度：≤-40℃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LD-10,Q=10t,H=9m,S=16.5m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441</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氮气站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离心式空气压缩机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/min,P=1.0MPa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余热再生干燥装置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/min,P=1.0MPa,排气压力露点温度：≤-40℃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制氮机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/h,N</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纯度：99.5%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制氮机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/h,N</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纯度：99.999%</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电动单梁桥式起重机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LD-5,Q=5t,H=9m,S=13.5m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446</w:t>
            </w:r>
          </w:p>
        </w:tc>
        <w:tc>
          <w:tcPr>
            <w:tcW w:w="561"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制氧站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制氧机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Q=180Nm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/h,纯度93%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447</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冷冻站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高效螺杆式低温机组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载冷剂：55%乙二醇,制冷量：778kW,供水温度：-30℃,回水温度：-25℃,整体组装式</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乙二醇循环泵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Q=250m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/h,扬程：60m乙二醇水柱,工作介质：55%乙二醇溶液,介质温度：-30℃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449</w:t>
            </w:r>
          </w:p>
        </w:tc>
        <w:tc>
          <w:tcPr>
            <w:tcW w:w="561"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天然气调压站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天然气调压装置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流量0～7000Nm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/h.进口压力：2.4MPa,出口压力：0.1～0.3MPa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450</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电炉煤气储存与加压</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储气柜</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单段式橡胶膜,Q=30000Nm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,气压：2.5～4kPa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煤气派送机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Q=12000Nm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,升压50kPa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吊钩桥式起重机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Q=10t,H=9m,S=10.5m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453</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锅炉房/软水站</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天然气锅炉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Q=35t,P=1.25MPa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电炉煤气锅炉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Q=30t,P=1.25MPa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给水泵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/h,P=1.66MPa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全自动钠离子交换器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Q=40m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软水泵</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Q=40t,P=0.6MPa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电炉煤气引风机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,P=5kPa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459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电炉煤气引风机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Q=30000Nm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,P=3kPa</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取样器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φ273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软水箱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V=30m</w:t>
            </w:r>
            <w:r w:rsidRPr="00677D1F">
              <w:rPr>
                <w:rFonts w:ascii="宋体" w:eastAsia="宋体" w:hAnsi="宋体" w:cs="宋体" w:hint="eastAsia"/>
                <w:color w:val="000000"/>
                <w:kern w:val="0"/>
                <w:sz w:val="15"/>
                <w:szCs w:val="15"/>
                <w:vertAlign w:val="superscript"/>
              </w:rPr>
              <w:t>3</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加药装置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不锈钢溶解箱、搅拌器、计量</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热力除氧器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Q=50t/h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连续排污膨胀器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φ1200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定期排污膨胀器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φ1200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466</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脱硫脱硝净化</w:t>
            </w:r>
            <w:r w:rsidRPr="00677D1F">
              <w:rPr>
                <w:rFonts w:ascii="宋体" w:eastAsia="宋体" w:hAnsi="宋体" w:cs="宋体" w:hint="eastAsia"/>
                <w:color w:val="000000"/>
                <w:kern w:val="0"/>
                <w:sz w:val="15"/>
                <w:szCs w:val="15"/>
              </w:rPr>
              <w:lastRenderedPageBreak/>
              <w:t>处理</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lastRenderedPageBreak/>
              <w:t>石灰-石膏湿法脱硫装置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入口烟气量：30000Nm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入口烟气温度：200℃，</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入口烟气含尘量：10mg/m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lastRenderedPageBreak/>
              <w:t>入口烟气SO</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含量：≤600mg/Nm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出口烟气含尘量：≤10mg/m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出口烟气SO</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含量：≤35mg/Nm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lastRenderedPageBreak/>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467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SNCR+SCR脱硝装置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入口烟气量：30000～40000Nm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入口烟气温度：200℃，</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入口烟气含尘量：10mg/m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入口烟气SO</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含量：≤250mg/Nm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出口烟气含尘量：≤10mg/m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出口烟气SO</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含量：≤50mg/Nm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468</w:t>
            </w:r>
          </w:p>
        </w:tc>
        <w:tc>
          <w:tcPr>
            <w:tcW w:w="561" w:type="dxa"/>
            <w:vMerge w:val="restart"/>
            <w:vAlign w:val="center"/>
          </w:tcPr>
          <w:p w:rsidR="00D228BE" w:rsidRPr="00677D1F" w:rsidRDefault="00D228BE" w:rsidP="00677D1F">
            <w:pPr>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ZMC-2×5C-Ⅱ,F=1195.2m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469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G4-68No.112D,Q=58633m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/h,H=4047Pa,n=960r/min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ZMC-7C-Ⅰ,F=672m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4-68No.10D,Q=35420m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/h,H=3440Pa,n=1450r/min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n-PLN-Ⅰ,F=3000m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4-68No.20D,Q=172383m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/h,H=3128Pa,n=710r/min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ZMB-5B-Ⅰ,F=310m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9-26No.11.2D,Q=19967m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/h,H=3273Pa,n=2900r/min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476</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ZMB-2×7C-Ⅱ,F=1400m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477</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G4-68No.11.2D,Q=76674m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/h,H=3263Pa,n=1450r/min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478</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n-PLN-Ⅰ,F=2000m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479</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Y4-73No.18D,Q=1218300m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/h,H=2908Pa,n=960r/min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480</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ZMC-7C-Ⅰ,F=672m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481</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4-68No.10D,Q=35420m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/h,H=3440Pa,n=1450r/min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482</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n-PLN-Ⅰ,F=2000m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,滤料材质：P84</w:t>
            </w:r>
          </w:p>
        </w:tc>
        <w:tc>
          <w:tcPr>
            <w:tcW w:w="73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483</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G4-68No.11.2D,Q=76674m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/h,H=3263Pa,n=1450r/min</w:t>
            </w:r>
          </w:p>
        </w:tc>
        <w:tc>
          <w:tcPr>
            <w:tcW w:w="73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484</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脉冲袋式除尘器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ZMB-5B-Ⅰ,F=310m</w:t>
            </w:r>
            <w:r w:rsidRPr="00677D1F">
              <w:rPr>
                <w:rFonts w:ascii="宋体" w:eastAsia="宋体" w:hAnsi="宋体" w:cs="宋体" w:hint="eastAsia"/>
                <w:color w:val="000000"/>
                <w:kern w:val="0"/>
                <w:sz w:val="15"/>
                <w:szCs w:val="15"/>
                <w:vertAlign w:val="superscript"/>
              </w:rPr>
              <w:t>2</w:t>
            </w:r>
            <w:r w:rsidRPr="00677D1F">
              <w:rPr>
                <w:rFonts w:ascii="宋体" w:eastAsia="宋体" w:hAnsi="宋体" w:cs="宋体" w:hint="eastAsia"/>
                <w:color w:val="000000"/>
                <w:kern w:val="0"/>
                <w:sz w:val="15"/>
                <w:szCs w:val="15"/>
              </w:rPr>
              <w:t>,滤料材质：涤纶针刺毡</w:t>
            </w:r>
          </w:p>
        </w:tc>
        <w:tc>
          <w:tcPr>
            <w:tcW w:w="73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485</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高压离心风机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9-26No.11.2D,Q=19967m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/h,H=3273Pa,n=2900r/min</w:t>
            </w:r>
          </w:p>
        </w:tc>
        <w:tc>
          <w:tcPr>
            <w:tcW w:w="73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486</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487</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488</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换热机组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汽水换热机组，换热量Q=3960kW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489</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换热机组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汽水换热机组，换热量Q=3960kW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490</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换热机组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汽水换热机组，换热量Q=3300kW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491</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换热机组</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汽水换热机组，换热量Q=5280kW</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492</w:t>
            </w:r>
          </w:p>
        </w:tc>
        <w:tc>
          <w:tcPr>
            <w:tcW w:w="561"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电炉烟气净化系统</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处理烟气量Q=6000Nm</w:t>
            </w:r>
            <w:r w:rsidRPr="00677D1F">
              <w:rPr>
                <w:rFonts w:ascii="宋体" w:eastAsia="宋体" w:hAnsi="宋体" w:cs="宋体" w:hint="eastAsia"/>
                <w:color w:val="000000"/>
                <w:kern w:val="0"/>
                <w:sz w:val="15"/>
                <w:szCs w:val="15"/>
                <w:vertAlign w:val="superscript"/>
              </w:rPr>
              <w:t>3</w:t>
            </w:r>
            <w:r w:rsidRPr="00677D1F">
              <w:rPr>
                <w:rFonts w:ascii="宋体" w:eastAsia="宋体" w:hAnsi="宋体" w:cs="宋体" w:hint="eastAsia"/>
                <w:color w:val="000000"/>
                <w:kern w:val="0"/>
                <w:sz w:val="15"/>
                <w:szCs w:val="15"/>
              </w:rPr>
              <w:t>/h</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493</w:t>
            </w:r>
          </w:p>
        </w:tc>
        <w:tc>
          <w:tcPr>
            <w:tcW w:w="56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化验、质检系统</w:t>
            </w: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电子高温拉力试验机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电子拉力试验机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自动杯突试验机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摆锤式冲击试验机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板材冷弯试验机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高频疲劳试验机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499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高温蠕变与持久试验机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60</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倒置式金相显微镜</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放大倍数：32×～1600×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501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真空自耗电弧炉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铸锭容量：1kg。整机含1套电源及控制系统，2套电弧炉及配套系统</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X射线荧光光谱仪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顺序扫描式,分析范围：至少0～U</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直读光谱仪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真空型，焦距：750～1000mm，具有钛基及镁基物料的元素分析功能</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电感耦合等离子体发射光谱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波长范围：170～900nm，垂直矩管，双向观测</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红外碳硫仪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双炉（高频炉+电阻炉），测试范围：碳1ppm～20%，硫1ppm～20%，配卤素捕集装置</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高频红外碳硫仪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单炉（高频炉），测试范围：碳0.6ppm～6.0%，硫0.6ppm～1.75%，配卤素捕集装置</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氧/氮联测仪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测试范围：氧0.02ppm～5.0%，氮0.02ppm～3.0%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氧/氮/氢联测仪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测试范围：氧0.02ppm～5.0%，氮0.02ppm～3.0%，氢0.04ppm～0.25%</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509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红外光谱仪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气相色谱仪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自动电位滴定仪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终点指示：电位突变</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原子吸收分光光度计</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分光光度计</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波长范围：320～1100nm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紫外/可见分光光度计</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波长范围：190～1000nm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电子式布式硬度计</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测定范围：4～450HBS，4～650HBW，试验力：14700N等</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粉末制品液压机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5000kN</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全自动工业分析仪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双炉体，控温范围：室温不可信999℃，试样个数：19个</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自动量热仪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立式，双控，温度分辨率：0.0001℃</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519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自动测硫仪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S：0.01～20%，试样个数：约20个</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铣床</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工作台面积：250×1120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陶瓷纤维马弗炉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6～9L,温度：1000～1400℃,待定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振动研磨机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最小出料粒度：≤0.045mm</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压片机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40t</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6</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高频熔融炉</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2头,风冷式,配套黄白金坩埚4个</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微波消解仪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10～12套罐</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综合水质分析仪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测试内容：温度、电导率、pH值、溶解氧、浊度</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微机BOD</w:t>
            </w:r>
            <w:r w:rsidRPr="00677D1F">
              <w:rPr>
                <w:rFonts w:ascii="宋体" w:eastAsia="宋体" w:hAnsi="宋体" w:cs="宋体" w:hint="eastAsia"/>
                <w:color w:val="000000"/>
                <w:kern w:val="0"/>
                <w:sz w:val="15"/>
                <w:szCs w:val="15"/>
                <w:vertAlign w:val="subscript"/>
              </w:rPr>
              <w:t>5</w:t>
            </w:r>
            <w:r w:rsidRPr="00677D1F">
              <w:rPr>
                <w:rFonts w:ascii="宋体" w:eastAsia="宋体" w:hAnsi="宋体" w:cs="宋体" w:hint="eastAsia"/>
                <w:color w:val="000000"/>
                <w:kern w:val="0"/>
                <w:sz w:val="15"/>
                <w:szCs w:val="15"/>
              </w:rPr>
              <w:t>测定仪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测量范围：0～1000mg，含正常工作必需的所有配套设施</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COD测试仪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主机+消解仪</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529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总氮测定仪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氯气中三氯化单测定装置</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氯气专用气相色谱</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气体水分分析仪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开口闪点测试仪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实验温度：80～400℃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闭口闪点测试仪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实验温度：30～200℃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微量水分测定仪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测试范围：5μg～100mgH</w:t>
            </w:r>
            <w:r w:rsidRPr="00677D1F">
              <w:rPr>
                <w:rFonts w:ascii="宋体" w:eastAsia="宋体" w:hAnsi="宋体" w:cs="宋体" w:hint="eastAsia"/>
                <w:color w:val="000000"/>
                <w:kern w:val="0"/>
                <w:sz w:val="15"/>
                <w:szCs w:val="15"/>
                <w:vertAlign w:val="subscript"/>
              </w:rPr>
              <w:t>2</w:t>
            </w:r>
            <w:r w:rsidRPr="00677D1F">
              <w:rPr>
                <w:rFonts w:ascii="宋体" w:eastAsia="宋体" w:hAnsi="宋体" w:cs="宋体" w:hint="eastAsia"/>
                <w:color w:val="000000"/>
                <w:kern w:val="0"/>
                <w:sz w:val="15"/>
                <w:szCs w:val="15"/>
              </w:rPr>
              <w:t>O</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气体采样器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4</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lastRenderedPageBreak/>
              <w:t>537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自动烟气分析仪</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538</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半自动气体分析器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至少六联管</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539</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振筛机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筛框直径：φ200或φ300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3</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hint="eastAsia"/>
                <w:color w:val="000000"/>
                <w:sz w:val="18"/>
                <w:szCs w:val="18"/>
              </w:rPr>
              <w:t>540</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海绵钛试样破碎机</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待定</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541</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通风柜</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1200×850×2400</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个</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约27</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542</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纯水器</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产水量：100t/h,含纯水自动供水系统</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套</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543</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电子天平</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200g/0.1mg</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台</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8</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544</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通用试验设施</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批</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545</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其他设施</w:t>
            </w:r>
          </w:p>
        </w:tc>
        <w:tc>
          <w:tcPr>
            <w:tcW w:w="368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化验室柜、架，玻璃器皿、材料、工器具等</w:t>
            </w: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批</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546</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化学试剂</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批</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r w:rsidR="00D228BE" w:rsidRPr="00677D1F">
        <w:trPr>
          <w:trHeight w:val="340"/>
          <w:jc w:val="center"/>
        </w:trPr>
        <w:tc>
          <w:tcPr>
            <w:tcW w:w="685" w:type="dxa"/>
            <w:vAlign w:val="center"/>
          </w:tcPr>
          <w:p w:rsidR="00D228BE" w:rsidRPr="00677D1F" w:rsidRDefault="00332EB6" w:rsidP="00677D1F">
            <w:pPr>
              <w:contextualSpacing/>
              <w:jc w:val="center"/>
              <w:rPr>
                <w:rFonts w:asciiTheme="minorEastAsia" w:hAnsiTheme="minorEastAsia" w:cs="宋体"/>
                <w:color w:val="000000"/>
                <w:sz w:val="18"/>
                <w:szCs w:val="18"/>
              </w:rPr>
            </w:pPr>
            <w:r w:rsidRPr="00677D1F">
              <w:rPr>
                <w:rFonts w:asciiTheme="minorEastAsia" w:hAnsiTheme="minorEastAsia" w:cs="宋体" w:hint="eastAsia"/>
                <w:color w:val="000000"/>
                <w:sz w:val="18"/>
                <w:szCs w:val="18"/>
              </w:rPr>
              <w:t>547</w:t>
            </w:r>
          </w:p>
        </w:tc>
        <w:tc>
          <w:tcPr>
            <w:tcW w:w="56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202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检查、取样工器具</w:t>
            </w:r>
          </w:p>
        </w:tc>
        <w:tc>
          <w:tcPr>
            <w:tcW w:w="3688"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c>
          <w:tcPr>
            <w:tcW w:w="73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批</w:t>
            </w:r>
          </w:p>
        </w:tc>
        <w:tc>
          <w:tcPr>
            <w:tcW w:w="73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5"/>
                <w:szCs w:val="15"/>
              </w:rPr>
            </w:pPr>
            <w:r w:rsidRPr="00677D1F">
              <w:rPr>
                <w:rFonts w:ascii="宋体" w:eastAsia="宋体" w:hAnsi="宋体" w:cs="宋体" w:hint="eastAsia"/>
                <w:color w:val="000000"/>
                <w:kern w:val="0"/>
                <w:sz w:val="15"/>
                <w:szCs w:val="15"/>
              </w:rPr>
              <w:t>1</w:t>
            </w:r>
          </w:p>
        </w:tc>
        <w:tc>
          <w:tcPr>
            <w:tcW w:w="63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5"/>
                <w:szCs w:val="15"/>
              </w:rPr>
            </w:pPr>
          </w:p>
        </w:tc>
      </w:tr>
    </w:tbl>
    <w:p w:rsidR="00D228BE" w:rsidRPr="00677D1F" w:rsidRDefault="00D228BE" w:rsidP="00677D1F">
      <w:pPr>
        <w:widowControl/>
        <w:spacing w:line="240" w:lineRule="exact"/>
        <w:contextualSpacing/>
        <w:rPr>
          <w:rFonts w:ascii="宋体" w:eastAsia="宋体" w:hAnsi="宋体" w:cs="宋体"/>
          <w:color w:val="000000"/>
          <w:kern w:val="0"/>
          <w:sz w:val="20"/>
          <w:szCs w:val="20"/>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3.1.4</w:t>
      </w:r>
      <w:r w:rsidRPr="00677D1F">
        <w:rPr>
          <w:rFonts w:ascii="宋体" w:hAnsi="宋体" w:hint="eastAsia"/>
          <w:sz w:val="28"/>
          <w:szCs w:val="28"/>
        </w:rPr>
        <w:t xml:space="preserve"> 主要物料及能源消耗</w:t>
      </w:r>
    </w:p>
    <w:p w:rsidR="00D228BE" w:rsidRPr="00677D1F" w:rsidRDefault="00332EB6" w:rsidP="00677D1F">
      <w:pPr>
        <w:widowControl/>
        <w:spacing w:line="360" w:lineRule="auto"/>
        <w:contextualSpacing/>
        <w:outlineLvl w:val="3"/>
        <w:rPr>
          <w:rFonts w:asciiTheme="minorEastAsia" w:hAnsiTheme="minorEastAsia" w:cs="宋体"/>
          <w:b/>
          <w:bCs/>
          <w:color w:val="000000"/>
          <w:kern w:val="0"/>
          <w:sz w:val="24"/>
          <w:szCs w:val="24"/>
        </w:rPr>
      </w:pPr>
      <w:r w:rsidRPr="00677D1F">
        <w:rPr>
          <w:rFonts w:asciiTheme="minorEastAsia" w:hAnsiTheme="minorEastAsia" w:cs="Times New Roman"/>
          <w:b/>
          <w:bCs/>
          <w:color w:val="000000"/>
          <w:kern w:val="0"/>
          <w:sz w:val="24"/>
          <w:szCs w:val="24"/>
        </w:rPr>
        <w:t>3.1.4.1</w:t>
      </w:r>
      <w:r w:rsidRPr="00677D1F">
        <w:rPr>
          <w:rFonts w:asciiTheme="minorEastAsia" w:hAnsiTheme="minorEastAsia" w:cs="Times New Roman" w:hint="eastAsia"/>
          <w:b/>
          <w:bCs/>
          <w:color w:val="000000"/>
          <w:kern w:val="0"/>
          <w:sz w:val="24"/>
          <w:szCs w:val="24"/>
        </w:rPr>
        <w:t xml:space="preserve"> </w:t>
      </w:r>
      <w:r w:rsidRPr="00677D1F">
        <w:rPr>
          <w:rFonts w:asciiTheme="minorEastAsia" w:hAnsiTheme="minorEastAsia" w:cs="宋体" w:hint="eastAsia"/>
          <w:b/>
          <w:bCs/>
          <w:color w:val="000000"/>
          <w:kern w:val="0"/>
          <w:sz w:val="24"/>
          <w:szCs w:val="24"/>
        </w:rPr>
        <w:t>钛渣生产工艺</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（1）原料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精钛矿</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本项目购入的钛精矿平均成分详见表3.1-4。</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1-4  钛精矿成分表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467"/>
        <w:gridCol w:w="1087"/>
        <w:gridCol w:w="1088"/>
        <w:gridCol w:w="1086"/>
        <w:gridCol w:w="1086"/>
        <w:gridCol w:w="1088"/>
        <w:gridCol w:w="1086"/>
        <w:gridCol w:w="1084"/>
      </w:tblGrid>
      <w:tr w:rsidR="00D228BE" w:rsidRPr="00677D1F">
        <w:trPr>
          <w:trHeight w:val="340"/>
          <w:jc w:val="center"/>
        </w:trPr>
        <w:tc>
          <w:tcPr>
            <w:tcW w:w="1467"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项目</w:t>
            </w:r>
          </w:p>
        </w:tc>
        <w:tc>
          <w:tcPr>
            <w:tcW w:w="108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TiO</w:t>
            </w:r>
            <w:r w:rsidRPr="00677D1F">
              <w:rPr>
                <w:rFonts w:asciiTheme="minorEastAsia" w:eastAsiaTheme="minorEastAsia" w:hAnsiTheme="minorEastAsia"/>
                <w:sz w:val="21"/>
                <w:vertAlign w:val="subscript"/>
              </w:rPr>
              <w:t>2</w:t>
            </w:r>
          </w:p>
        </w:tc>
        <w:tc>
          <w:tcPr>
            <w:tcW w:w="108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FeO</w:t>
            </w:r>
          </w:p>
        </w:tc>
        <w:tc>
          <w:tcPr>
            <w:tcW w:w="108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Fe</w:t>
            </w:r>
            <w:r w:rsidRPr="00677D1F">
              <w:rPr>
                <w:rFonts w:asciiTheme="minorEastAsia" w:eastAsiaTheme="minorEastAsia" w:hAnsiTheme="minorEastAsia"/>
                <w:sz w:val="21"/>
                <w:vertAlign w:val="subscript"/>
              </w:rPr>
              <w:t>2</w:t>
            </w:r>
            <w:r w:rsidRPr="00677D1F">
              <w:rPr>
                <w:rFonts w:asciiTheme="minorEastAsia" w:eastAsiaTheme="minorEastAsia" w:hAnsiTheme="minorEastAsia"/>
                <w:sz w:val="21"/>
              </w:rPr>
              <w:t>O</w:t>
            </w:r>
            <w:r w:rsidRPr="00677D1F">
              <w:rPr>
                <w:rFonts w:asciiTheme="minorEastAsia" w:eastAsiaTheme="minorEastAsia" w:hAnsiTheme="minorEastAsia"/>
                <w:sz w:val="21"/>
                <w:vertAlign w:val="subscript"/>
              </w:rPr>
              <w:t>3</w:t>
            </w:r>
          </w:p>
        </w:tc>
        <w:tc>
          <w:tcPr>
            <w:tcW w:w="108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MnO</w:t>
            </w:r>
          </w:p>
        </w:tc>
        <w:tc>
          <w:tcPr>
            <w:tcW w:w="108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CaO</w:t>
            </w:r>
          </w:p>
        </w:tc>
        <w:tc>
          <w:tcPr>
            <w:tcW w:w="108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MgO</w:t>
            </w:r>
          </w:p>
        </w:tc>
        <w:tc>
          <w:tcPr>
            <w:tcW w:w="1084"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Al</w:t>
            </w:r>
            <w:r w:rsidRPr="00677D1F">
              <w:rPr>
                <w:rFonts w:asciiTheme="minorEastAsia" w:eastAsiaTheme="minorEastAsia" w:hAnsiTheme="minorEastAsia"/>
                <w:sz w:val="21"/>
                <w:vertAlign w:val="subscript"/>
              </w:rPr>
              <w:t>2</w:t>
            </w:r>
            <w:r w:rsidRPr="00677D1F">
              <w:rPr>
                <w:rFonts w:asciiTheme="minorEastAsia" w:eastAsiaTheme="minorEastAsia" w:hAnsiTheme="minorEastAsia"/>
                <w:sz w:val="21"/>
              </w:rPr>
              <w:t>O</w:t>
            </w:r>
            <w:r w:rsidRPr="00677D1F">
              <w:rPr>
                <w:rFonts w:asciiTheme="minorEastAsia" w:eastAsiaTheme="minorEastAsia" w:hAnsiTheme="minorEastAsia"/>
                <w:sz w:val="21"/>
                <w:vertAlign w:val="subscript"/>
              </w:rPr>
              <w:t>3</w:t>
            </w:r>
          </w:p>
        </w:tc>
      </w:tr>
      <w:tr w:rsidR="00D228BE" w:rsidRPr="00677D1F">
        <w:trPr>
          <w:trHeight w:val="340"/>
          <w:jc w:val="center"/>
        </w:trPr>
        <w:tc>
          <w:tcPr>
            <w:tcW w:w="146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wt%</w:t>
            </w:r>
          </w:p>
        </w:tc>
        <w:tc>
          <w:tcPr>
            <w:tcW w:w="1087"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47.53</w:t>
            </w:r>
          </w:p>
        </w:tc>
        <w:tc>
          <w:tcPr>
            <w:tcW w:w="108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35.52</w:t>
            </w:r>
          </w:p>
        </w:tc>
        <w:tc>
          <w:tcPr>
            <w:tcW w:w="108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9.5652</w:t>
            </w:r>
          </w:p>
        </w:tc>
        <w:tc>
          <w:tcPr>
            <w:tcW w:w="108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0.813</w:t>
            </w:r>
          </w:p>
        </w:tc>
        <w:tc>
          <w:tcPr>
            <w:tcW w:w="108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0.749</w:t>
            </w:r>
          </w:p>
        </w:tc>
        <w:tc>
          <w:tcPr>
            <w:tcW w:w="108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2.44</w:t>
            </w:r>
          </w:p>
        </w:tc>
        <w:tc>
          <w:tcPr>
            <w:tcW w:w="1084"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0.388</w:t>
            </w:r>
          </w:p>
        </w:tc>
      </w:tr>
      <w:tr w:rsidR="00D228BE" w:rsidRPr="00677D1F">
        <w:trPr>
          <w:trHeight w:val="340"/>
          <w:jc w:val="center"/>
        </w:trPr>
        <w:tc>
          <w:tcPr>
            <w:tcW w:w="146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项目</w:t>
            </w:r>
          </w:p>
        </w:tc>
        <w:tc>
          <w:tcPr>
            <w:tcW w:w="1087"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V</w:t>
            </w:r>
            <w:r w:rsidRPr="00677D1F">
              <w:rPr>
                <w:rFonts w:asciiTheme="minorEastAsia" w:eastAsiaTheme="minorEastAsia" w:hAnsiTheme="minorEastAsia"/>
                <w:sz w:val="21"/>
                <w:vertAlign w:val="subscript"/>
              </w:rPr>
              <w:t>2</w:t>
            </w:r>
            <w:r w:rsidRPr="00677D1F">
              <w:rPr>
                <w:rFonts w:asciiTheme="minorEastAsia" w:eastAsiaTheme="minorEastAsia" w:hAnsiTheme="minorEastAsia"/>
                <w:sz w:val="21"/>
              </w:rPr>
              <w:t>O</w:t>
            </w:r>
            <w:r w:rsidRPr="00677D1F">
              <w:rPr>
                <w:rFonts w:asciiTheme="minorEastAsia" w:eastAsiaTheme="minorEastAsia" w:hAnsiTheme="minorEastAsia"/>
                <w:sz w:val="21"/>
                <w:vertAlign w:val="subscript"/>
              </w:rPr>
              <w:t>5</w:t>
            </w:r>
          </w:p>
        </w:tc>
        <w:tc>
          <w:tcPr>
            <w:tcW w:w="108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SiO</w:t>
            </w:r>
            <w:r w:rsidRPr="00677D1F">
              <w:rPr>
                <w:rFonts w:asciiTheme="minorEastAsia" w:eastAsiaTheme="minorEastAsia" w:hAnsiTheme="minorEastAsia"/>
                <w:sz w:val="21"/>
                <w:vertAlign w:val="subscript"/>
              </w:rPr>
              <w:t>2</w:t>
            </w:r>
          </w:p>
        </w:tc>
        <w:tc>
          <w:tcPr>
            <w:tcW w:w="108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Cr</w:t>
            </w:r>
            <w:r w:rsidRPr="00677D1F">
              <w:rPr>
                <w:rFonts w:asciiTheme="minorEastAsia" w:eastAsiaTheme="minorEastAsia" w:hAnsiTheme="minorEastAsia"/>
                <w:sz w:val="21"/>
                <w:vertAlign w:val="subscript"/>
              </w:rPr>
              <w:t>2</w:t>
            </w:r>
            <w:r w:rsidRPr="00677D1F">
              <w:rPr>
                <w:rFonts w:asciiTheme="minorEastAsia" w:eastAsiaTheme="minorEastAsia" w:hAnsiTheme="minorEastAsia"/>
                <w:sz w:val="21"/>
              </w:rPr>
              <w:t>O</w:t>
            </w:r>
            <w:r w:rsidRPr="00677D1F">
              <w:rPr>
                <w:rFonts w:asciiTheme="minorEastAsia" w:eastAsiaTheme="minorEastAsia" w:hAnsiTheme="minorEastAsia"/>
                <w:sz w:val="21"/>
                <w:vertAlign w:val="subscript"/>
              </w:rPr>
              <w:t>3</w:t>
            </w:r>
          </w:p>
        </w:tc>
        <w:tc>
          <w:tcPr>
            <w:tcW w:w="108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S</w:t>
            </w:r>
          </w:p>
        </w:tc>
        <w:tc>
          <w:tcPr>
            <w:tcW w:w="108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P</w:t>
            </w:r>
          </w:p>
        </w:tc>
        <w:tc>
          <w:tcPr>
            <w:tcW w:w="108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H2O</w:t>
            </w:r>
          </w:p>
        </w:tc>
        <w:tc>
          <w:tcPr>
            <w:tcW w:w="1084"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p>
        </w:tc>
      </w:tr>
      <w:tr w:rsidR="00D228BE" w:rsidRPr="00677D1F">
        <w:trPr>
          <w:trHeight w:val="340"/>
          <w:jc w:val="center"/>
        </w:trPr>
        <w:tc>
          <w:tcPr>
            <w:tcW w:w="1467"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wt%</w:t>
            </w:r>
          </w:p>
        </w:tc>
        <w:tc>
          <w:tcPr>
            <w:tcW w:w="108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0.09</w:t>
            </w:r>
          </w:p>
        </w:tc>
        <w:tc>
          <w:tcPr>
            <w:tcW w:w="108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2.11</w:t>
            </w:r>
          </w:p>
        </w:tc>
        <w:tc>
          <w:tcPr>
            <w:tcW w:w="108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0.01</w:t>
            </w:r>
          </w:p>
        </w:tc>
        <w:tc>
          <w:tcPr>
            <w:tcW w:w="108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0.165</w:t>
            </w:r>
          </w:p>
        </w:tc>
        <w:tc>
          <w:tcPr>
            <w:tcW w:w="108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0.15</w:t>
            </w:r>
          </w:p>
        </w:tc>
        <w:tc>
          <w:tcPr>
            <w:tcW w:w="108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0.47</w:t>
            </w:r>
          </w:p>
        </w:tc>
        <w:tc>
          <w:tcPr>
            <w:tcW w:w="1084"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100</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钛精矿年购入量190kt，袋装或散装，汽车运进厂内库房。</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残焦（兰碳）</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本项目所用残焦（兰碳）平均成分详见表3.1-5。</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表3.1-5</w:t>
      </w:r>
      <w:r w:rsidRPr="00677D1F">
        <w:rPr>
          <w:rFonts w:ascii="黑体" w:eastAsia="黑体" w:hAnsi="黑体" w:cs="宋体"/>
          <w:b/>
          <w:color w:val="000000"/>
          <w:kern w:val="0"/>
          <w:szCs w:val="21"/>
        </w:rPr>
        <w:tab/>
      </w:r>
      <w:r w:rsidRPr="00677D1F">
        <w:rPr>
          <w:rFonts w:ascii="黑体" w:eastAsia="黑体" w:hAnsi="黑体" w:cs="宋体" w:hint="eastAsia"/>
          <w:b/>
          <w:color w:val="000000"/>
          <w:kern w:val="0"/>
          <w:szCs w:val="21"/>
        </w:rPr>
        <w:t xml:space="preserve">  残焦</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兰炭</w:t>
      </w:r>
      <w:r w:rsidRPr="00677D1F">
        <w:rPr>
          <w:rFonts w:ascii="黑体" w:eastAsia="黑体" w:hAnsi="黑体" w:cs="宋体"/>
          <w:b/>
          <w:color w:val="000000"/>
          <w:kern w:val="0"/>
          <w:szCs w:val="21"/>
        </w:rPr>
        <w:t>）</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35"/>
        <w:gridCol w:w="1428"/>
        <w:gridCol w:w="1091"/>
        <w:gridCol w:w="1304"/>
        <w:gridCol w:w="3214"/>
      </w:tblGrid>
      <w:tr w:rsidR="00D228BE" w:rsidRPr="00677D1F">
        <w:trPr>
          <w:trHeight w:val="340"/>
          <w:jc w:val="center"/>
        </w:trPr>
        <w:tc>
          <w:tcPr>
            <w:tcW w:w="2035"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辅料</w:t>
            </w:r>
          </w:p>
        </w:tc>
        <w:tc>
          <w:tcPr>
            <w:tcW w:w="142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固定碳</w:t>
            </w:r>
          </w:p>
        </w:tc>
        <w:tc>
          <w:tcPr>
            <w:tcW w:w="109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水份</w:t>
            </w:r>
          </w:p>
        </w:tc>
        <w:tc>
          <w:tcPr>
            <w:tcW w:w="1304"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灰分</w:t>
            </w:r>
          </w:p>
        </w:tc>
        <w:tc>
          <w:tcPr>
            <w:tcW w:w="3214"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挥发分</w:t>
            </w:r>
          </w:p>
        </w:tc>
      </w:tr>
      <w:tr w:rsidR="00D228BE" w:rsidRPr="00677D1F">
        <w:trPr>
          <w:trHeight w:val="340"/>
          <w:jc w:val="center"/>
        </w:trPr>
        <w:tc>
          <w:tcPr>
            <w:tcW w:w="2035"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残焦</w:t>
            </w:r>
          </w:p>
        </w:tc>
        <w:tc>
          <w:tcPr>
            <w:tcW w:w="142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≥85%</w:t>
            </w:r>
          </w:p>
        </w:tc>
        <w:tc>
          <w:tcPr>
            <w:tcW w:w="1091"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≤5%</w:t>
            </w:r>
          </w:p>
        </w:tc>
        <w:tc>
          <w:tcPr>
            <w:tcW w:w="1304"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7</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10%</w:t>
            </w:r>
          </w:p>
        </w:tc>
        <w:tc>
          <w:tcPr>
            <w:tcW w:w="3214"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w:t>
            </w:r>
          </w:p>
        </w:tc>
      </w:tr>
    </w:tbl>
    <w:p w:rsidR="00D228BE" w:rsidRPr="00677D1F" w:rsidRDefault="00D228BE" w:rsidP="00677D1F">
      <w:pPr>
        <w:pStyle w:val="a4"/>
        <w:spacing w:line="240" w:lineRule="exact"/>
        <w:contextualSpacing/>
        <w:jc w:val="both"/>
        <w:rPr>
          <w:rFonts w:ascii="Arial"/>
          <w:sz w:val="20"/>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生产年用量21.5kt，使用时的粒度 1～3mm，袋装或散装，汽车运进厂内库房。</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（2）辅助材料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石墨电极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本项目</w:t>
      </w:r>
      <w:r w:rsidRPr="00677D1F">
        <w:rPr>
          <w:rFonts w:ascii="宋体" w:eastAsia="宋体" w:hAnsi="宋体" w:cs="宋体"/>
          <w:color w:val="000000"/>
          <w:kern w:val="0"/>
          <w:sz w:val="24"/>
          <w:szCs w:val="24"/>
        </w:rPr>
        <w:t>选用石墨电极，电流负荷大于10A/cm</w:t>
      </w:r>
      <w:r w:rsidRPr="00677D1F">
        <w:rPr>
          <w:rFonts w:ascii="宋体" w:eastAsia="宋体" w:hAnsi="宋体" w:cs="宋体"/>
          <w:color w:val="000000"/>
          <w:kern w:val="0"/>
          <w:sz w:val="24"/>
          <w:szCs w:val="24"/>
          <w:vertAlign w:val="superscript"/>
        </w:rPr>
        <w:t>2</w:t>
      </w:r>
      <w:r w:rsidRPr="00677D1F">
        <w:rPr>
          <w:rFonts w:ascii="宋体" w:eastAsia="宋体" w:hAnsi="宋体" w:cs="宋体"/>
          <w:color w:val="000000"/>
          <w:kern w:val="0"/>
          <w:sz w:val="24"/>
          <w:szCs w:val="24"/>
        </w:rPr>
        <w:t>，符合国标YB/T4088-2000，</w:t>
      </w:r>
      <w:r w:rsidRPr="00677D1F">
        <w:rPr>
          <w:rFonts w:ascii="宋体" w:eastAsia="宋体" w:hAnsi="宋体" w:cs="宋体" w:hint="eastAsia"/>
          <w:color w:val="000000"/>
          <w:kern w:val="0"/>
          <w:sz w:val="24"/>
          <w:szCs w:val="24"/>
        </w:rPr>
        <w:t>相关参数详</w:t>
      </w:r>
      <w:r w:rsidRPr="00677D1F">
        <w:rPr>
          <w:rFonts w:ascii="宋体" w:eastAsia="宋体" w:hAnsi="宋体" w:cs="宋体"/>
          <w:color w:val="000000"/>
          <w:kern w:val="0"/>
          <w:sz w:val="24"/>
          <w:szCs w:val="24"/>
        </w:rPr>
        <w:t>见表</w:t>
      </w:r>
      <w:r w:rsidRPr="00677D1F">
        <w:rPr>
          <w:rFonts w:ascii="宋体" w:eastAsia="宋体" w:hAnsi="宋体" w:cs="宋体" w:hint="eastAsia"/>
          <w:color w:val="000000"/>
          <w:kern w:val="0"/>
          <w:sz w:val="24"/>
          <w:szCs w:val="24"/>
        </w:rPr>
        <w:t>3.1-6</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 xml:space="preserve">表3.1-6 </w:t>
      </w:r>
      <w:r w:rsidRPr="00677D1F">
        <w:rPr>
          <w:rFonts w:ascii="黑体" w:eastAsia="黑体" w:hAnsi="黑体" w:cs="宋体"/>
          <w:b/>
          <w:color w:val="000000"/>
          <w:kern w:val="0"/>
          <w:szCs w:val="21"/>
        </w:rPr>
        <w:t xml:space="preserve"> </w:t>
      </w:r>
      <w:r w:rsidRPr="00677D1F">
        <w:rPr>
          <w:rFonts w:ascii="黑体" w:eastAsia="黑体" w:hAnsi="黑体" w:cs="宋体" w:hint="eastAsia"/>
          <w:b/>
          <w:color w:val="000000"/>
          <w:kern w:val="0"/>
          <w:szCs w:val="21"/>
        </w:rPr>
        <w:t>石墨电极技术要求</w:t>
      </w:r>
      <w:r w:rsidRPr="00677D1F">
        <w:rPr>
          <w:rFonts w:ascii="黑体" w:eastAsia="黑体" w:hAnsi="黑体" w:cs="宋体"/>
          <w:b/>
          <w:color w:val="000000"/>
          <w:kern w:val="0"/>
          <w:szCs w:val="21"/>
        </w:rPr>
        <w:t>（YB/T4088-2000）</w:t>
      </w:r>
    </w:p>
    <w:p w:rsidR="00D228BE" w:rsidRPr="00677D1F" w:rsidRDefault="00D228BE" w:rsidP="00677D1F">
      <w:pPr>
        <w:pStyle w:val="a4"/>
        <w:spacing w:before="6"/>
        <w:contextualSpacing/>
        <w:rPr>
          <w:rFonts w:ascii="Arial"/>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855"/>
        <w:gridCol w:w="1701"/>
        <w:gridCol w:w="1773"/>
        <w:gridCol w:w="1776"/>
        <w:gridCol w:w="1967"/>
      </w:tblGrid>
      <w:tr w:rsidR="00D228BE" w:rsidRPr="00677D1F">
        <w:trPr>
          <w:trHeight w:val="340"/>
          <w:jc w:val="center"/>
        </w:trPr>
        <w:tc>
          <w:tcPr>
            <w:tcW w:w="1855" w:type="dxa"/>
            <w:tcBorders>
              <w:bottom w:val="single" w:sz="6" w:space="0" w:color="000000"/>
              <w:right w:val="single" w:sz="6" w:space="0" w:color="000000"/>
            </w:tcBorders>
            <w:vAlign w:val="center"/>
          </w:tcPr>
          <w:p w:rsidR="00D228BE" w:rsidRPr="00677D1F" w:rsidRDefault="00332EB6" w:rsidP="00677D1F">
            <w:pPr>
              <w:pStyle w:val="TableParagraph"/>
              <w:tabs>
                <w:tab w:val="left" w:pos="1002"/>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项目</w:t>
            </w:r>
          </w:p>
        </w:tc>
        <w:tc>
          <w:tcPr>
            <w:tcW w:w="170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tabs>
                <w:tab w:val="left" w:pos="447"/>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要求</w:t>
            </w:r>
          </w:p>
        </w:tc>
        <w:tc>
          <w:tcPr>
            <w:tcW w:w="1773"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tabs>
                <w:tab w:val="left" w:pos="445"/>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部位</w:t>
            </w:r>
          </w:p>
        </w:tc>
        <w:tc>
          <w:tcPr>
            <w:tcW w:w="177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tabs>
                <w:tab w:val="left" w:pos="448"/>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指标</w:t>
            </w:r>
          </w:p>
        </w:tc>
        <w:tc>
          <w:tcPr>
            <w:tcW w:w="1967" w:type="dxa"/>
            <w:tcBorders>
              <w:left w:val="single" w:sz="6" w:space="0" w:color="000000"/>
              <w:bottom w:val="single" w:sz="6" w:space="0" w:color="000000"/>
            </w:tcBorders>
            <w:vAlign w:val="center"/>
          </w:tcPr>
          <w:p w:rsidR="00D228BE" w:rsidRPr="00677D1F" w:rsidRDefault="00332EB6" w:rsidP="00677D1F">
            <w:pPr>
              <w:pStyle w:val="TableParagraph"/>
              <w:tabs>
                <w:tab w:val="left" w:pos="422"/>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单位</w:t>
            </w:r>
          </w:p>
        </w:tc>
      </w:tr>
      <w:tr w:rsidR="00D228BE" w:rsidRPr="00677D1F">
        <w:trPr>
          <w:trHeight w:val="340"/>
          <w:jc w:val="center"/>
        </w:trPr>
        <w:tc>
          <w:tcPr>
            <w:tcW w:w="1855" w:type="dxa"/>
            <w:vMerge w:val="restart"/>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电阻率</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不大于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电极</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10.5</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µΩ</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M</w:t>
            </w:r>
          </w:p>
        </w:tc>
      </w:tr>
      <w:tr w:rsidR="00D228BE" w:rsidRPr="00677D1F">
        <w:trPr>
          <w:trHeight w:val="340"/>
          <w:jc w:val="center"/>
        </w:trPr>
        <w:tc>
          <w:tcPr>
            <w:tcW w:w="1855"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01"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接头</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8.5</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µΩ</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M</w:t>
            </w:r>
          </w:p>
        </w:tc>
      </w:tr>
      <w:tr w:rsidR="00D228BE" w:rsidRPr="00677D1F">
        <w:trPr>
          <w:trHeight w:val="340"/>
          <w:jc w:val="center"/>
        </w:trPr>
        <w:tc>
          <w:tcPr>
            <w:tcW w:w="1855" w:type="dxa"/>
            <w:vMerge w:val="restart"/>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抗折强度</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不大于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电极</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6.4</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MPa</w:t>
            </w:r>
          </w:p>
        </w:tc>
      </w:tr>
      <w:tr w:rsidR="00D228BE" w:rsidRPr="00677D1F">
        <w:trPr>
          <w:trHeight w:val="340"/>
          <w:jc w:val="center"/>
        </w:trPr>
        <w:tc>
          <w:tcPr>
            <w:tcW w:w="1855"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01"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接头</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MPa</w:t>
            </w:r>
          </w:p>
        </w:tc>
      </w:tr>
      <w:tr w:rsidR="00D228BE" w:rsidRPr="00677D1F">
        <w:trPr>
          <w:trHeight w:val="340"/>
          <w:jc w:val="center"/>
        </w:trPr>
        <w:tc>
          <w:tcPr>
            <w:tcW w:w="1855" w:type="dxa"/>
            <w:vMerge w:val="restart"/>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弹性模量</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不大于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电极</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9.3</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GPa</w:t>
            </w:r>
          </w:p>
        </w:tc>
      </w:tr>
      <w:tr w:rsidR="00D228BE" w:rsidRPr="00677D1F">
        <w:trPr>
          <w:trHeight w:val="340"/>
          <w:jc w:val="center"/>
        </w:trPr>
        <w:tc>
          <w:tcPr>
            <w:tcW w:w="1855"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01" w:type="dxa"/>
            <w:vMerge/>
            <w:tcBorders>
              <w:top w:val="nil"/>
              <w:left w:val="single" w:sz="6" w:space="0" w:color="000000"/>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接头</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14</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Gpa</w:t>
            </w:r>
          </w:p>
        </w:tc>
      </w:tr>
      <w:tr w:rsidR="00D228BE" w:rsidRPr="00677D1F">
        <w:trPr>
          <w:trHeight w:val="340"/>
          <w:jc w:val="center"/>
        </w:trPr>
        <w:tc>
          <w:tcPr>
            <w:tcW w:w="185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灰份</w:t>
            </w:r>
          </w:p>
        </w:tc>
        <w:tc>
          <w:tcPr>
            <w:tcW w:w="170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不大于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0.5</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
            </w:r>
          </w:p>
        </w:tc>
      </w:tr>
      <w:tr w:rsidR="00D228BE" w:rsidRPr="00677D1F">
        <w:trPr>
          <w:trHeight w:val="340"/>
          <w:jc w:val="center"/>
        </w:trPr>
        <w:tc>
          <w:tcPr>
            <w:tcW w:w="1855" w:type="dxa"/>
            <w:vMerge w:val="restart"/>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体积密度</w:t>
            </w:r>
          </w:p>
        </w:tc>
        <w:tc>
          <w:tcPr>
            <w:tcW w:w="170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不小于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电极</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1.52</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g/cm</w:t>
            </w:r>
            <w:r w:rsidRPr="00677D1F">
              <w:rPr>
                <w:rFonts w:asciiTheme="minorEastAsia" w:eastAsiaTheme="minorEastAsia" w:hAnsiTheme="minorEastAsia"/>
                <w:sz w:val="21"/>
                <w:szCs w:val="21"/>
                <w:vertAlign w:val="superscript"/>
              </w:rPr>
              <w:t>3</w:t>
            </w:r>
          </w:p>
        </w:tc>
      </w:tr>
      <w:tr w:rsidR="00D228BE" w:rsidRPr="00677D1F">
        <w:trPr>
          <w:trHeight w:val="340"/>
          <w:jc w:val="center"/>
        </w:trPr>
        <w:tc>
          <w:tcPr>
            <w:tcW w:w="1855"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不小于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接头</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1.68</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g/cm</w:t>
            </w:r>
            <w:r w:rsidRPr="00677D1F">
              <w:rPr>
                <w:rFonts w:asciiTheme="minorEastAsia" w:eastAsiaTheme="minorEastAsia" w:hAnsiTheme="minorEastAsia"/>
                <w:sz w:val="21"/>
                <w:szCs w:val="21"/>
                <w:vertAlign w:val="superscript"/>
              </w:rPr>
              <w:t>3</w:t>
            </w:r>
          </w:p>
        </w:tc>
      </w:tr>
      <w:tr w:rsidR="00D228BE" w:rsidRPr="00677D1F">
        <w:trPr>
          <w:trHeight w:val="340"/>
          <w:jc w:val="center"/>
        </w:trPr>
        <w:tc>
          <w:tcPr>
            <w:tcW w:w="1855" w:type="dxa"/>
            <w:vMerge w:val="restart"/>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热膨胀系数</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（100</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600</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w:t>
            </w:r>
          </w:p>
        </w:tc>
        <w:tc>
          <w:tcPr>
            <w:tcW w:w="1701" w:type="dxa"/>
            <w:vMerge w:val="restart"/>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不大于</w:t>
            </w:r>
          </w:p>
        </w:tc>
        <w:tc>
          <w:tcPr>
            <w:tcW w:w="1773"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电极</w:t>
            </w:r>
          </w:p>
        </w:tc>
        <w:tc>
          <w:tcPr>
            <w:tcW w:w="1776"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w:t>
            </w:r>
          </w:p>
        </w:tc>
        <w:tc>
          <w:tcPr>
            <w:tcW w:w="1967"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r w:rsidRPr="00677D1F">
              <w:rPr>
                <w:rFonts w:asciiTheme="minorEastAsia" w:eastAsiaTheme="minorEastAsia" w:hAnsiTheme="minorEastAsia"/>
                <w:sz w:val="21"/>
                <w:szCs w:val="21"/>
                <w:vertAlign w:val="superscript"/>
              </w:rPr>
              <w:t>-6</w:t>
            </w:r>
            <w:r w:rsidRPr="00677D1F">
              <w:rPr>
                <w:rFonts w:asciiTheme="minorEastAsia" w:eastAsiaTheme="minorEastAsia" w:hAnsiTheme="minorEastAsia"/>
                <w:sz w:val="21"/>
                <w:szCs w:val="21"/>
              </w:rPr>
              <w:t>/℃</w:t>
            </w:r>
          </w:p>
        </w:tc>
      </w:tr>
      <w:tr w:rsidR="00D228BE" w:rsidRPr="00677D1F">
        <w:trPr>
          <w:trHeight w:val="340"/>
          <w:jc w:val="center"/>
        </w:trPr>
        <w:tc>
          <w:tcPr>
            <w:tcW w:w="1855" w:type="dxa"/>
            <w:vMerge/>
            <w:tcBorders>
              <w:top w:val="nil"/>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01" w:type="dxa"/>
            <w:vMerge/>
            <w:tcBorders>
              <w:top w:val="nil"/>
              <w:left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rPr>
            </w:pPr>
          </w:p>
        </w:tc>
        <w:tc>
          <w:tcPr>
            <w:tcW w:w="1773"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接头</w:t>
            </w:r>
          </w:p>
        </w:tc>
        <w:tc>
          <w:tcPr>
            <w:tcW w:w="177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30</w:t>
            </w:r>
          </w:p>
        </w:tc>
        <w:tc>
          <w:tcPr>
            <w:tcW w:w="1967"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r w:rsidRPr="00677D1F">
              <w:rPr>
                <w:rFonts w:asciiTheme="minorEastAsia" w:eastAsiaTheme="minorEastAsia" w:hAnsiTheme="minorEastAsia"/>
                <w:sz w:val="21"/>
                <w:szCs w:val="21"/>
                <w:vertAlign w:val="superscript"/>
              </w:rPr>
              <w:t>-6</w:t>
            </w:r>
            <w:r w:rsidRPr="00677D1F">
              <w:rPr>
                <w:rFonts w:asciiTheme="minorEastAsia" w:eastAsiaTheme="minorEastAsia" w:hAnsiTheme="minorEastAsia"/>
                <w:sz w:val="21"/>
                <w:szCs w:val="21"/>
              </w:rPr>
              <w:t>/℃</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w:t>
      </w:r>
      <w:r w:rsidRPr="00677D1F">
        <w:rPr>
          <w:rFonts w:ascii="宋体" w:eastAsia="宋体" w:hAnsi="宋体" w:cs="宋体"/>
          <w:color w:val="000000"/>
          <w:kern w:val="0"/>
          <w:sz w:val="24"/>
          <w:szCs w:val="24"/>
        </w:rPr>
        <w:t>选用。年</w:t>
      </w:r>
      <w:r w:rsidRPr="00677D1F">
        <w:rPr>
          <w:rFonts w:ascii="宋体" w:eastAsia="宋体" w:hAnsi="宋体" w:cs="宋体" w:hint="eastAsia"/>
          <w:color w:val="000000"/>
          <w:kern w:val="0"/>
          <w:sz w:val="24"/>
          <w:szCs w:val="24"/>
        </w:rPr>
        <w:t>消耗</w:t>
      </w:r>
      <w:r w:rsidRPr="00677D1F">
        <w:rPr>
          <w:rFonts w:ascii="宋体" w:eastAsia="宋体" w:hAnsi="宋体" w:cs="宋体"/>
          <w:color w:val="000000"/>
          <w:kern w:val="0"/>
          <w:sz w:val="24"/>
          <w:szCs w:val="24"/>
        </w:rPr>
        <w:t>Φ710普通石墨电极1870</w:t>
      </w:r>
      <w:r w:rsidRPr="00677D1F">
        <w:rPr>
          <w:rFonts w:ascii="宋体" w:eastAsia="宋体" w:hAnsi="宋体" w:cs="宋体" w:hint="eastAsia"/>
          <w:color w:val="000000"/>
          <w:kern w:val="0"/>
          <w:sz w:val="24"/>
          <w:szCs w:val="24"/>
        </w:rPr>
        <w:t>t</w:t>
      </w:r>
      <w:r w:rsidRPr="00677D1F">
        <w:rPr>
          <w:rFonts w:ascii="宋体" w:eastAsia="宋体" w:hAnsi="宋体" w:cs="宋体"/>
          <w:color w:val="000000"/>
          <w:kern w:val="0"/>
          <w:sz w:val="24"/>
          <w:szCs w:val="24"/>
        </w:rPr>
        <w:t>，Φ35 普通石墨电极366</w:t>
      </w:r>
      <w:r w:rsidRPr="00677D1F">
        <w:rPr>
          <w:rFonts w:ascii="宋体" w:eastAsia="宋体" w:hAnsi="宋体" w:cs="宋体" w:hint="eastAsia"/>
          <w:color w:val="000000"/>
          <w:kern w:val="0"/>
          <w:sz w:val="24"/>
          <w:szCs w:val="24"/>
        </w:rPr>
        <w:t>t</w:t>
      </w:r>
      <w:r w:rsidRPr="00677D1F">
        <w:rPr>
          <w:rFonts w:ascii="宋体" w:eastAsia="宋体" w:hAnsi="宋体" w:cs="宋体"/>
          <w:color w:val="000000"/>
          <w:kern w:val="0"/>
          <w:sz w:val="24"/>
          <w:szCs w:val="24"/>
        </w:rPr>
        <w:t>，由国内炭素厂购进，汽车运入综合仓库。</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② </w:t>
      </w:r>
      <w:r w:rsidRPr="00677D1F">
        <w:rPr>
          <w:rFonts w:ascii="宋体" w:eastAsia="宋体" w:hAnsi="宋体" w:cs="宋体"/>
          <w:color w:val="000000"/>
          <w:kern w:val="0"/>
          <w:sz w:val="24"/>
          <w:szCs w:val="24"/>
        </w:rPr>
        <w:t>铁合金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电弧炉、LF 炉用铁合金种类主要包括硅铁、硅锰合金、铬铁、钼铁和镍铁等，全部外购。铁合金块度要求：电弧炉10～60mm，LF炉5～30mm。</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③ </w:t>
      </w:r>
      <w:r w:rsidRPr="00677D1F">
        <w:rPr>
          <w:rFonts w:ascii="宋体" w:eastAsia="宋体" w:hAnsi="宋体" w:cs="宋体"/>
          <w:color w:val="000000"/>
          <w:kern w:val="0"/>
          <w:sz w:val="24"/>
          <w:szCs w:val="24"/>
        </w:rPr>
        <w:t>石灰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石灰采用活性石灰，全部外购，石灰化学成分要求见表 7.2-4。石灰块度要求：电弧炉 10～60mm，炉外精炼 10～30mm；活性度：≥ 300ml（4NHCl、50g、10min）；烧损：≤4%。</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 xml:space="preserve">表3.1-7 </w:t>
      </w:r>
      <w:r w:rsidRPr="00677D1F">
        <w:rPr>
          <w:rFonts w:ascii="黑体" w:eastAsia="黑体" w:hAnsi="黑体" w:cs="宋体"/>
          <w:b/>
          <w:color w:val="000000"/>
          <w:kern w:val="0"/>
          <w:szCs w:val="21"/>
        </w:rPr>
        <w:t xml:space="preserve"> </w:t>
      </w:r>
      <w:r w:rsidRPr="00677D1F">
        <w:rPr>
          <w:rFonts w:ascii="黑体" w:eastAsia="黑体" w:hAnsi="黑体" w:cs="宋体" w:hint="eastAsia"/>
          <w:b/>
          <w:color w:val="000000"/>
          <w:kern w:val="0"/>
          <w:szCs w:val="21"/>
        </w:rPr>
        <w:t>石灰化学成分（</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979"/>
        <w:gridCol w:w="976"/>
        <w:gridCol w:w="977"/>
        <w:gridCol w:w="980"/>
        <w:gridCol w:w="980"/>
        <w:gridCol w:w="1357"/>
        <w:gridCol w:w="861"/>
        <w:gridCol w:w="980"/>
        <w:gridCol w:w="982"/>
      </w:tblGrid>
      <w:tr w:rsidR="00D228BE" w:rsidRPr="00677D1F">
        <w:trPr>
          <w:trHeight w:val="340"/>
          <w:jc w:val="center"/>
        </w:trPr>
        <w:tc>
          <w:tcPr>
            <w:tcW w:w="979" w:type="dxa"/>
            <w:tcBorders>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成分</w:t>
            </w:r>
          </w:p>
        </w:tc>
        <w:tc>
          <w:tcPr>
            <w:tcW w:w="976"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CaO</w:t>
            </w:r>
          </w:p>
        </w:tc>
        <w:tc>
          <w:tcPr>
            <w:tcW w:w="977"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MgO</w:t>
            </w:r>
          </w:p>
        </w:tc>
        <w:tc>
          <w:tcPr>
            <w:tcW w:w="980"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SiO</w:t>
            </w:r>
            <w:r w:rsidRPr="00677D1F">
              <w:rPr>
                <w:rFonts w:asciiTheme="minorEastAsia" w:eastAsiaTheme="minorEastAsia" w:hAnsiTheme="minorEastAsia"/>
                <w:b/>
                <w:sz w:val="21"/>
                <w:vertAlign w:val="subscript"/>
              </w:rPr>
              <w:t>2</w:t>
            </w:r>
          </w:p>
        </w:tc>
        <w:tc>
          <w:tcPr>
            <w:tcW w:w="980"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Al</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O</w:t>
            </w:r>
            <w:r w:rsidRPr="00677D1F">
              <w:rPr>
                <w:rFonts w:asciiTheme="minorEastAsia" w:eastAsiaTheme="minorEastAsia" w:hAnsiTheme="minorEastAsia"/>
                <w:b/>
                <w:sz w:val="21"/>
                <w:vertAlign w:val="subscript"/>
              </w:rPr>
              <w:t>3</w:t>
            </w:r>
          </w:p>
        </w:tc>
        <w:tc>
          <w:tcPr>
            <w:tcW w:w="1357"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FeO+Fe</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O</w:t>
            </w:r>
            <w:r w:rsidRPr="00677D1F">
              <w:rPr>
                <w:rFonts w:asciiTheme="minorEastAsia" w:eastAsiaTheme="minorEastAsia" w:hAnsiTheme="minorEastAsia"/>
                <w:b/>
                <w:sz w:val="21"/>
                <w:vertAlign w:val="subscript"/>
              </w:rPr>
              <w:t>3</w:t>
            </w:r>
          </w:p>
        </w:tc>
        <w:tc>
          <w:tcPr>
            <w:tcW w:w="861"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w:t>
            </w:r>
          </w:p>
        </w:tc>
        <w:tc>
          <w:tcPr>
            <w:tcW w:w="980"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P</w:t>
            </w:r>
          </w:p>
        </w:tc>
        <w:tc>
          <w:tcPr>
            <w:tcW w:w="982" w:type="dxa"/>
            <w:tcBorders>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O</w:t>
            </w:r>
          </w:p>
        </w:tc>
      </w:tr>
      <w:tr w:rsidR="00D228BE" w:rsidRPr="00677D1F">
        <w:trPr>
          <w:trHeight w:val="340"/>
          <w:jc w:val="center"/>
        </w:trPr>
        <w:tc>
          <w:tcPr>
            <w:tcW w:w="979" w:type="dxa"/>
            <w:tcBorders>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含量</w:t>
            </w:r>
          </w:p>
        </w:tc>
        <w:tc>
          <w:tcPr>
            <w:tcW w:w="976"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≥90</w:t>
            </w:r>
          </w:p>
        </w:tc>
        <w:tc>
          <w:tcPr>
            <w:tcW w:w="977"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≤1.0</w:t>
            </w:r>
          </w:p>
        </w:tc>
        <w:tc>
          <w:tcPr>
            <w:tcW w:w="980"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w:t>
            </w:r>
          </w:p>
        </w:tc>
        <w:tc>
          <w:tcPr>
            <w:tcW w:w="980"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≤0.8</w:t>
            </w:r>
          </w:p>
        </w:tc>
        <w:tc>
          <w:tcPr>
            <w:tcW w:w="1357"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≤0.65</w:t>
            </w:r>
          </w:p>
        </w:tc>
        <w:tc>
          <w:tcPr>
            <w:tcW w:w="861"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≤0.04</w:t>
            </w:r>
          </w:p>
        </w:tc>
        <w:tc>
          <w:tcPr>
            <w:tcW w:w="980" w:type="dxa"/>
            <w:tcBorders>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≤0.02</w:t>
            </w:r>
          </w:p>
        </w:tc>
        <w:tc>
          <w:tcPr>
            <w:tcW w:w="982" w:type="dxa"/>
            <w:tcBorders>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0.3</w:t>
            </w:r>
          </w:p>
        </w:tc>
      </w:tr>
    </w:tbl>
    <w:p w:rsidR="00D228BE" w:rsidRPr="00677D1F" w:rsidRDefault="00D228BE" w:rsidP="00677D1F">
      <w:pPr>
        <w:pStyle w:val="a4"/>
        <w:spacing w:line="240" w:lineRule="exact"/>
        <w:contextualSpacing/>
        <w:rPr>
          <w:rFonts w:ascii="黑体"/>
          <w:sz w:val="20"/>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④ </w:t>
      </w:r>
      <w:r w:rsidRPr="00677D1F">
        <w:rPr>
          <w:rFonts w:ascii="宋体" w:eastAsia="宋体" w:hAnsi="宋体" w:cs="宋体"/>
          <w:color w:val="000000"/>
          <w:kern w:val="0"/>
          <w:sz w:val="24"/>
          <w:szCs w:val="24"/>
        </w:rPr>
        <w:t>萤石</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萤石全部外购。萤石块度要求：电弧炉 10～60mm，LF 炉 10～ 30mm。化学成分要求见表</w:t>
      </w:r>
      <w:r w:rsidRPr="00677D1F">
        <w:rPr>
          <w:rFonts w:ascii="宋体" w:eastAsia="宋体" w:hAnsi="宋体" w:cs="宋体" w:hint="eastAsia"/>
          <w:color w:val="000000"/>
          <w:kern w:val="0"/>
          <w:sz w:val="24"/>
          <w:szCs w:val="24"/>
        </w:rPr>
        <w:t>3</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1</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8</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表3.1-8  萤石化学成分表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512"/>
        <w:gridCol w:w="1510"/>
        <w:gridCol w:w="1511"/>
        <w:gridCol w:w="1513"/>
        <w:gridCol w:w="1513"/>
        <w:gridCol w:w="1513"/>
      </w:tblGrid>
      <w:tr w:rsidR="00D228BE" w:rsidRPr="00677D1F">
        <w:trPr>
          <w:trHeight w:val="340"/>
          <w:jc w:val="center"/>
        </w:trPr>
        <w:tc>
          <w:tcPr>
            <w:tcW w:w="1512" w:type="dxa"/>
            <w:tcBorders>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成分</w:t>
            </w:r>
          </w:p>
        </w:tc>
        <w:tc>
          <w:tcPr>
            <w:tcW w:w="1510" w:type="dxa"/>
            <w:tcBorders>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CaF</w:t>
            </w:r>
            <w:r w:rsidRPr="00677D1F">
              <w:rPr>
                <w:rFonts w:asciiTheme="minorEastAsia" w:eastAsiaTheme="minorEastAsia" w:hAnsiTheme="minorEastAsia"/>
                <w:b/>
                <w:sz w:val="21"/>
                <w:vertAlign w:val="subscript"/>
              </w:rPr>
              <w:t>2</w:t>
            </w:r>
          </w:p>
        </w:tc>
        <w:tc>
          <w:tcPr>
            <w:tcW w:w="1511" w:type="dxa"/>
            <w:tcBorders>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SiO</w:t>
            </w:r>
            <w:r w:rsidRPr="00677D1F">
              <w:rPr>
                <w:rFonts w:asciiTheme="minorEastAsia" w:eastAsiaTheme="minorEastAsia" w:hAnsiTheme="minorEastAsia"/>
                <w:b/>
                <w:sz w:val="21"/>
                <w:vertAlign w:val="subscript"/>
              </w:rPr>
              <w:t>2</w:t>
            </w:r>
          </w:p>
        </w:tc>
        <w:tc>
          <w:tcPr>
            <w:tcW w:w="1513" w:type="dxa"/>
            <w:tcBorders>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CaO</w:t>
            </w:r>
          </w:p>
        </w:tc>
        <w:tc>
          <w:tcPr>
            <w:tcW w:w="1513" w:type="dxa"/>
            <w:tcBorders>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w:t>
            </w:r>
          </w:p>
        </w:tc>
        <w:tc>
          <w:tcPr>
            <w:tcW w:w="1513" w:type="dxa"/>
            <w:tcBorders>
              <w:left w:val="single" w:sz="6" w:space="0" w:color="000000"/>
              <w:bottom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O</w:t>
            </w:r>
          </w:p>
        </w:tc>
      </w:tr>
      <w:tr w:rsidR="00D228BE" w:rsidRPr="00677D1F">
        <w:trPr>
          <w:trHeight w:val="340"/>
          <w:jc w:val="center"/>
        </w:trPr>
        <w:tc>
          <w:tcPr>
            <w:tcW w:w="1512" w:type="dxa"/>
            <w:tcBorders>
              <w:top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lastRenderedPageBreak/>
              <w:t>含量</w:t>
            </w:r>
          </w:p>
        </w:tc>
        <w:tc>
          <w:tcPr>
            <w:tcW w:w="1510"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≥85%</w:t>
            </w:r>
          </w:p>
        </w:tc>
        <w:tc>
          <w:tcPr>
            <w:tcW w:w="1511"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≤4%</w:t>
            </w:r>
          </w:p>
        </w:tc>
        <w:tc>
          <w:tcPr>
            <w:tcW w:w="1513"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5%</w:t>
            </w:r>
          </w:p>
        </w:tc>
        <w:tc>
          <w:tcPr>
            <w:tcW w:w="1513"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0.2%</w:t>
            </w:r>
          </w:p>
        </w:tc>
        <w:tc>
          <w:tcPr>
            <w:tcW w:w="1513" w:type="dxa"/>
            <w:tcBorders>
              <w:top w:val="single" w:sz="6" w:space="0" w:color="000000"/>
              <w:lef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≤0.5%</w:t>
            </w:r>
          </w:p>
        </w:tc>
      </w:tr>
    </w:tbl>
    <w:p w:rsidR="00D228BE" w:rsidRPr="00677D1F" w:rsidRDefault="00D228BE" w:rsidP="00677D1F">
      <w:pPr>
        <w:pStyle w:val="a4"/>
        <w:spacing w:line="240" w:lineRule="exact"/>
        <w:contextualSpacing/>
        <w:rPr>
          <w:rFonts w:ascii="黑体"/>
          <w:sz w:val="18"/>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⑤ </w:t>
      </w:r>
      <w:r w:rsidRPr="00677D1F">
        <w:rPr>
          <w:rFonts w:ascii="宋体" w:eastAsia="宋体" w:hAnsi="宋体" w:cs="宋体"/>
          <w:color w:val="000000"/>
          <w:kern w:val="0"/>
          <w:sz w:val="24"/>
          <w:szCs w:val="24"/>
        </w:rPr>
        <w:t>碳粉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碳粉全部外购。碳粉质量要求：粒度≤3mm，C≥85%，S≤0.1%，灰份≤12%。</w:t>
      </w:r>
    </w:p>
    <w:p w:rsidR="00D228BE" w:rsidRPr="00677D1F" w:rsidRDefault="00332EB6" w:rsidP="00677D1F">
      <w:pPr>
        <w:widowControl/>
        <w:spacing w:line="360" w:lineRule="auto"/>
        <w:contextualSpacing/>
        <w:outlineLvl w:val="3"/>
        <w:rPr>
          <w:rFonts w:asciiTheme="minorEastAsia" w:hAnsiTheme="minorEastAsia" w:cs="宋体"/>
          <w:b/>
          <w:bCs/>
          <w:color w:val="000000"/>
          <w:kern w:val="0"/>
          <w:sz w:val="24"/>
          <w:szCs w:val="24"/>
        </w:rPr>
      </w:pPr>
      <w:r w:rsidRPr="00677D1F">
        <w:rPr>
          <w:rFonts w:asciiTheme="minorEastAsia" w:hAnsiTheme="minorEastAsia" w:cs="Times New Roman"/>
          <w:b/>
          <w:bCs/>
          <w:color w:val="000000"/>
          <w:kern w:val="0"/>
          <w:sz w:val="24"/>
          <w:szCs w:val="24"/>
        </w:rPr>
        <w:t>3.1.4.</w:t>
      </w:r>
      <w:r w:rsidRPr="00677D1F">
        <w:rPr>
          <w:rFonts w:asciiTheme="minorEastAsia" w:hAnsiTheme="minorEastAsia" w:cs="Times New Roman" w:hint="eastAsia"/>
          <w:b/>
          <w:bCs/>
          <w:color w:val="000000"/>
          <w:kern w:val="0"/>
          <w:sz w:val="24"/>
          <w:szCs w:val="24"/>
        </w:rPr>
        <w:t xml:space="preserve">2 </w:t>
      </w:r>
      <w:r w:rsidRPr="00677D1F">
        <w:rPr>
          <w:rFonts w:asciiTheme="minorEastAsia" w:hAnsiTheme="minorEastAsia" w:cs="宋体" w:hint="eastAsia"/>
          <w:b/>
          <w:bCs/>
          <w:color w:val="000000"/>
          <w:kern w:val="0"/>
          <w:sz w:val="24"/>
          <w:szCs w:val="24"/>
        </w:rPr>
        <w:t>四氯化钛生产工艺</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（1）原料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① </w:t>
      </w:r>
      <w:r w:rsidRPr="00677D1F">
        <w:rPr>
          <w:rFonts w:ascii="宋体" w:eastAsia="宋体" w:hAnsi="宋体" w:cs="宋体"/>
          <w:color w:val="000000"/>
          <w:kern w:val="0"/>
          <w:sz w:val="24"/>
          <w:szCs w:val="24"/>
        </w:rPr>
        <w:t>钛渣</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主要生产原材料为钛渣工序生产的钛渣，钛渣需要量为10万</w:t>
      </w:r>
      <w:r w:rsidRPr="00677D1F">
        <w:rPr>
          <w:rFonts w:ascii="宋体" w:eastAsia="宋体" w:hAnsi="宋体" w:cs="宋体" w:hint="eastAsia"/>
          <w:color w:val="000000"/>
          <w:kern w:val="0"/>
          <w:sz w:val="24"/>
          <w:szCs w:val="24"/>
        </w:rPr>
        <w:t>t</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a</w:t>
      </w:r>
      <w:r w:rsidRPr="00677D1F">
        <w:rPr>
          <w:rFonts w:ascii="宋体" w:eastAsia="宋体" w:hAnsi="宋体" w:cs="宋体"/>
          <w:color w:val="000000"/>
          <w:kern w:val="0"/>
          <w:sz w:val="24"/>
          <w:szCs w:val="24"/>
        </w:rPr>
        <w:t>。高钛渣</w:t>
      </w:r>
      <w:r w:rsidRPr="00677D1F">
        <w:rPr>
          <w:rFonts w:ascii="宋体" w:eastAsia="宋体" w:hAnsi="宋体" w:cs="宋体" w:hint="eastAsia"/>
          <w:color w:val="000000"/>
          <w:kern w:val="0"/>
          <w:sz w:val="24"/>
          <w:szCs w:val="24"/>
        </w:rPr>
        <w:t>由</w:t>
      </w:r>
      <w:r w:rsidRPr="00677D1F">
        <w:rPr>
          <w:rFonts w:ascii="宋体" w:eastAsia="宋体" w:hAnsi="宋体" w:cs="宋体"/>
          <w:color w:val="000000"/>
          <w:kern w:val="0"/>
          <w:sz w:val="24"/>
          <w:szCs w:val="24"/>
        </w:rPr>
        <w:t>本项目钛渣生产</w:t>
      </w:r>
      <w:r w:rsidRPr="00677D1F">
        <w:rPr>
          <w:rFonts w:ascii="宋体" w:eastAsia="宋体" w:hAnsi="宋体" w:cs="宋体" w:hint="eastAsia"/>
          <w:color w:val="000000"/>
          <w:kern w:val="0"/>
          <w:sz w:val="24"/>
          <w:szCs w:val="24"/>
        </w:rPr>
        <w:t>工艺</w:t>
      </w:r>
      <w:r w:rsidRPr="00677D1F">
        <w:rPr>
          <w:rFonts w:ascii="宋体" w:eastAsia="宋体" w:hAnsi="宋体" w:cs="宋体"/>
          <w:color w:val="000000"/>
          <w:kern w:val="0"/>
          <w:sz w:val="24"/>
          <w:szCs w:val="24"/>
        </w:rPr>
        <w:t>提供，钛渣堆比重1.73t/m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，成份如下：</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9  钛渣成分</w:t>
      </w:r>
    </w:p>
    <w:tbl>
      <w:tblPr>
        <w:tblStyle w:val="TableNormal"/>
        <w:tblW w:w="8780" w:type="dxa"/>
        <w:tblInd w:w="2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99"/>
        <w:gridCol w:w="1097"/>
        <w:gridCol w:w="1097"/>
        <w:gridCol w:w="1097"/>
        <w:gridCol w:w="1097"/>
        <w:gridCol w:w="1097"/>
        <w:gridCol w:w="1097"/>
        <w:gridCol w:w="1099"/>
      </w:tblGrid>
      <w:tr w:rsidR="00D228BE" w:rsidRPr="00677D1F">
        <w:trPr>
          <w:trHeight w:val="361"/>
        </w:trPr>
        <w:tc>
          <w:tcPr>
            <w:tcW w:w="1099" w:type="dxa"/>
            <w:tcBorders>
              <w:right w:val="single" w:sz="6" w:space="0" w:color="000000"/>
            </w:tcBorders>
          </w:tcPr>
          <w:p w:rsidR="00D228BE" w:rsidRPr="00677D1F" w:rsidRDefault="00332EB6" w:rsidP="00677D1F">
            <w:pPr>
              <w:pStyle w:val="TableParagraph"/>
              <w:spacing w:before="54"/>
              <w:ind w:left="22"/>
              <w:contextualSpacing/>
              <w:jc w:val="center"/>
              <w:rPr>
                <w:sz w:val="21"/>
              </w:rPr>
            </w:pPr>
            <w:r w:rsidRPr="00677D1F">
              <w:rPr>
                <w:sz w:val="21"/>
              </w:rPr>
              <w:t>%</w:t>
            </w:r>
          </w:p>
        </w:tc>
        <w:tc>
          <w:tcPr>
            <w:tcW w:w="1097" w:type="dxa"/>
            <w:tcBorders>
              <w:left w:val="single" w:sz="6" w:space="0" w:color="000000"/>
              <w:right w:val="single" w:sz="6" w:space="0" w:color="000000"/>
            </w:tcBorders>
          </w:tcPr>
          <w:p w:rsidR="00D228BE" w:rsidRPr="00677D1F" w:rsidRDefault="00332EB6" w:rsidP="00677D1F">
            <w:pPr>
              <w:pStyle w:val="TableParagraph"/>
              <w:spacing w:before="54"/>
              <w:ind w:left="350"/>
              <w:contextualSpacing/>
              <w:rPr>
                <w:sz w:val="21"/>
              </w:rPr>
            </w:pPr>
            <w:r w:rsidRPr="00677D1F">
              <w:rPr>
                <w:sz w:val="21"/>
              </w:rPr>
              <w:t>1.23</w:t>
            </w:r>
          </w:p>
        </w:tc>
        <w:tc>
          <w:tcPr>
            <w:tcW w:w="1097" w:type="dxa"/>
            <w:tcBorders>
              <w:left w:val="single" w:sz="6" w:space="0" w:color="000000"/>
              <w:right w:val="single" w:sz="6" w:space="0" w:color="000000"/>
            </w:tcBorders>
          </w:tcPr>
          <w:p w:rsidR="00D228BE" w:rsidRPr="00677D1F" w:rsidRDefault="00332EB6" w:rsidP="00677D1F">
            <w:pPr>
              <w:pStyle w:val="TableParagraph"/>
              <w:spacing w:before="54"/>
              <w:ind w:left="350"/>
              <w:contextualSpacing/>
              <w:rPr>
                <w:sz w:val="21"/>
              </w:rPr>
            </w:pPr>
            <w:r w:rsidRPr="00677D1F">
              <w:rPr>
                <w:sz w:val="21"/>
              </w:rPr>
              <w:t>1.06</w:t>
            </w:r>
          </w:p>
        </w:tc>
        <w:tc>
          <w:tcPr>
            <w:tcW w:w="1097" w:type="dxa"/>
            <w:tcBorders>
              <w:left w:val="single" w:sz="6" w:space="0" w:color="000000"/>
              <w:right w:val="single" w:sz="6" w:space="0" w:color="000000"/>
            </w:tcBorders>
          </w:tcPr>
          <w:p w:rsidR="00D228BE" w:rsidRPr="00677D1F" w:rsidRDefault="00332EB6" w:rsidP="00677D1F">
            <w:pPr>
              <w:pStyle w:val="TableParagraph"/>
              <w:spacing w:before="54"/>
              <w:ind w:left="350"/>
              <w:contextualSpacing/>
              <w:rPr>
                <w:sz w:val="21"/>
              </w:rPr>
            </w:pPr>
            <w:r w:rsidRPr="00677D1F">
              <w:rPr>
                <w:sz w:val="21"/>
              </w:rPr>
              <w:t>0.09</w:t>
            </w:r>
          </w:p>
        </w:tc>
        <w:tc>
          <w:tcPr>
            <w:tcW w:w="1097" w:type="dxa"/>
            <w:tcBorders>
              <w:left w:val="single" w:sz="6" w:space="0" w:color="000000"/>
              <w:right w:val="single" w:sz="6" w:space="0" w:color="000000"/>
            </w:tcBorders>
          </w:tcPr>
          <w:p w:rsidR="00D228BE" w:rsidRPr="00677D1F" w:rsidRDefault="00332EB6" w:rsidP="00677D1F">
            <w:pPr>
              <w:pStyle w:val="TableParagraph"/>
              <w:spacing w:before="54"/>
              <w:ind w:left="349"/>
              <w:contextualSpacing/>
              <w:rPr>
                <w:sz w:val="21"/>
              </w:rPr>
            </w:pPr>
            <w:r w:rsidRPr="00677D1F">
              <w:rPr>
                <w:sz w:val="21"/>
              </w:rPr>
              <w:t>0.01</w:t>
            </w:r>
          </w:p>
        </w:tc>
        <w:tc>
          <w:tcPr>
            <w:tcW w:w="1097" w:type="dxa"/>
            <w:tcBorders>
              <w:left w:val="single" w:sz="6" w:space="0" w:color="000000"/>
              <w:right w:val="single" w:sz="6" w:space="0" w:color="000000"/>
            </w:tcBorders>
          </w:tcPr>
          <w:p w:rsidR="00D228BE" w:rsidRPr="00677D1F" w:rsidRDefault="00332EB6" w:rsidP="00677D1F">
            <w:pPr>
              <w:pStyle w:val="TableParagraph"/>
              <w:spacing w:before="54"/>
              <w:ind w:left="349"/>
              <w:contextualSpacing/>
              <w:rPr>
                <w:sz w:val="21"/>
              </w:rPr>
            </w:pPr>
            <w:r w:rsidRPr="00677D1F">
              <w:rPr>
                <w:sz w:val="21"/>
              </w:rPr>
              <w:t>0.12</w:t>
            </w:r>
          </w:p>
        </w:tc>
        <w:tc>
          <w:tcPr>
            <w:tcW w:w="1097" w:type="dxa"/>
            <w:tcBorders>
              <w:left w:val="single" w:sz="6" w:space="0" w:color="000000"/>
              <w:right w:val="single" w:sz="6" w:space="0" w:color="000000"/>
            </w:tcBorders>
          </w:tcPr>
          <w:p w:rsidR="00D228BE" w:rsidRPr="00677D1F" w:rsidRDefault="00332EB6" w:rsidP="00677D1F">
            <w:pPr>
              <w:pStyle w:val="TableParagraph"/>
              <w:spacing w:before="54"/>
              <w:ind w:left="349"/>
              <w:contextualSpacing/>
              <w:rPr>
                <w:sz w:val="21"/>
              </w:rPr>
            </w:pPr>
            <w:r w:rsidRPr="00677D1F">
              <w:rPr>
                <w:sz w:val="21"/>
              </w:rPr>
              <w:t>0.23</w:t>
            </w:r>
          </w:p>
        </w:tc>
        <w:tc>
          <w:tcPr>
            <w:tcW w:w="1099" w:type="dxa"/>
            <w:tcBorders>
              <w:left w:val="single" w:sz="6" w:space="0" w:color="000000"/>
            </w:tcBorders>
          </w:tcPr>
          <w:p w:rsidR="00D228BE" w:rsidRPr="00677D1F" w:rsidRDefault="00332EB6" w:rsidP="00677D1F">
            <w:pPr>
              <w:pStyle w:val="TableParagraph"/>
              <w:spacing w:before="54"/>
              <w:ind w:left="378"/>
              <w:contextualSpacing/>
              <w:rPr>
                <w:sz w:val="21"/>
              </w:rPr>
            </w:pPr>
            <w:r w:rsidRPr="00677D1F">
              <w:rPr>
                <w:sz w:val="21"/>
              </w:rPr>
              <w:t>100</w:t>
            </w:r>
          </w:p>
        </w:tc>
      </w:tr>
    </w:tbl>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根据熔盐氯化工艺，入炉钛渣粒度需达到150目。分布如下：</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表3.1-10  钛渣破碎粒度指标要求</w:t>
      </w:r>
    </w:p>
    <w:p w:rsidR="00D228BE" w:rsidRPr="00677D1F" w:rsidRDefault="00D228BE" w:rsidP="00677D1F">
      <w:pPr>
        <w:pStyle w:val="a4"/>
        <w:spacing w:before="2"/>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90"/>
        <w:gridCol w:w="2666"/>
        <w:gridCol w:w="3058"/>
        <w:gridCol w:w="1258"/>
      </w:tblGrid>
      <w:tr w:rsidR="00D228BE" w:rsidRPr="00677D1F">
        <w:trPr>
          <w:trHeight w:val="340"/>
          <w:jc w:val="center"/>
        </w:trPr>
        <w:tc>
          <w:tcPr>
            <w:tcW w:w="2090"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+0.1mm</w:t>
            </w:r>
          </w:p>
        </w:tc>
        <w:tc>
          <w:tcPr>
            <w:tcW w:w="266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-0.1mm</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 xml:space="preserve">150 </w:t>
            </w:r>
            <w:r w:rsidRPr="00677D1F">
              <w:rPr>
                <w:rFonts w:asciiTheme="minorEastAsia" w:eastAsiaTheme="minorEastAsia" w:hAnsiTheme="minorEastAsia" w:hint="eastAsia"/>
                <w:sz w:val="21"/>
              </w:rPr>
              <w:t>目）</w:t>
            </w:r>
          </w:p>
        </w:tc>
        <w:tc>
          <w:tcPr>
            <w:tcW w:w="305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 xml:space="preserve">-0.044 mm（325 </w:t>
            </w:r>
            <w:r w:rsidRPr="00677D1F">
              <w:rPr>
                <w:rFonts w:asciiTheme="minorEastAsia" w:eastAsiaTheme="minorEastAsia" w:hAnsiTheme="minorEastAsia" w:hint="eastAsia"/>
                <w:sz w:val="21"/>
              </w:rPr>
              <w:t>目）</w:t>
            </w:r>
          </w:p>
        </w:tc>
        <w:tc>
          <w:tcPr>
            <w:tcW w:w="1258"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备注</w:t>
            </w:r>
          </w:p>
        </w:tc>
      </w:tr>
      <w:tr w:rsidR="00D228BE" w:rsidRPr="00677D1F">
        <w:trPr>
          <w:trHeight w:val="340"/>
          <w:jc w:val="center"/>
        </w:trPr>
        <w:tc>
          <w:tcPr>
            <w:tcW w:w="2090"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10%</w:t>
            </w:r>
          </w:p>
        </w:tc>
        <w:tc>
          <w:tcPr>
            <w:tcW w:w="266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≥90</w:t>
            </w:r>
          </w:p>
        </w:tc>
        <w:tc>
          <w:tcPr>
            <w:tcW w:w="305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10%</w:t>
            </w:r>
          </w:p>
        </w:tc>
        <w:tc>
          <w:tcPr>
            <w:tcW w:w="1258" w:type="dxa"/>
            <w:tcBorders>
              <w:top w:val="single" w:sz="6" w:space="0" w:color="000000"/>
              <w:lef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4"/>
              </w:rPr>
            </w:pPr>
          </w:p>
        </w:tc>
      </w:tr>
    </w:tbl>
    <w:p w:rsidR="00D228BE" w:rsidRPr="00677D1F" w:rsidRDefault="00D228BE" w:rsidP="00677D1F">
      <w:pPr>
        <w:pStyle w:val="a4"/>
        <w:contextualSpacing/>
        <w:rPr>
          <w:rFonts w:ascii="黑体"/>
          <w:sz w:val="25"/>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本工段所需钛渣由本项目钛渣生产厂提供，钛渣生产破碎达到粒度要求后通过输送系统送至氯化车间配料仓。</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煅后石油焦</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生产年用量 18000t，成分见表</w:t>
      </w:r>
      <w:r w:rsidRPr="00677D1F">
        <w:rPr>
          <w:rFonts w:ascii="宋体" w:eastAsia="宋体" w:hAnsi="宋体" w:cs="宋体" w:hint="eastAsia"/>
          <w:color w:val="000000"/>
          <w:kern w:val="0"/>
          <w:sz w:val="24"/>
          <w:szCs w:val="24"/>
        </w:rPr>
        <w:t>3</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1</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11</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11  煅后石油焦成分</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72"/>
        <w:gridCol w:w="867"/>
        <w:gridCol w:w="1330"/>
        <w:gridCol w:w="1090"/>
        <w:gridCol w:w="958"/>
        <w:gridCol w:w="1090"/>
        <w:gridCol w:w="955"/>
        <w:gridCol w:w="955"/>
        <w:gridCol w:w="955"/>
      </w:tblGrid>
      <w:tr w:rsidR="00D228BE" w:rsidRPr="00677D1F">
        <w:trPr>
          <w:trHeight w:val="340"/>
          <w:jc w:val="center"/>
        </w:trPr>
        <w:tc>
          <w:tcPr>
            <w:tcW w:w="872"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成份</w:t>
            </w:r>
          </w:p>
        </w:tc>
        <w:tc>
          <w:tcPr>
            <w:tcW w:w="867"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w:t>
            </w:r>
          </w:p>
        </w:tc>
        <w:tc>
          <w:tcPr>
            <w:tcW w:w="133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挥发份</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水份</w:t>
            </w:r>
          </w:p>
        </w:tc>
        <w:tc>
          <w:tcPr>
            <w:tcW w:w="95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硫</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灰份</w:t>
            </w:r>
          </w:p>
        </w:tc>
        <w:tc>
          <w:tcPr>
            <w:tcW w:w="955"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硅</w:t>
            </w:r>
          </w:p>
        </w:tc>
        <w:tc>
          <w:tcPr>
            <w:tcW w:w="955"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氢</w:t>
            </w:r>
          </w:p>
        </w:tc>
        <w:tc>
          <w:tcPr>
            <w:tcW w:w="955"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钒</w:t>
            </w:r>
          </w:p>
        </w:tc>
      </w:tr>
      <w:tr w:rsidR="00D228BE" w:rsidRPr="00677D1F">
        <w:trPr>
          <w:trHeight w:val="340"/>
          <w:jc w:val="center"/>
        </w:trPr>
        <w:tc>
          <w:tcPr>
            <w:tcW w:w="87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Wt%</w:t>
            </w:r>
          </w:p>
        </w:tc>
        <w:tc>
          <w:tcPr>
            <w:tcW w:w="867"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≥97</w:t>
            </w:r>
          </w:p>
        </w:tc>
        <w:tc>
          <w:tcPr>
            <w:tcW w:w="133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≤0.5</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w:t>
            </w:r>
          </w:p>
        </w:tc>
        <w:tc>
          <w:tcPr>
            <w:tcW w:w="95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≤1.0</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≤0.6</w:t>
            </w:r>
          </w:p>
        </w:tc>
        <w:tc>
          <w:tcPr>
            <w:tcW w:w="955"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≤0.6</w:t>
            </w:r>
          </w:p>
        </w:tc>
        <w:tc>
          <w:tcPr>
            <w:tcW w:w="955"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≤0.8</w:t>
            </w:r>
          </w:p>
        </w:tc>
        <w:tc>
          <w:tcPr>
            <w:tcW w:w="955"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≤0.075</w:t>
            </w:r>
          </w:p>
        </w:tc>
      </w:tr>
    </w:tbl>
    <w:p w:rsidR="00D228BE" w:rsidRPr="00677D1F" w:rsidRDefault="00D228BE" w:rsidP="00677D1F">
      <w:pPr>
        <w:pStyle w:val="a4"/>
        <w:spacing w:line="240" w:lineRule="exact"/>
        <w:contextualSpacing/>
        <w:rPr>
          <w:rFonts w:ascii="黑体"/>
          <w:sz w:val="18"/>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煅后焦真密度2.02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2.2g/cm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，体积密度1.3g/cm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，粒度要求如下：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6目（3350μm）≤5%（筛上物）</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28目（600μm）≥95%（筛上物）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外购合格粒度，袋装、汽车运入原料仓库内。</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 氯气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1）补充氯气（钠电解氯气）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生产年用量 40455t，要求如下： Cl2≥92 （质量百分数）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H2O＜0.06（质量百分数）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补充氯由本项目钠电解厂产生的氯气提供，通过管道送至氯化工段使用。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2）返回氯气（镁电解工段循环返回）</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生产年用量 124515t，成分如下： Cl</w:t>
      </w:r>
      <w:r w:rsidRPr="00A2479C">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≥92%（质量百分数）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H</w:t>
      </w:r>
      <w:r w:rsidRPr="00A2479C">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O＜0.06%（重量百分数）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氯气从镁电解工段通过管道送至氯化工段使用。</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④ 工业盐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工业盐需要量26000</w:t>
      </w:r>
      <w:r w:rsidRPr="00677D1F">
        <w:rPr>
          <w:rFonts w:ascii="宋体" w:eastAsia="宋体" w:hAnsi="宋体" w:cs="宋体" w:hint="eastAsia"/>
          <w:color w:val="000000"/>
          <w:kern w:val="0"/>
          <w:sz w:val="24"/>
          <w:szCs w:val="24"/>
        </w:rPr>
        <w:t>t/a</w:t>
      </w:r>
      <w:r w:rsidRPr="00677D1F">
        <w:rPr>
          <w:rFonts w:ascii="宋体" w:eastAsia="宋体" w:hAnsi="宋体" w:cs="宋体"/>
          <w:color w:val="000000"/>
          <w:kern w:val="0"/>
          <w:sz w:val="24"/>
          <w:szCs w:val="24"/>
        </w:rPr>
        <w:t>。全部外购。采用袋装由汽车运输至氯化原料库。堆比重0.8</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1.1t/m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，氯化钠质量要求如下：</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12  工业盐质量要求</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403"/>
        <w:gridCol w:w="1909"/>
        <w:gridCol w:w="1915"/>
        <w:gridCol w:w="1845"/>
      </w:tblGrid>
      <w:tr w:rsidR="00D228BE" w:rsidRPr="00677D1F">
        <w:trPr>
          <w:trHeight w:val="340"/>
          <w:jc w:val="center"/>
        </w:trPr>
        <w:tc>
          <w:tcPr>
            <w:tcW w:w="3403" w:type="dxa"/>
            <w:vMerge w:val="restart"/>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指标项目</w:t>
            </w:r>
          </w:p>
        </w:tc>
        <w:tc>
          <w:tcPr>
            <w:tcW w:w="3824" w:type="dxa"/>
            <w:gridSpan w:val="2"/>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化学成分</w:t>
            </w:r>
          </w:p>
        </w:tc>
        <w:tc>
          <w:tcPr>
            <w:tcW w:w="1845" w:type="dxa"/>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粒度</w:t>
            </w:r>
          </w:p>
        </w:tc>
      </w:tr>
      <w:tr w:rsidR="00D228BE" w:rsidRPr="00677D1F">
        <w:trPr>
          <w:trHeight w:val="340"/>
          <w:jc w:val="center"/>
        </w:trPr>
        <w:tc>
          <w:tcPr>
            <w:tcW w:w="3403" w:type="dxa"/>
            <w:vMerge/>
            <w:vAlign w:val="center"/>
          </w:tcPr>
          <w:p w:rsidR="00D228BE" w:rsidRPr="00677D1F" w:rsidRDefault="00D228BE" w:rsidP="00677D1F">
            <w:pPr>
              <w:contextualSpacing/>
              <w:jc w:val="center"/>
              <w:rPr>
                <w:kern w:val="0"/>
                <w:sz w:val="2"/>
                <w:szCs w:val="2"/>
              </w:rPr>
            </w:pPr>
          </w:p>
        </w:tc>
        <w:tc>
          <w:tcPr>
            <w:tcW w:w="1909" w:type="dxa"/>
            <w:vAlign w:val="center"/>
          </w:tcPr>
          <w:p w:rsidR="00D228BE" w:rsidRPr="00677D1F" w:rsidRDefault="00332EB6" w:rsidP="00677D1F">
            <w:pPr>
              <w:pStyle w:val="TableParagraph"/>
              <w:contextualSpacing/>
              <w:jc w:val="center"/>
              <w:rPr>
                <w:b/>
                <w:sz w:val="21"/>
              </w:rPr>
            </w:pPr>
            <w:r w:rsidRPr="00677D1F">
              <w:rPr>
                <w:b/>
                <w:sz w:val="21"/>
              </w:rPr>
              <w:t>NaCl</w:t>
            </w:r>
          </w:p>
        </w:tc>
        <w:tc>
          <w:tcPr>
            <w:tcW w:w="1915" w:type="dxa"/>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水分</w:t>
            </w:r>
          </w:p>
        </w:tc>
        <w:tc>
          <w:tcPr>
            <w:tcW w:w="1845" w:type="dxa"/>
            <w:vAlign w:val="center"/>
          </w:tcPr>
          <w:p w:rsidR="00D228BE" w:rsidRPr="00677D1F" w:rsidRDefault="00332EB6" w:rsidP="00677D1F">
            <w:pPr>
              <w:pStyle w:val="TableParagraph"/>
              <w:contextualSpacing/>
              <w:jc w:val="center"/>
              <w:rPr>
                <w:b/>
                <w:sz w:val="21"/>
              </w:rPr>
            </w:pPr>
            <w:r w:rsidRPr="00677D1F">
              <w:rPr>
                <w:b/>
                <w:sz w:val="21"/>
              </w:rPr>
              <w:t>-5mm</w:t>
            </w:r>
          </w:p>
        </w:tc>
      </w:tr>
      <w:tr w:rsidR="00D228BE" w:rsidRPr="00677D1F">
        <w:trPr>
          <w:trHeight w:val="340"/>
          <w:jc w:val="center"/>
        </w:trPr>
        <w:tc>
          <w:tcPr>
            <w:tcW w:w="3403" w:type="dxa"/>
            <w:vAlign w:val="center"/>
          </w:tcPr>
          <w:p w:rsidR="00D228BE" w:rsidRPr="00677D1F" w:rsidRDefault="00332EB6" w:rsidP="00677D1F">
            <w:pPr>
              <w:pStyle w:val="TableParagraph"/>
              <w:contextualSpacing/>
              <w:jc w:val="center"/>
              <w:rPr>
                <w:rFonts w:ascii="宋体" w:eastAsia="宋体"/>
                <w:sz w:val="21"/>
              </w:rPr>
            </w:pPr>
            <w:r w:rsidRPr="00677D1F">
              <w:rPr>
                <w:rFonts w:ascii="宋体" w:eastAsia="宋体" w:hint="eastAsia"/>
                <w:sz w:val="21"/>
              </w:rPr>
              <w:t>指标要求</w:t>
            </w:r>
          </w:p>
        </w:tc>
        <w:tc>
          <w:tcPr>
            <w:tcW w:w="1909" w:type="dxa"/>
            <w:vAlign w:val="center"/>
          </w:tcPr>
          <w:p w:rsidR="00D228BE" w:rsidRPr="00677D1F" w:rsidRDefault="00332EB6" w:rsidP="00677D1F">
            <w:pPr>
              <w:pStyle w:val="TableParagraph"/>
              <w:contextualSpacing/>
              <w:jc w:val="center"/>
              <w:rPr>
                <w:sz w:val="21"/>
              </w:rPr>
            </w:pPr>
            <w:r w:rsidRPr="00677D1F">
              <w:rPr>
                <w:sz w:val="21"/>
              </w:rPr>
              <w:t>≥98.5%</w:t>
            </w:r>
          </w:p>
        </w:tc>
        <w:tc>
          <w:tcPr>
            <w:tcW w:w="1915" w:type="dxa"/>
            <w:vAlign w:val="center"/>
          </w:tcPr>
          <w:p w:rsidR="00D228BE" w:rsidRPr="00677D1F" w:rsidRDefault="00332EB6" w:rsidP="00677D1F">
            <w:pPr>
              <w:pStyle w:val="TableParagraph"/>
              <w:contextualSpacing/>
              <w:jc w:val="center"/>
              <w:rPr>
                <w:sz w:val="21"/>
              </w:rPr>
            </w:pPr>
            <w:r w:rsidRPr="00677D1F">
              <w:rPr>
                <w:sz w:val="21"/>
              </w:rPr>
              <w:t>≤0.5%</w:t>
            </w:r>
          </w:p>
        </w:tc>
        <w:tc>
          <w:tcPr>
            <w:tcW w:w="1845" w:type="dxa"/>
            <w:vAlign w:val="center"/>
          </w:tcPr>
          <w:p w:rsidR="00D228BE" w:rsidRPr="00677D1F" w:rsidRDefault="00332EB6" w:rsidP="00677D1F">
            <w:pPr>
              <w:pStyle w:val="TableParagraph"/>
              <w:contextualSpacing/>
              <w:jc w:val="center"/>
              <w:rPr>
                <w:sz w:val="21"/>
              </w:rPr>
            </w:pPr>
            <w:r w:rsidRPr="00677D1F">
              <w:rPr>
                <w:sz w:val="21"/>
              </w:rPr>
              <w:t>≥90%</w:t>
            </w:r>
          </w:p>
        </w:tc>
      </w:tr>
    </w:tbl>
    <w:p w:rsidR="00D228BE" w:rsidRPr="00677D1F" w:rsidRDefault="00D228BE" w:rsidP="00677D1F">
      <w:pPr>
        <w:pStyle w:val="a4"/>
        <w:spacing w:line="240" w:lineRule="exact"/>
        <w:contextualSpacing/>
        <w:rPr>
          <w:rFonts w:ascii="黑体"/>
          <w:sz w:val="30"/>
        </w:rPr>
      </w:pP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（2）辅助材料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① </w:t>
      </w:r>
      <w:r w:rsidRPr="00677D1F">
        <w:rPr>
          <w:rFonts w:ascii="宋体" w:eastAsia="宋体" w:hAnsi="宋体" w:cs="宋体"/>
          <w:color w:val="000000"/>
          <w:kern w:val="0"/>
          <w:sz w:val="24"/>
          <w:szCs w:val="24"/>
        </w:rPr>
        <w:t>液氩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生产年用量30t，成分构成如下：</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13  液氩成分</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13"/>
        <w:gridCol w:w="1107"/>
        <w:gridCol w:w="998"/>
        <w:gridCol w:w="1219"/>
        <w:gridCol w:w="1331"/>
        <w:gridCol w:w="1551"/>
        <w:gridCol w:w="1853"/>
      </w:tblGrid>
      <w:tr w:rsidR="00D228BE" w:rsidRPr="00677D1F">
        <w:trPr>
          <w:trHeight w:val="340"/>
          <w:jc w:val="center"/>
        </w:trPr>
        <w:tc>
          <w:tcPr>
            <w:tcW w:w="1013"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成份</w:t>
            </w:r>
          </w:p>
        </w:tc>
        <w:tc>
          <w:tcPr>
            <w:tcW w:w="1107"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Ar</w:t>
            </w:r>
          </w:p>
        </w:tc>
        <w:tc>
          <w:tcPr>
            <w:tcW w:w="998"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N</w:t>
            </w:r>
            <w:r w:rsidRPr="00677D1F">
              <w:rPr>
                <w:rFonts w:asciiTheme="minorEastAsia" w:eastAsiaTheme="minorEastAsia" w:hAnsiTheme="minorEastAsia"/>
                <w:b/>
                <w:sz w:val="18"/>
                <w:szCs w:val="18"/>
                <w:vertAlign w:val="subscript"/>
              </w:rPr>
              <w:t>2</w:t>
            </w:r>
          </w:p>
        </w:tc>
        <w:tc>
          <w:tcPr>
            <w:tcW w:w="1219"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O</w:t>
            </w:r>
            <w:r w:rsidRPr="00677D1F">
              <w:rPr>
                <w:rFonts w:asciiTheme="minorEastAsia" w:eastAsiaTheme="minorEastAsia" w:hAnsiTheme="minorEastAsia"/>
                <w:b/>
                <w:sz w:val="18"/>
                <w:szCs w:val="18"/>
                <w:vertAlign w:val="subscript"/>
              </w:rPr>
              <w:t>2</w:t>
            </w:r>
          </w:p>
        </w:tc>
        <w:tc>
          <w:tcPr>
            <w:tcW w:w="133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H</w:t>
            </w:r>
            <w:r w:rsidRPr="00677D1F">
              <w:rPr>
                <w:rFonts w:asciiTheme="minorEastAsia" w:eastAsiaTheme="minorEastAsia" w:hAnsiTheme="minorEastAsia"/>
                <w:b/>
                <w:sz w:val="18"/>
                <w:szCs w:val="18"/>
                <w:vertAlign w:val="subscript"/>
              </w:rPr>
              <w:t>2</w:t>
            </w:r>
          </w:p>
        </w:tc>
        <w:tc>
          <w:tcPr>
            <w:tcW w:w="155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lang w:val="en-US"/>
              </w:rPr>
            </w:pPr>
            <w:r w:rsidRPr="00677D1F">
              <w:rPr>
                <w:rFonts w:asciiTheme="minorEastAsia" w:eastAsiaTheme="minorEastAsia" w:hAnsiTheme="minorEastAsia"/>
                <w:b/>
                <w:sz w:val="18"/>
                <w:szCs w:val="18"/>
                <w:lang w:val="en-US"/>
              </w:rPr>
              <w:t>CH</w:t>
            </w:r>
            <w:r w:rsidRPr="00677D1F">
              <w:rPr>
                <w:rFonts w:asciiTheme="minorEastAsia" w:eastAsiaTheme="minorEastAsia" w:hAnsiTheme="minorEastAsia"/>
                <w:b/>
                <w:sz w:val="18"/>
                <w:szCs w:val="18"/>
                <w:vertAlign w:val="subscript"/>
                <w:lang w:val="en-US"/>
              </w:rPr>
              <w:t>4</w:t>
            </w:r>
            <w:r w:rsidRPr="00677D1F">
              <w:rPr>
                <w:rFonts w:asciiTheme="minorEastAsia" w:eastAsiaTheme="minorEastAsia" w:hAnsiTheme="minorEastAsia"/>
                <w:b/>
                <w:sz w:val="18"/>
                <w:szCs w:val="18"/>
                <w:lang w:val="en-US"/>
              </w:rPr>
              <w:t>+CO+CO</w:t>
            </w:r>
            <w:r w:rsidRPr="00677D1F">
              <w:rPr>
                <w:rFonts w:asciiTheme="minorEastAsia" w:eastAsiaTheme="minorEastAsia" w:hAnsiTheme="minorEastAsia"/>
                <w:b/>
                <w:sz w:val="18"/>
                <w:szCs w:val="18"/>
                <w:vertAlign w:val="subscript"/>
                <w:lang w:val="en-US"/>
              </w:rPr>
              <w:t>2</w:t>
            </w:r>
          </w:p>
        </w:tc>
        <w:tc>
          <w:tcPr>
            <w:tcW w:w="1853"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H</w:t>
            </w:r>
            <w:r w:rsidRPr="00677D1F">
              <w:rPr>
                <w:rFonts w:asciiTheme="minorEastAsia" w:eastAsiaTheme="minorEastAsia" w:hAnsiTheme="minorEastAsia"/>
                <w:b/>
                <w:sz w:val="18"/>
                <w:szCs w:val="18"/>
                <w:vertAlign w:val="subscript"/>
              </w:rPr>
              <w:t>2</w:t>
            </w:r>
            <w:r w:rsidRPr="00677D1F">
              <w:rPr>
                <w:rFonts w:asciiTheme="minorEastAsia" w:eastAsiaTheme="minorEastAsia" w:hAnsiTheme="minorEastAsia"/>
                <w:b/>
                <w:sz w:val="18"/>
                <w:szCs w:val="18"/>
              </w:rPr>
              <w:t>O</w:t>
            </w:r>
          </w:p>
        </w:tc>
      </w:tr>
      <w:tr w:rsidR="00D228BE" w:rsidRPr="00677D1F">
        <w:trPr>
          <w:trHeight w:val="340"/>
          <w:jc w:val="center"/>
        </w:trPr>
        <w:tc>
          <w:tcPr>
            <w:tcW w:w="10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V%</w:t>
            </w:r>
          </w:p>
        </w:tc>
        <w:tc>
          <w:tcPr>
            <w:tcW w:w="110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≥99.999</w:t>
            </w:r>
          </w:p>
        </w:tc>
        <w:tc>
          <w:tcPr>
            <w:tcW w:w="99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≤4×10</w:t>
            </w:r>
            <w:r w:rsidRPr="00677D1F">
              <w:rPr>
                <w:rFonts w:asciiTheme="minorEastAsia" w:eastAsiaTheme="minorEastAsia" w:hAnsiTheme="minorEastAsia"/>
                <w:sz w:val="18"/>
                <w:szCs w:val="18"/>
                <w:vertAlign w:val="superscript"/>
              </w:rPr>
              <w:t>-6</w:t>
            </w:r>
          </w:p>
        </w:tc>
        <w:tc>
          <w:tcPr>
            <w:tcW w:w="1219"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≤1.5×10</w:t>
            </w:r>
            <w:r w:rsidRPr="00677D1F">
              <w:rPr>
                <w:rFonts w:asciiTheme="minorEastAsia" w:eastAsiaTheme="minorEastAsia" w:hAnsiTheme="minorEastAsia" w:hint="eastAsia"/>
                <w:sz w:val="18"/>
                <w:szCs w:val="18"/>
                <w:vertAlign w:val="superscript"/>
              </w:rPr>
              <w:t>-6</w:t>
            </w:r>
          </w:p>
        </w:tc>
        <w:tc>
          <w:tcPr>
            <w:tcW w:w="133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vertAlign w:val="superscript"/>
              </w:rPr>
            </w:pPr>
            <w:r w:rsidRPr="00677D1F">
              <w:rPr>
                <w:rFonts w:asciiTheme="minorEastAsia" w:eastAsiaTheme="minorEastAsia" w:hAnsiTheme="minorEastAsia"/>
                <w:sz w:val="18"/>
                <w:szCs w:val="18"/>
              </w:rPr>
              <w:t>≤0.5×10</w:t>
            </w:r>
            <w:r w:rsidRPr="00677D1F">
              <w:rPr>
                <w:rFonts w:asciiTheme="minorEastAsia" w:eastAsiaTheme="minorEastAsia" w:hAnsiTheme="minorEastAsia" w:hint="eastAsia"/>
                <w:sz w:val="18"/>
                <w:szCs w:val="18"/>
                <w:vertAlign w:val="superscript"/>
              </w:rPr>
              <w:t>-6</w:t>
            </w:r>
          </w:p>
        </w:tc>
        <w:tc>
          <w:tcPr>
            <w:tcW w:w="155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vertAlign w:val="superscript"/>
              </w:rPr>
            </w:pPr>
            <w:r w:rsidRPr="00677D1F">
              <w:rPr>
                <w:rFonts w:asciiTheme="minorEastAsia" w:eastAsiaTheme="minorEastAsia" w:hAnsiTheme="minorEastAsia"/>
                <w:sz w:val="18"/>
                <w:szCs w:val="18"/>
              </w:rPr>
              <w:t>≤1×10</w:t>
            </w:r>
            <w:r w:rsidRPr="00677D1F">
              <w:rPr>
                <w:rFonts w:asciiTheme="minorEastAsia" w:eastAsiaTheme="minorEastAsia" w:hAnsiTheme="minorEastAsia" w:hint="eastAsia"/>
                <w:sz w:val="18"/>
                <w:szCs w:val="18"/>
                <w:vertAlign w:val="superscript"/>
              </w:rPr>
              <w:t>-6</w:t>
            </w:r>
          </w:p>
        </w:tc>
        <w:tc>
          <w:tcPr>
            <w:tcW w:w="185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≤3×10</w:t>
            </w:r>
            <w:r w:rsidRPr="00677D1F">
              <w:rPr>
                <w:rFonts w:asciiTheme="minorEastAsia" w:eastAsiaTheme="minorEastAsia" w:hAnsiTheme="minorEastAsia" w:hint="eastAsia"/>
                <w:sz w:val="18"/>
                <w:szCs w:val="18"/>
                <w:vertAlign w:val="superscript"/>
              </w:rPr>
              <w:t>-6</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外购、利用汽车槽罐车运入厂内液氩贮库，气化后用管道送至储罐区。</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② </w:t>
      </w:r>
      <w:r w:rsidRPr="00677D1F">
        <w:rPr>
          <w:rFonts w:ascii="宋体" w:eastAsia="宋体" w:hAnsi="宋体" w:cs="宋体"/>
          <w:color w:val="000000"/>
          <w:kern w:val="0"/>
          <w:sz w:val="24"/>
          <w:szCs w:val="24"/>
        </w:rPr>
        <w:t>碱液</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处理四氯化钛生产尾气洗涤，生产年用量60000t，NaOH 浓度为30％。碱液外购，用汽车槽罐车运入厂内液碱储库碱液贮槽内储存，用泵分别送至各工段使用。</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 石灰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处理氯化收尘渣用的石灰，外购汽车运入厂区内，生产年用量20000t，要求CaO含量大于 85%。</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④ 铝粉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除钒用的除钒剂，外购汽车运入厂区内，生产年用量190t。</w:t>
      </w:r>
    </w:p>
    <w:p w:rsidR="00D228BE" w:rsidRPr="00677D1F" w:rsidRDefault="00332EB6" w:rsidP="00677D1F">
      <w:pPr>
        <w:widowControl/>
        <w:spacing w:line="360" w:lineRule="auto"/>
        <w:contextualSpacing/>
        <w:outlineLvl w:val="3"/>
        <w:rPr>
          <w:rFonts w:asciiTheme="minorEastAsia" w:hAnsiTheme="minorEastAsia" w:cs="宋体"/>
          <w:b/>
          <w:bCs/>
          <w:color w:val="000000"/>
          <w:kern w:val="0"/>
          <w:sz w:val="24"/>
          <w:szCs w:val="24"/>
        </w:rPr>
      </w:pPr>
      <w:r w:rsidRPr="00677D1F">
        <w:rPr>
          <w:rFonts w:asciiTheme="minorEastAsia" w:hAnsiTheme="minorEastAsia" w:cs="Times New Roman"/>
          <w:b/>
          <w:bCs/>
          <w:color w:val="000000"/>
          <w:kern w:val="0"/>
          <w:sz w:val="24"/>
          <w:szCs w:val="24"/>
        </w:rPr>
        <w:t>3.1.4.</w:t>
      </w:r>
      <w:r w:rsidRPr="00677D1F">
        <w:rPr>
          <w:rFonts w:asciiTheme="minorEastAsia" w:hAnsiTheme="minorEastAsia" w:cs="Times New Roman" w:hint="eastAsia"/>
          <w:b/>
          <w:bCs/>
          <w:color w:val="000000"/>
          <w:kern w:val="0"/>
          <w:sz w:val="24"/>
          <w:szCs w:val="24"/>
        </w:rPr>
        <w:t xml:space="preserve">3 </w:t>
      </w:r>
      <w:r w:rsidRPr="00677D1F">
        <w:rPr>
          <w:rFonts w:asciiTheme="minorEastAsia" w:hAnsiTheme="minorEastAsia" w:cs="宋体" w:hint="eastAsia"/>
          <w:b/>
          <w:bCs/>
          <w:color w:val="000000"/>
          <w:kern w:val="0"/>
          <w:sz w:val="24"/>
          <w:szCs w:val="24"/>
        </w:rPr>
        <w:t>海绵钛生产工艺</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（1）生产原料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lastRenderedPageBreak/>
        <w:t>海绵钛生产厂生产原料为精四氯化钛，精四氯化钛本由项目四氯化钛生产厂提供，年用量171095t，成分见表 7.4-1。</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表3.1.14  精四氯化钛成分表</w:t>
      </w:r>
    </w:p>
    <w:p w:rsidR="00D228BE" w:rsidRPr="00677D1F" w:rsidRDefault="00D228BE" w:rsidP="00677D1F">
      <w:pPr>
        <w:pStyle w:val="a4"/>
        <w:spacing w:before="2"/>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46"/>
        <w:gridCol w:w="1047"/>
        <w:gridCol w:w="1049"/>
        <w:gridCol w:w="1047"/>
        <w:gridCol w:w="1049"/>
        <w:gridCol w:w="1047"/>
        <w:gridCol w:w="1049"/>
        <w:gridCol w:w="1738"/>
      </w:tblGrid>
      <w:tr w:rsidR="00D228BE" w:rsidRPr="00677D1F">
        <w:trPr>
          <w:trHeight w:val="340"/>
          <w:jc w:val="center"/>
        </w:trPr>
        <w:tc>
          <w:tcPr>
            <w:tcW w:w="1046"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成分</w:t>
            </w:r>
          </w:p>
        </w:tc>
        <w:tc>
          <w:tcPr>
            <w:tcW w:w="104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TiCl</w:t>
            </w:r>
            <w:r w:rsidRPr="00677D1F">
              <w:rPr>
                <w:rFonts w:asciiTheme="minorEastAsia" w:eastAsiaTheme="minorEastAsia" w:hAnsiTheme="minorEastAsia"/>
                <w:b/>
                <w:sz w:val="21"/>
                <w:vertAlign w:val="subscript"/>
              </w:rPr>
              <w:t>4</w:t>
            </w:r>
          </w:p>
        </w:tc>
        <w:tc>
          <w:tcPr>
            <w:tcW w:w="104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VOCl</w:t>
            </w:r>
            <w:r w:rsidRPr="00677D1F">
              <w:rPr>
                <w:rFonts w:asciiTheme="minorEastAsia" w:eastAsiaTheme="minorEastAsia" w:hAnsiTheme="minorEastAsia"/>
                <w:b/>
                <w:sz w:val="21"/>
                <w:vertAlign w:val="subscript"/>
              </w:rPr>
              <w:t>3</w:t>
            </w:r>
          </w:p>
        </w:tc>
        <w:tc>
          <w:tcPr>
            <w:tcW w:w="104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FeCl</w:t>
            </w:r>
            <w:r w:rsidRPr="00677D1F">
              <w:rPr>
                <w:rFonts w:asciiTheme="minorEastAsia" w:eastAsiaTheme="minorEastAsia" w:hAnsiTheme="minorEastAsia"/>
                <w:b/>
                <w:sz w:val="21"/>
                <w:vertAlign w:val="subscript"/>
              </w:rPr>
              <w:t>3</w:t>
            </w:r>
          </w:p>
        </w:tc>
        <w:tc>
          <w:tcPr>
            <w:tcW w:w="104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AlCl</w:t>
            </w:r>
            <w:r w:rsidRPr="00677D1F">
              <w:rPr>
                <w:rFonts w:asciiTheme="minorEastAsia" w:eastAsiaTheme="minorEastAsia" w:hAnsiTheme="minorEastAsia"/>
                <w:b/>
                <w:sz w:val="21"/>
                <w:vertAlign w:val="subscript"/>
              </w:rPr>
              <w:t>3</w:t>
            </w:r>
          </w:p>
        </w:tc>
        <w:tc>
          <w:tcPr>
            <w:tcW w:w="104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SiCl</w:t>
            </w:r>
            <w:r w:rsidRPr="00677D1F">
              <w:rPr>
                <w:rFonts w:asciiTheme="minorEastAsia" w:eastAsiaTheme="minorEastAsia" w:hAnsiTheme="minorEastAsia"/>
                <w:b/>
                <w:sz w:val="21"/>
                <w:vertAlign w:val="subscript"/>
              </w:rPr>
              <w:t>4</w:t>
            </w:r>
          </w:p>
        </w:tc>
        <w:tc>
          <w:tcPr>
            <w:tcW w:w="104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SnCl</w:t>
            </w:r>
            <w:r w:rsidRPr="00677D1F">
              <w:rPr>
                <w:rFonts w:asciiTheme="minorEastAsia" w:eastAsiaTheme="minorEastAsia" w:hAnsiTheme="minorEastAsia"/>
                <w:b/>
                <w:sz w:val="21"/>
                <w:vertAlign w:val="subscript"/>
              </w:rPr>
              <w:t>4</w:t>
            </w:r>
          </w:p>
        </w:tc>
        <w:tc>
          <w:tcPr>
            <w:tcW w:w="1738"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色度</w:t>
            </w:r>
          </w:p>
        </w:tc>
      </w:tr>
      <w:tr w:rsidR="00D228BE" w:rsidRPr="00677D1F">
        <w:trPr>
          <w:trHeight w:val="340"/>
          <w:jc w:val="center"/>
        </w:trPr>
        <w:tc>
          <w:tcPr>
            <w:tcW w:w="1046"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w:t>
            </w:r>
          </w:p>
        </w:tc>
        <w:tc>
          <w:tcPr>
            <w:tcW w:w="104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99.99</w:t>
            </w:r>
          </w:p>
        </w:tc>
        <w:tc>
          <w:tcPr>
            <w:tcW w:w="104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0.0005</w:t>
            </w:r>
          </w:p>
        </w:tc>
        <w:tc>
          <w:tcPr>
            <w:tcW w:w="104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0.0005</w:t>
            </w:r>
          </w:p>
        </w:tc>
        <w:tc>
          <w:tcPr>
            <w:tcW w:w="104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0.001</w:t>
            </w:r>
          </w:p>
        </w:tc>
        <w:tc>
          <w:tcPr>
            <w:tcW w:w="104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0.003</w:t>
            </w:r>
          </w:p>
        </w:tc>
        <w:tc>
          <w:tcPr>
            <w:tcW w:w="104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0.005</w:t>
            </w:r>
          </w:p>
        </w:tc>
        <w:tc>
          <w:tcPr>
            <w:tcW w:w="1738"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5mgK</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sz w:val="21"/>
              </w:rPr>
              <w:t>Cr</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sz w:val="21"/>
              </w:rPr>
              <w:t>O</w:t>
            </w:r>
            <w:r w:rsidRPr="00677D1F">
              <w:rPr>
                <w:rFonts w:asciiTheme="minorEastAsia" w:eastAsiaTheme="minorEastAsia" w:hAnsiTheme="minorEastAsia"/>
                <w:b/>
                <w:sz w:val="21"/>
                <w:vertAlign w:val="subscript"/>
              </w:rPr>
              <w:t>7</w:t>
            </w:r>
            <w:r w:rsidRPr="00677D1F">
              <w:rPr>
                <w:rFonts w:asciiTheme="minorEastAsia" w:eastAsiaTheme="minorEastAsia" w:hAnsiTheme="minorEastAsia"/>
                <w:sz w:val="21"/>
              </w:rPr>
              <w:t>/L</w:t>
            </w:r>
          </w:p>
        </w:tc>
      </w:tr>
    </w:tbl>
    <w:p w:rsidR="00D228BE" w:rsidRPr="00677D1F" w:rsidRDefault="00332EB6" w:rsidP="00677D1F">
      <w:pPr>
        <w:pStyle w:val="a4"/>
        <w:spacing w:before="224" w:line="364" w:lineRule="auto"/>
        <w:ind w:left="332" w:right="488" w:firstLine="559"/>
        <w:contextualSpacing/>
      </w:pPr>
      <w:r w:rsidRPr="00677D1F">
        <w:t>精四氯化钛由四氯化钛生产厂储罐区用泵通过管道输送至还原蒸馏车间精四氯化钛接收槽。</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（2）辅助材料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① </w:t>
      </w:r>
      <w:r w:rsidRPr="00677D1F">
        <w:rPr>
          <w:rFonts w:ascii="宋体" w:eastAsia="宋体" w:hAnsi="宋体" w:cs="宋体"/>
          <w:color w:val="000000"/>
          <w:kern w:val="0"/>
          <w:sz w:val="24"/>
          <w:szCs w:val="24"/>
        </w:rPr>
        <w:t>金属镁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金属镁执行GB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3499-2011标准，应满足Mg9995A的要求，生产补充镁年用量2400t，要求如下：</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15  精炼镁成分</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03"/>
        <w:gridCol w:w="672"/>
        <w:gridCol w:w="761"/>
        <w:gridCol w:w="764"/>
        <w:gridCol w:w="764"/>
        <w:gridCol w:w="764"/>
        <w:gridCol w:w="764"/>
        <w:gridCol w:w="764"/>
        <w:gridCol w:w="761"/>
        <w:gridCol w:w="764"/>
        <w:gridCol w:w="764"/>
        <w:gridCol w:w="927"/>
      </w:tblGrid>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成份</w:t>
            </w:r>
          </w:p>
        </w:tc>
        <w:tc>
          <w:tcPr>
            <w:tcW w:w="67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Mg</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Fe</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Si</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Cu</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Al</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Ni</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Mn</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Pb</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Sn</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Zn</w:t>
            </w:r>
          </w:p>
        </w:tc>
        <w:tc>
          <w:tcPr>
            <w:tcW w:w="927"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其他杂质</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Wt%</w:t>
            </w:r>
          </w:p>
        </w:tc>
        <w:tc>
          <w:tcPr>
            <w:tcW w:w="67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99.95</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≤0.003</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≤0.006</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≤0.002</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≤0.015</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≤0.001</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≤0.015</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c>
          <w:tcPr>
            <w:tcW w:w="92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r>
    </w:tbl>
    <w:p w:rsidR="00D228BE" w:rsidRPr="00677D1F" w:rsidRDefault="00D228BE" w:rsidP="00677D1F">
      <w:pPr>
        <w:pStyle w:val="a4"/>
        <w:spacing w:before="9" w:line="240" w:lineRule="exact"/>
        <w:contextualSpacing/>
        <w:rPr>
          <w:rFonts w:ascii="黑体"/>
          <w:sz w:val="25"/>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补充金属镁外购，汽车运入厂内。</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液氩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生产年用量450t，</w:t>
      </w:r>
      <w:r w:rsidRPr="00677D1F">
        <w:rPr>
          <w:sz w:val="24"/>
          <w:szCs w:val="24"/>
        </w:rPr>
        <w:t>外购、利用汽车槽罐车运入厂内液氩贮库。</w:t>
      </w:r>
    </w:p>
    <w:p w:rsidR="00D228BE" w:rsidRPr="00677D1F" w:rsidRDefault="00332EB6" w:rsidP="00677D1F">
      <w:pPr>
        <w:widowControl/>
        <w:spacing w:line="360" w:lineRule="auto"/>
        <w:contextualSpacing/>
        <w:outlineLvl w:val="3"/>
        <w:rPr>
          <w:rFonts w:asciiTheme="minorEastAsia" w:hAnsiTheme="minorEastAsia" w:cs="宋体"/>
          <w:b/>
          <w:bCs/>
          <w:color w:val="000000"/>
          <w:kern w:val="0"/>
          <w:sz w:val="24"/>
          <w:szCs w:val="24"/>
        </w:rPr>
      </w:pPr>
      <w:r w:rsidRPr="00677D1F">
        <w:rPr>
          <w:rFonts w:asciiTheme="minorEastAsia" w:hAnsiTheme="minorEastAsia" w:cs="Times New Roman"/>
          <w:b/>
          <w:bCs/>
          <w:color w:val="000000"/>
          <w:kern w:val="0"/>
          <w:sz w:val="24"/>
          <w:szCs w:val="24"/>
        </w:rPr>
        <w:t>3.1.4.</w:t>
      </w:r>
      <w:r w:rsidRPr="00677D1F">
        <w:rPr>
          <w:rFonts w:asciiTheme="minorEastAsia" w:hAnsiTheme="minorEastAsia" w:cs="Times New Roman" w:hint="eastAsia"/>
          <w:b/>
          <w:bCs/>
          <w:color w:val="000000"/>
          <w:kern w:val="0"/>
          <w:sz w:val="24"/>
          <w:szCs w:val="24"/>
        </w:rPr>
        <w:t xml:space="preserve">4 </w:t>
      </w:r>
      <w:r w:rsidRPr="00677D1F">
        <w:rPr>
          <w:rFonts w:asciiTheme="minorEastAsia" w:hAnsiTheme="minorEastAsia" w:cs="宋体" w:hint="eastAsia"/>
          <w:b/>
          <w:bCs/>
          <w:color w:val="000000"/>
          <w:kern w:val="0"/>
          <w:sz w:val="24"/>
          <w:szCs w:val="24"/>
        </w:rPr>
        <w:t>电解镁生产工艺</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 生产原料</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表3.1-16  氯化镁成份</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由钛系统返回</w:t>
      </w:r>
      <w:r w:rsidRPr="00677D1F">
        <w:rPr>
          <w:rFonts w:ascii="黑体" w:eastAsia="黑体" w:hAnsi="黑体" w:cs="宋体"/>
          <w:b/>
          <w:color w:val="000000"/>
          <w:kern w:val="0"/>
          <w:szCs w:val="21"/>
        </w:rPr>
        <w:t>）</w:t>
      </w:r>
    </w:p>
    <w:p w:rsidR="00D228BE" w:rsidRPr="00677D1F" w:rsidRDefault="00D228BE" w:rsidP="00677D1F">
      <w:pPr>
        <w:pStyle w:val="a4"/>
        <w:spacing w:before="9"/>
        <w:contextualSpacing/>
        <w:rPr>
          <w:rFonts w:ascii="Arial"/>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910"/>
        <w:gridCol w:w="1349"/>
        <w:gridCol w:w="1047"/>
        <w:gridCol w:w="1047"/>
        <w:gridCol w:w="1201"/>
        <w:gridCol w:w="1310"/>
        <w:gridCol w:w="1317"/>
        <w:gridCol w:w="891"/>
      </w:tblGrid>
      <w:tr w:rsidR="00D228BE" w:rsidRPr="00677D1F">
        <w:trPr>
          <w:trHeight w:val="340"/>
          <w:jc w:val="center"/>
        </w:trPr>
        <w:tc>
          <w:tcPr>
            <w:tcW w:w="910"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名称</w:t>
            </w:r>
          </w:p>
        </w:tc>
        <w:tc>
          <w:tcPr>
            <w:tcW w:w="134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MgCl</w:t>
            </w:r>
            <w:r w:rsidRPr="00677D1F">
              <w:rPr>
                <w:rFonts w:asciiTheme="minorEastAsia" w:eastAsiaTheme="minorEastAsia" w:hAnsiTheme="minorEastAsia"/>
                <w:b/>
                <w:sz w:val="21"/>
                <w:vertAlign w:val="subscript"/>
              </w:rPr>
              <w:t>2</w:t>
            </w:r>
          </w:p>
        </w:tc>
        <w:tc>
          <w:tcPr>
            <w:tcW w:w="104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NaCl</w:t>
            </w:r>
          </w:p>
        </w:tc>
        <w:tc>
          <w:tcPr>
            <w:tcW w:w="104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KCl</w:t>
            </w:r>
          </w:p>
        </w:tc>
        <w:tc>
          <w:tcPr>
            <w:tcW w:w="120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CaCl</w:t>
            </w:r>
            <w:r w:rsidRPr="00677D1F">
              <w:rPr>
                <w:rFonts w:asciiTheme="minorEastAsia" w:eastAsiaTheme="minorEastAsia" w:hAnsiTheme="minorEastAsia"/>
                <w:b/>
                <w:sz w:val="21"/>
                <w:vertAlign w:val="subscript"/>
              </w:rPr>
              <w:t>2</w:t>
            </w:r>
          </w:p>
        </w:tc>
        <w:tc>
          <w:tcPr>
            <w:tcW w:w="1310"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MgO</w:t>
            </w:r>
          </w:p>
        </w:tc>
        <w:tc>
          <w:tcPr>
            <w:tcW w:w="131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O</w:t>
            </w:r>
          </w:p>
        </w:tc>
        <w:tc>
          <w:tcPr>
            <w:tcW w:w="891"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其他</w:t>
            </w:r>
          </w:p>
        </w:tc>
      </w:tr>
      <w:tr w:rsidR="00D228BE" w:rsidRPr="00677D1F">
        <w:trPr>
          <w:trHeight w:val="340"/>
          <w:jc w:val="center"/>
        </w:trPr>
        <w:tc>
          <w:tcPr>
            <w:tcW w:w="910"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Wt%</w:t>
            </w:r>
          </w:p>
        </w:tc>
        <w:tc>
          <w:tcPr>
            <w:tcW w:w="134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99.6</w:t>
            </w:r>
          </w:p>
        </w:tc>
        <w:tc>
          <w:tcPr>
            <w:tcW w:w="104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&lt;0.1</w:t>
            </w:r>
          </w:p>
        </w:tc>
        <w:tc>
          <w:tcPr>
            <w:tcW w:w="104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&lt;0.05</w:t>
            </w:r>
          </w:p>
        </w:tc>
        <w:tc>
          <w:tcPr>
            <w:tcW w:w="1201"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&lt;0.1</w:t>
            </w:r>
          </w:p>
        </w:tc>
        <w:tc>
          <w:tcPr>
            <w:tcW w:w="1310"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0.1~0.35</w:t>
            </w:r>
          </w:p>
        </w:tc>
        <w:tc>
          <w:tcPr>
            <w:tcW w:w="131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≤0.005</w:t>
            </w:r>
          </w:p>
        </w:tc>
        <w:tc>
          <w:tcPr>
            <w:tcW w:w="891"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余量</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 辅助材料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① </w:t>
      </w:r>
      <w:r w:rsidRPr="00677D1F">
        <w:rPr>
          <w:rFonts w:ascii="宋体" w:eastAsia="宋体" w:hAnsi="宋体" w:cs="宋体"/>
          <w:color w:val="000000"/>
          <w:kern w:val="0"/>
          <w:sz w:val="24"/>
          <w:szCs w:val="24"/>
        </w:rPr>
        <w:t>工业氯化钠</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NaCl≥99.5%</w:t>
      </w:r>
      <w:r w:rsidRPr="00677D1F">
        <w:rPr>
          <w:rFonts w:ascii="宋体" w:eastAsia="宋体" w:hAnsi="宋体" w:cs="宋体" w:hint="eastAsia"/>
          <w:color w:val="000000"/>
          <w:kern w:val="0"/>
          <w:sz w:val="24"/>
          <w:szCs w:val="24"/>
        </w:rPr>
        <w:t>（wt%）</w:t>
      </w:r>
      <w:r w:rsidRPr="00677D1F">
        <w:rPr>
          <w:rFonts w:ascii="宋体" w:eastAsia="宋体" w:hAnsi="宋体" w:cs="宋体"/>
          <w:color w:val="000000"/>
          <w:kern w:val="0"/>
          <w:sz w:val="24"/>
          <w:szCs w:val="24"/>
        </w:rPr>
        <w:t>，可用现行国标GB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5462，一级品，见表</w:t>
      </w:r>
      <w:r w:rsidRPr="00677D1F">
        <w:rPr>
          <w:rFonts w:ascii="宋体" w:eastAsia="宋体" w:hAnsi="宋体" w:cs="宋体" w:hint="eastAsia"/>
          <w:color w:val="000000"/>
          <w:kern w:val="0"/>
          <w:sz w:val="24"/>
          <w:szCs w:val="24"/>
        </w:rPr>
        <w:t>3.1-17</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表3.1-17  工业氯化钠成份</w:t>
      </w:r>
    </w:p>
    <w:p w:rsidR="00D228BE" w:rsidRPr="00677D1F" w:rsidRDefault="00D228BE" w:rsidP="00677D1F">
      <w:pPr>
        <w:pStyle w:val="a4"/>
        <w:spacing w:before="3"/>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708"/>
        <w:gridCol w:w="1379"/>
        <w:gridCol w:w="1842"/>
        <w:gridCol w:w="1381"/>
        <w:gridCol w:w="1381"/>
        <w:gridCol w:w="1381"/>
      </w:tblGrid>
      <w:tr w:rsidR="00D228BE" w:rsidRPr="00677D1F">
        <w:trPr>
          <w:trHeight w:val="340"/>
          <w:jc w:val="center"/>
        </w:trPr>
        <w:tc>
          <w:tcPr>
            <w:tcW w:w="1708"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名称</w:t>
            </w:r>
          </w:p>
        </w:tc>
        <w:tc>
          <w:tcPr>
            <w:tcW w:w="137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NaCl</w:t>
            </w:r>
          </w:p>
        </w:tc>
        <w:tc>
          <w:tcPr>
            <w:tcW w:w="184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vertAlign w:val="superscript"/>
              </w:rPr>
            </w:pPr>
            <w:r w:rsidRPr="00677D1F">
              <w:rPr>
                <w:rFonts w:asciiTheme="minorEastAsia" w:eastAsiaTheme="minorEastAsia" w:hAnsiTheme="minorEastAsia"/>
                <w:b/>
                <w:sz w:val="21"/>
                <w:szCs w:val="21"/>
              </w:rPr>
              <w:t>SO</w:t>
            </w:r>
            <w:r w:rsidRPr="00677D1F">
              <w:rPr>
                <w:rFonts w:asciiTheme="minorEastAsia" w:eastAsiaTheme="minorEastAsia" w:hAnsiTheme="minorEastAsia"/>
                <w:b/>
                <w:sz w:val="21"/>
                <w:szCs w:val="21"/>
                <w:vertAlign w:val="subscript"/>
              </w:rPr>
              <w:t>4</w:t>
            </w:r>
            <w:r w:rsidRPr="00677D1F">
              <w:rPr>
                <w:rFonts w:asciiTheme="minorEastAsia" w:eastAsiaTheme="minorEastAsia" w:hAnsiTheme="minorEastAsia" w:hint="eastAsia"/>
                <w:b/>
                <w:sz w:val="21"/>
                <w:szCs w:val="21"/>
                <w:vertAlign w:val="superscript"/>
              </w:rPr>
              <w:t>2-</w:t>
            </w:r>
          </w:p>
        </w:tc>
        <w:tc>
          <w:tcPr>
            <w:tcW w:w="138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H</w:t>
            </w:r>
            <w:r w:rsidRPr="00677D1F">
              <w:rPr>
                <w:rFonts w:asciiTheme="minorEastAsia" w:eastAsiaTheme="minorEastAsia" w:hAnsiTheme="minorEastAsia"/>
                <w:b/>
                <w:sz w:val="21"/>
                <w:szCs w:val="21"/>
                <w:vertAlign w:val="subscript"/>
              </w:rPr>
              <w:t>2</w:t>
            </w:r>
            <w:r w:rsidRPr="00677D1F">
              <w:rPr>
                <w:rFonts w:asciiTheme="minorEastAsia" w:eastAsiaTheme="minorEastAsia" w:hAnsiTheme="minorEastAsia"/>
                <w:b/>
                <w:sz w:val="21"/>
                <w:szCs w:val="21"/>
              </w:rPr>
              <w:t>O</w:t>
            </w:r>
          </w:p>
        </w:tc>
        <w:tc>
          <w:tcPr>
            <w:tcW w:w="138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水不溶物</w:t>
            </w:r>
          </w:p>
        </w:tc>
        <w:tc>
          <w:tcPr>
            <w:tcW w:w="1381"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CaCO</w:t>
            </w:r>
            <w:r w:rsidRPr="00677D1F">
              <w:rPr>
                <w:rFonts w:asciiTheme="minorEastAsia" w:eastAsiaTheme="minorEastAsia" w:hAnsiTheme="minorEastAsia"/>
                <w:b/>
                <w:sz w:val="21"/>
                <w:szCs w:val="21"/>
                <w:vertAlign w:val="subscript"/>
              </w:rPr>
              <w:t>3</w:t>
            </w:r>
          </w:p>
        </w:tc>
      </w:tr>
      <w:tr w:rsidR="00D228BE" w:rsidRPr="00677D1F">
        <w:trPr>
          <w:trHeight w:val="340"/>
          <w:jc w:val="center"/>
        </w:trPr>
        <w:tc>
          <w:tcPr>
            <w:tcW w:w="1708"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w:t>
            </w:r>
          </w:p>
        </w:tc>
        <w:tc>
          <w:tcPr>
            <w:tcW w:w="137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≥99.5</w:t>
            </w:r>
          </w:p>
        </w:tc>
        <w:tc>
          <w:tcPr>
            <w:tcW w:w="1842"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≤0.02</w:t>
            </w:r>
          </w:p>
        </w:tc>
        <w:tc>
          <w:tcPr>
            <w:tcW w:w="1381"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≤0.4</w:t>
            </w:r>
          </w:p>
        </w:tc>
        <w:tc>
          <w:tcPr>
            <w:tcW w:w="1381"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≤0.1</w:t>
            </w:r>
          </w:p>
        </w:tc>
        <w:tc>
          <w:tcPr>
            <w:tcW w:w="1381"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≤0.01</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② </w:t>
      </w:r>
      <w:r w:rsidRPr="00677D1F">
        <w:rPr>
          <w:rFonts w:ascii="宋体" w:eastAsia="宋体" w:hAnsi="宋体" w:cs="宋体"/>
          <w:color w:val="000000"/>
          <w:kern w:val="0"/>
          <w:sz w:val="24"/>
          <w:szCs w:val="24"/>
        </w:rPr>
        <w:t>氯化钙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CaCl</w:t>
      </w:r>
      <w:r w:rsidRPr="00677D1F">
        <w:rPr>
          <w:rFonts w:ascii="宋体" w:eastAsia="宋体" w:hAnsi="宋体" w:cs="宋体"/>
          <w:color w:val="000000"/>
          <w:kern w:val="0"/>
          <w:sz w:val="24"/>
          <w:szCs w:val="24"/>
          <w:vertAlign w:val="subscript"/>
        </w:rPr>
        <w:t>2</w:t>
      </w:r>
      <w:r w:rsidRPr="00677D1F">
        <w:rPr>
          <w:rFonts w:ascii="宋体" w:eastAsia="宋体" w:hAnsi="宋体" w:cs="宋体"/>
          <w:color w:val="000000"/>
          <w:kern w:val="0"/>
          <w:sz w:val="24"/>
          <w:szCs w:val="24"/>
        </w:rPr>
        <w:t>≥97%</w:t>
      </w:r>
      <w:r w:rsidRPr="00677D1F">
        <w:rPr>
          <w:rFonts w:ascii="宋体" w:eastAsia="宋体" w:hAnsi="宋体" w:cs="宋体" w:hint="eastAsia"/>
          <w:color w:val="000000"/>
          <w:kern w:val="0"/>
          <w:sz w:val="24"/>
          <w:szCs w:val="24"/>
        </w:rPr>
        <w:t>（wt%）</w:t>
      </w:r>
      <w:r w:rsidRPr="00677D1F">
        <w:rPr>
          <w:rFonts w:ascii="宋体" w:eastAsia="宋体" w:hAnsi="宋体" w:cs="宋体"/>
          <w:color w:val="000000"/>
          <w:kern w:val="0"/>
          <w:sz w:val="24"/>
          <w:szCs w:val="24"/>
        </w:rPr>
        <w:t>，见</w:t>
      </w:r>
      <w:r w:rsidRPr="00677D1F">
        <w:rPr>
          <w:rFonts w:ascii="宋体" w:eastAsia="宋体" w:hAnsi="宋体" w:cs="宋体" w:hint="eastAsia"/>
          <w:color w:val="000000"/>
          <w:kern w:val="0"/>
          <w:sz w:val="24"/>
          <w:szCs w:val="24"/>
        </w:rPr>
        <w:t>表3.1-18</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表3.1-18  氯化钙成份</w:t>
      </w:r>
    </w:p>
    <w:p w:rsidR="00D228BE" w:rsidRPr="00677D1F" w:rsidRDefault="00D228BE" w:rsidP="00677D1F">
      <w:pPr>
        <w:pStyle w:val="a4"/>
        <w:spacing w:before="1"/>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29"/>
        <w:gridCol w:w="1298"/>
        <w:gridCol w:w="2213"/>
        <w:gridCol w:w="2213"/>
        <w:gridCol w:w="2219"/>
      </w:tblGrid>
      <w:tr w:rsidR="00D228BE" w:rsidRPr="00677D1F">
        <w:trPr>
          <w:trHeight w:val="340"/>
          <w:jc w:val="center"/>
        </w:trPr>
        <w:tc>
          <w:tcPr>
            <w:tcW w:w="1129"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名称</w:t>
            </w:r>
          </w:p>
        </w:tc>
        <w:tc>
          <w:tcPr>
            <w:tcW w:w="129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CaCl</w:t>
            </w:r>
            <w:r w:rsidRPr="00677D1F">
              <w:rPr>
                <w:rFonts w:asciiTheme="minorEastAsia" w:eastAsiaTheme="minorEastAsia" w:hAnsiTheme="minorEastAsia"/>
                <w:b/>
                <w:sz w:val="21"/>
                <w:szCs w:val="21"/>
                <w:vertAlign w:val="subscript"/>
              </w:rPr>
              <w:t>2</w:t>
            </w:r>
          </w:p>
        </w:tc>
        <w:tc>
          <w:tcPr>
            <w:tcW w:w="2213"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H</w:t>
            </w:r>
            <w:r w:rsidRPr="00677D1F">
              <w:rPr>
                <w:rFonts w:asciiTheme="minorEastAsia" w:eastAsiaTheme="minorEastAsia" w:hAnsiTheme="minorEastAsia"/>
                <w:b/>
                <w:sz w:val="21"/>
                <w:szCs w:val="21"/>
                <w:vertAlign w:val="subscript"/>
              </w:rPr>
              <w:t>2</w:t>
            </w:r>
            <w:r w:rsidRPr="00677D1F">
              <w:rPr>
                <w:rFonts w:asciiTheme="minorEastAsia" w:eastAsiaTheme="minorEastAsia" w:hAnsiTheme="minorEastAsia"/>
                <w:b/>
                <w:sz w:val="21"/>
                <w:szCs w:val="21"/>
              </w:rPr>
              <w:t>O</w:t>
            </w:r>
          </w:p>
        </w:tc>
        <w:tc>
          <w:tcPr>
            <w:tcW w:w="2213"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vertAlign w:val="superscript"/>
              </w:rPr>
            </w:pPr>
            <w:r w:rsidRPr="00677D1F">
              <w:rPr>
                <w:rFonts w:asciiTheme="minorEastAsia" w:eastAsiaTheme="minorEastAsia" w:hAnsiTheme="minorEastAsia"/>
                <w:b/>
                <w:sz w:val="21"/>
                <w:szCs w:val="21"/>
              </w:rPr>
              <w:t>SO</w:t>
            </w:r>
            <w:r w:rsidRPr="00677D1F">
              <w:rPr>
                <w:rFonts w:asciiTheme="minorEastAsia" w:eastAsiaTheme="minorEastAsia" w:hAnsiTheme="minorEastAsia"/>
                <w:b/>
                <w:sz w:val="21"/>
                <w:szCs w:val="21"/>
                <w:vertAlign w:val="subscript"/>
              </w:rPr>
              <w:t>4</w:t>
            </w:r>
            <w:r w:rsidRPr="00677D1F">
              <w:rPr>
                <w:rFonts w:asciiTheme="minorEastAsia" w:eastAsiaTheme="minorEastAsia" w:hAnsiTheme="minorEastAsia" w:hint="eastAsia"/>
                <w:b/>
                <w:sz w:val="21"/>
                <w:szCs w:val="21"/>
                <w:vertAlign w:val="superscript"/>
              </w:rPr>
              <w:t>2-</w:t>
            </w:r>
          </w:p>
        </w:tc>
        <w:tc>
          <w:tcPr>
            <w:tcW w:w="221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水不溶物</w:t>
            </w:r>
          </w:p>
        </w:tc>
      </w:tr>
      <w:tr w:rsidR="00D228BE" w:rsidRPr="00677D1F">
        <w:trPr>
          <w:trHeight w:val="340"/>
          <w:jc w:val="center"/>
        </w:trPr>
        <w:tc>
          <w:tcPr>
            <w:tcW w:w="1129"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w:t>
            </w:r>
          </w:p>
        </w:tc>
        <w:tc>
          <w:tcPr>
            <w:tcW w:w="129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≥97</w:t>
            </w:r>
          </w:p>
        </w:tc>
        <w:tc>
          <w:tcPr>
            <w:tcW w:w="2213"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≤0.5</w:t>
            </w:r>
          </w:p>
        </w:tc>
        <w:tc>
          <w:tcPr>
            <w:tcW w:w="2213"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≤0.01</w:t>
            </w:r>
          </w:p>
        </w:tc>
        <w:tc>
          <w:tcPr>
            <w:tcW w:w="221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≤0.1</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③ </w:t>
      </w:r>
      <w:r w:rsidRPr="00677D1F">
        <w:rPr>
          <w:rFonts w:ascii="宋体" w:eastAsia="宋体" w:hAnsi="宋体" w:cs="宋体"/>
          <w:color w:val="000000"/>
          <w:kern w:val="0"/>
          <w:sz w:val="24"/>
          <w:szCs w:val="24"/>
        </w:rPr>
        <w:t>氟化钙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CaF</w:t>
      </w:r>
      <w:r w:rsidRPr="00677D1F">
        <w:rPr>
          <w:rFonts w:ascii="宋体" w:eastAsia="宋体" w:hAnsi="宋体" w:cs="宋体"/>
          <w:color w:val="000000"/>
          <w:kern w:val="0"/>
          <w:sz w:val="24"/>
          <w:szCs w:val="24"/>
          <w:vertAlign w:val="subscript"/>
        </w:rPr>
        <w:t>2</w:t>
      </w:r>
      <w:r w:rsidRPr="00677D1F">
        <w:rPr>
          <w:rFonts w:ascii="宋体" w:eastAsia="宋体" w:hAnsi="宋体" w:cs="宋体"/>
          <w:color w:val="000000"/>
          <w:kern w:val="0"/>
          <w:sz w:val="24"/>
          <w:szCs w:val="24"/>
        </w:rPr>
        <w:t>≥97%</w:t>
      </w:r>
      <w:r w:rsidRPr="00677D1F">
        <w:rPr>
          <w:rFonts w:ascii="宋体" w:eastAsia="宋体" w:hAnsi="宋体" w:cs="宋体" w:hint="eastAsia"/>
          <w:color w:val="000000"/>
          <w:kern w:val="0"/>
          <w:sz w:val="24"/>
          <w:szCs w:val="24"/>
        </w:rPr>
        <w:t>（wt%）</w:t>
      </w:r>
      <w:r w:rsidRPr="00677D1F">
        <w:rPr>
          <w:rFonts w:ascii="宋体" w:eastAsia="宋体" w:hAnsi="宋体" w:cs="宋体"/>
          <w:color w:val="000000"/>
          <w:kern w:val="0"/>
          <w:sz w:val="24"/>
          <w:szCs w:val="24"/>
        </w:rPr>
        <w:t>，符合现行国标YB/T</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5217，一级品，见表</w:t>
      </w:r>
      <w:r w:rsidRPr="00677D1F">
        <w:rPr>
          <w:rFonts w:ascii="宋体" w:eastAsia="宋体" w:hAnsi="宋体" w:cs="宋体" w:hint="eastAsia"/>
          <w:color w:val="000000"/>
          <w:kern w:val="0"/>
          <w:sz w:val="24"/>
          <w:szCs w:val="24"/>
        </w:rPr>
        <w:t>3.1-19</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表3.1-19  氟化钙成份</w:t>
      </w:r>
    </w:p>
    <w:p w:rsidR="00D228BE" w:rsidRPr="00677D1F" w:rsidRDefault="00D228BE" w:rsidP="00677D1F">
      <w:pPr>
        <w:pStyle w:val="a4"/>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28"/>
        <w:gridCol w:w="1481"/>
        <w:gridCol w:w="1475"/>
        <w:gridCol w:w="1847"/>
        <w:gridCol w:w="1665"/>
        <w:gridCol w:w="1476"/>
      </w:tblGrid>
      <w:tr w:rsidR="00D228BE" w:rsidRPr="00677D1F">
        <w:trPr>
          <w:trHeight w:val="340"/>
          <w:jc w:val="center"/>
        </w:trPr>
        <w:tc>
          <w:tcPr>
            <w:tcW w:w="1128"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名称</w:t>
            </w:r>
          </w:p>
        </w:tc>
        <w:tc>
          <w:tcPr>
            <w:tcW w:w="148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CaF</w:t>
            </w:r>
            <w:r w:rsidRPr="00677D1F">
              <w:rPr>
                <w:rFonts w:asciiTheme="minorEastAsia" w:eastAsiaTheme="minorEastAsia" w:hAnsiTheme="minorEastAsia"/>
                <w:b/>
                <w:sz w:val="21"/>
                <w:szCs w:val="21"/>
                <w:vertAlign w:val="subscript"/>
              </w:rPr>
              <w:t>2</w:t>
            </w:r>
          </w:p>
        </w:tc>
        <w:tc>
          <w:tcPr>
            <w:tcW w:w="1475"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H</w:t>
            </w:r>
            <w:r w:rsidRPr="00677D1F">
              <w:rPr>
                <w:rFonts w:asciiTheme="minorEastAsia" w:eastAsiaTheme="minorEastAsia" w:hAnsiTheme="minorEastAsia"/>
                <w:b/>
                <w:sz w:val="21"/>
                <w:szCs w:val="21"/>
                <w:vertAlign w:val="subscript"/>
              </w:rPr>
              <w:t>2</w:t>
            </w:r>
            <w:r w:rsidRPr="00677D1F">
              <w:rPr>
                <w:rFonts w:asciiTheme="minorEastAsia" w:eastAsiaTheme="minorEastAsia" w:hAnsiTheme="minorEastAsia"/>
                <w:b/>
                <w:sz w:val="21"/>
                <w:szCs w:val="21"/>
              </w:rPr>
              <w:t>O</w:t>
            </w:r>
          </w:p>
        </w:tc>
        <w:tc>
          <w:tcPr>
            <w:tcW w:w="184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vertAlign w:val="superscript"/>
              </w:rPr>
            </w:pPr>
            <w:r w:rsidRPr="00677D1F">
              <w:rPr>
                <w:rFonts w:asciiTheme="minorEastAsia" w:eastAsiaTheme="minorEastAsia" w:hAnsiTheme="minorEastAsia"/>
                <w:b/>
                <w:sz w:val="21"/>
                <w:szCs w:val="21"/>
              </w:rPr>
              <w:t>SO</w:t>
            </w:r>
            <w:r w:rsidRPr="00677D1F">
              <w:rPr>
                <w:rFonts w:asciiTheme="minorEastAsia" w:eastAsiaTheme="minorEastAsia" w:hAnsiTheme="minorEastAsia"/>
                <w:b/>
                <w:sz w:val="21"/>
                <w:szCs w:val="21"/>
                <w:vertAlign w:val="subscript"/>
              </w:rPr>
              <w:t>4</w:t>
            </w:r>
            <w:r w:rsidRPr="00677D1F">
              <w:rPr>
                <w:rFonts w:asciiTheme="minorEastAsia" w:eastAsiaTheme="minorEastAsia" w:hAnsiTheme="minorEastAsia" w:hint="eastAsia"/>
                <w:b/>
                <w:sz w:val="21"/>
                <w:szCs w:val="21"/>
                <w:vertAlign w:val="superscript"/>
              </w:rPr>
              <w:t>2-</w:t>
            </w:r>
          </w:p>
        </w:tc>
        <w:tc>
          <w:tcPr>
            <w:tcW w:w="1665"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H</w:t>
            </w:r>
            <w:r w:rsidRPr="00677D1F">
              <w:rPr>
                <w:rFonts w:asciiTheme="minorEastAsia" w:eastAsiaTheme="minorEastAsia" w:hAnsiTheme="minorEastAsia"/>
                <w:b/>
                <w:sz w:val="21"/>
                <w:szCs w:val="21"/>
                <w:vertAlign w:val="subscript"/>
              </w:rPr>
              <w:t>2</w:t>
            </w:r>
            <w:r w:rsidRPr="00677D1F">
              <w:rPr>
                <w:rFonts w:asciiTheme="minorEastAsia" w:eastAsiaTheme="minorEastAsia" w:hAnsiTheme="minorEastAsia"/>
                <w:b/>
                <w:sz w:val="21"/>
                <w:szCs w:val="21"/>
              </w:rPr>
              <w:t>O</w:t>
            </w:r>
          </w:p>
        </w:tc>
        <w:tc>
          <w:tcPr>
            <w:tcW w:w="147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SiO</w:t>
            </w:r>
            <w:r w:rsidRPr="00677D1F">
              <w:rPr>
                <w:rFonts w:asciiTheme="minorEastAsia" w:eastAsiaTheme="minorEastAsia" w:hAnsiTheme="minorEastAsia"/>
                <w:b/>
                <w:sz w:val="21"/>
                <w:szCs w:val="21"/>
                <w:vertAlign w:val="subscript"/>
              </w:rPr>
              <w:t>2</w:t>
            </w:r>
          </w:p>
        </w:tc>
      </w:tr>
      <w:tr w:rsidR="00D228BE" w:rsidRPr="00677D1F">
        <w:trPr>
          <w:trHeight w:val="340"/>
          <w:jc w:val="center"/>
        </w:trPr>
        <w:tc>
          <w:tcPr>
            <w:tcW w:w="1128"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w:t>
            </w:r>
          </w:p>
        </w:tc>
        <w:tc>
          <w:tcPr>
            <w:tcW w:w="1481"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≥97</w:t>
            </w:r>
          </w:p>
        </w:tc>
        <w:tc>
          <w:tcPr>
            <w:tcW w:w="1475"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≤0.5</w:t>
            </w:r>
          </w:p>
        </w:tc>
        <w:tc>
          <w:tcPr>
            <w:tcW w:w="184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≤0.01</w:t>
            </w:r>
          </w:p>
        </w:tc>
        <w:tc>
          <w:tcPr>
            <w:tcW w:w="1665"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≤0.5</w:t>
            </w:r>
          </w:p>
        </w:tc>
        <w:tc>
          <w:tcPr>
            <w:tcW w:w="147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≤0.6</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④ 硫酸</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H</w:t>
      </w:r>
      <w:r w:rsidRPr="00677D1F">
        <w:rPr>
          <w:rFonts w:ascii="宋体" w:eastAsia="宋体" w:hAnsi="宋体" w:cs="宋体"/>
          <w:color w:val="000000"/>
          <w:kern w:val="0"/>
          <w:sz w:val="24"/>
          <w:szCs w:val="24"/>
          <w:vertAlign w:val="subscript"/>
        </w:rPr>
        <w:t>2</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4</w:t>
      </w:r>
      <w:r w:rsidRPr="00677D1F">
        <w:rPr>
          <w:rFonts w:ascii="宋体" w:eastAsia="宋体" w:hAnsi="宋体" w:cs="宋体"/>
          <w:color w:val="000000"/>
          <w:kern w:val="0"/>
          <w:sz w:val="24"/>
          <w:szCs w:val="24"/>
        </w:rPr>
        <w:t>≥98％</w:t>
      </w:r>
      <w:r w:rsidRPr="00677D1F">
        <w:rPr>
          <w:rFonts w:ascii="宋体" w:eastAsia="宋体" w:hAnsi="宋体" w:cs="宋体" w:hint="eastAsia"/>
          <w:color w:val="000000"/>
          <w:kern w:val="0"/>
          <w:sz w:val="24"/>
          <w:szCs w:val="24"/>
        </w:rPr>
        <w:t>（wt%）</w:t>
      </w:r>
      <w:r w:rsidRPr="00677D1F">
        <w:rPr>
          <w:rFonts w:ascii="宋体" w:eastAsia="宋体" w:hAnsi="宋体" w:cs="宋体"/>
          <w:color w:val="000000"/>
          <w:kern w:val="0"/>
          <w:sz w:val="24"/>
          <w:szCs w:val="24"/>
        </w:rPr>
        <w:t>，符合现行国标GB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534，一级品，见表</w:t>
      </w:r>
      <w:r w:rsidRPr="00677D1F">
        <w:rPr>
          <w:rFonts w:ascii="宋体" w:eastAsia="宋体" w:hAnsi="宋体" w:cs="宋体" w:hint="eastAsia"/>
          <w:color w:val="000000"/>
          <w:kern w:val="0"/>
          <w:sz w:val="24"/>
          <w:szCs w:val="24"/>
        </w:rPr>
        <w:t>3.1-20</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表3.1-20  硫酸成份</w:t>
      </w:r>
    </w:p>
    <w:p w:rsidR="00D228BE" w:rsidRPr="00677D1F" w:rsidRDefault="00D228BE" w:rsidP="00677D1F">
      <w:pPr>
        <w:pStyle w:val="a4"/>
        <w:spacing w:before="3"/>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268"/>
        <w:gridCol w:w="2268"/>
        <w:gridCol w:w="2268"/>
        <w:gridCol w:w="2268"/>
      </w:tblGrid>
      <w:tr w:rsidR="00D228BE" w:rsidRPr="00677D1F">
        <w:trPr>
          <w:trHeight w:val="340"/>
          <w:jc w:val="center"/>
        </w:trPr>
        <w:tc>
          <w:tcPr>
            <w:tcW w:w="2268"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名称</w:t>
            </w:r>
          </w:p>
        </w:tc>
        <w:tc>
          <w:tcPr>
            <w:tcW w:w="226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b/>
                <w:sz w:val="21"/>
              </w:rPr>
            </w:pPr>
            <w:r w:rsidRPr="00677D1F">
              <w:rPr>
                <w:b/>
                <w:sz w:val="21"/>
              </w:rPr>
              <w:t>H</w:t>
            </w:r>
            <w:r w:rsidRPr="00677D1F">
              <w:rPr>
                <w:b/>
                <w:sz w:val="21"/>
                <w:vertAlign w:val="subscript"/>
              </w:rPr>
              <w:t>2</w:t>
            </w:r>
            <w:r w:rsidRPr="00677D1F">
              <w:rPr>
                <w:b/>
                <w:sz w:val="21"/>
              </w:rPr>
              <w:t>SO</w:t>
            </w:r>
            <w:r w:rsidRPr="00677D1F">
              <w:rPr>
                <w:b/>
                <w:sz w:val="21"/>
                <w:vertAlign w:val="subscript"/>
              </w:rPr>
              <w:t>4</w:t>
            </w:r>
          </w:p>
        </w:tc>
        <w:tc>
          <w:tcPr>
            <w:tcW w:w="226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b/>
                <w:sz w:val="21"/>
              </w:rPr>
            </w:pPr>
            <w:r w:rsidRPr="00677D1F">
              <w:rPr>
                <w:b/>
                <w:sz w:val="21"/>
              </w:rPr>
              <w:t>Fe</w:t>
            </w:r>
          </w:p>
        </w:tc>
        <w:tc>
          <w:tcPr>
            <w:tcW w:w="2268"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灼烧残渣</w:t>
            </w:r>
          </w:p>
        </w:tc>
      </w:tr>
      <w:tr w:rsidR="00D228BE" w:rsidRPr="00677D1F">
        <w:trPr>
          <w:trHeight w:val="340"/>
          <w:jc w:val="center"/>
        </w:trPr>
        <w:tc>
          <w:tcPr>
            <w:tcW w:w="2268"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Wt%</w:t>
            </w:r>
          </w:p>
        </w:tc>
        <w:tc>
          <w:tcPr>
            <w:tcW w:w="226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≥98</w:t>
            </w:r>
          </w:p>
        </w:tc>
        <w:tc>
          <w:tcPr>
            <w:tcW w:w="226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≤0.03</w:t>
            </w:r>
          </w:p>
        </w:tc>
        <w:tc>
          <w:tcPr>
            <w:tcW w:w="2268"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≤0.1</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⑤ </w:t>
      </w:r>
      <w:r w:rsidRPr="00677D1F">
        <w:rPr>
          <w:rFonts w:ascii="宋体" w:eastAsia="宋体" w:hAnsi="宋体" w:cs="宋体"/>
          <w:color w:val="000000"/>
          <w:kern w:val="0"/>
          <w:sz w:val="24"/>
          <w:szCs w:val="24"/>
        </w:rPr>
        <w:t>氩气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Ar≥99.999%</w:t>
      </w:r>
      <w:r w:rsidRPr="00677D1F">
        <w:rPr>
          <w:rFonts w:ascii="宋体" w:eastAsia="宋体" w:hAnsi="宋体" w:cs="宋体" w:hint="eastAsia"/>
          <w:color w:val="000000"/>
          <w:kern w:val="0"/>
          <w:sz w:val="24"/>
          <w:szCs w:val="24"/>
        </w:rPr>
        <w:t>（体积%）</w:t>
      </w:r>
      <w:r w:rsidRPr="00677D1F">
        <w:rPr>
          <w:rFonts w:ascii="宋体" w:eastAsia="宋体" w:hAnsi="宋体" w:cs="宋体"/>
          <w:color w:val="000000"/>
          <w:kern w:val="0"/>
          <w:sz w:val="24"/>
          <w:szCs w:val="24"/>
        </w:rPr>
        <w:t>，符合国标GB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4842。</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⑥ </w:t>
      </w:r>
      <w:r w:rsidRPr="00677D1F">
        <w:rPr>
          <w:rFonts w:ascii="宋体" w:eastAsia="宋体" w:hAnsi="宋体" w:cs="宋体"/>
          <w:color w:val="000000"/>
          <w:kern w:val="0"/>
          <w:sz w:val="24"/>
          <w:szCs w:val="24"/>
        </w:rPr>
        <w:t>镁锭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Mg≥99.95%</w:t>
      </w:r>
      <w:r w:rsidRPr="00677D1F">
        <w:rPr>
          <w:rFonts w:ascii="宋体" w:eastAsia="宋体" w:hAnsi="宋体" w:cs="宋体" w:hint="eastAsia"/>
          <w:color w:val="000000"/>
          <w:kern w:val="0"/>
          <w:sz w:val="24"/>
          <w:szCs w:val="24"/>
        </w:rPr>
        <w:t>（wt%）</w:t>
      </w:r>
      <w:r w:rsidRPr="00677D1F">
        <w:rPr>
          <w:rFonts w:ascii="宋体" w:eastAsia="宋体" w:hAnsi="宋体" w:cs="宋体"/>
          <w:color w:val="000000"/>
          <w:kern w:val="0"/>
          <w:sz w:val="24"/>
          <w:szCs w:val="24"/>
        </w:rPr>
        <w:t>，符合现行国标 GB/T</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3499，Mg 9995</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A级品，见表</w:t>
      </w:r>
      <w:r w:rsidRPr="00677D1F">
        <w:rPr>
          <w:rFonts w:ascii="宋体" w:eastAsia="宋体" w:hAnsi="宋体" w:cs="宋体" w:hint="eastAsia"/>
          <w:color w:val="000000"/>
          <w:kern w:val="0"/>
          <w:sz w:val="24"/>
          <w:szCs w:val="24"/>
        </w:rPr>
        <w:t>3.1-21</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表3.1-21  镁锭化学成分</w:t>
      </w:r>
    </w:p>
    <w:p w:rsidR="00D228BE" w:rsidRPr="00677D1F" w:rsidRDefault="00D228BE" w:rsidP="00677D1F">
      <w:pPr>
        <w:pStyle w:val="a4"/>
        <w:spacing w:before="1"/>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3"/>
        <w:gridCol w:w="557"/>
        <w:gridCol w:w="618"/>
        <w:gridCol w:w="705"/>
        <w:gridCol w:w="704"/>
        <w:gridCol w:w="704"/>
        <w:gridCol w:w="704"/>
        <w:gridCol w:w="704"/>
        <w:gridCol w:w="702"/>
        <w:gridCol w:w="704"/>
        <w:gridCol w:w="704"/>
        <w:gridCol w:w="704"/>
        <w:gridCol w:w="769"/>
      </w:tblGrid>
      <w:tr w:rsidR="00D228BE" w:rsidRPr="00677D1F">
        <w:trPr>
          <w:trHeight w:val="340"/>
          <w:jc w:val="center"/>
        </w:trPr>
        <w:tc>
          <w:tcPr>
            <w:tcW w:w="793" w:type="dxa"/>
            <w:tcBorders>
              <w:bottom w:val="single" w:sz="8" w:space="0" w:color="000000"/>
            </w:tcBorders>
            <w:vAlign w:val="center"/>
          </w:tcPr>
          <w:p w:rsidR="00D228BE" w:rsidRPr="00677D1F" w:rsidRDefault="00332EB6" w:rsidP="00677D1F">
            <w:pPr>
              <w:pStyle w:val="TableParagraph"/>
              <w:contextualSpacing/>
              <w:jc w:val="center"/>
              <w:rPr>
                <w:rFonts w:ascii="黑体" w:eastAsia="黑体"/>
                <w:b/>
                <w:sz w:val="15"/>
              </w:rPr>
            </w:pPr>
            <w:r w:rsidRPr="00677D1F">
              <w:rPr>
                <w:rFonts w:ascii="黑体" w:eastAsia="黑体" w:hint="eastAsia"/>
                <w:b/>
                <w:sz w:val="15"/>
              </w:rPr>
              <w:t>牌号</w:t>
            </w:r>
          </w:p>
        </w:tc>
        <w:tc>
          <w:tcPr>
            <w:tcW w:w="557" w:type="dxa"/>
            <w:tcBorders>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黑体" w:eastAsia="黑体"/>
                <w:b/>
                <w:sz w:val="15"/>
              </w:rPr>
            </w:pPr>
            <w:r w:rsidRPr="00677D1F">
              <w:rPr>
                <w:rFonts w:ascii="黑体" w:eastAsia="黑体" w:hint="eastAsia"/>
                <w:b/>
                <w:sz w:val="15"/>
              </w:rPr>
              <w:t>成份</w:t>
            </w:r>
          </w:p>
        </w:tc>
        <w:tc>
          <w:tcPr>
            <w:tcW w:w="618"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Mg</w:t>
            </w:r>
          </w:p>
        </w:tc>
        <w:tc>
          <w:tcPr>
            <w:tcW w:w="705"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Fe</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Si</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Cu</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Al</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Ni</w:t>
            </w:r>
          </w:p>
        </w:tc>
        <w:tc>
          <w:tcPr>
            <w:tcW w:w="702"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Mn</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Pb</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Sn</w:t>
            </w:r>
          </w:p>
        </w:tc>
        <w:tc>
          <w:tcPr>
            <w:tcW w:w="704" w:type="dxa"/>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Zn</w:t>
            </w:r>
          </w:p>
        </w:tc>
        <w:tc>
          <w:tcPr>
            <w:tcW w:w="769" w:type="dxa"/>
            <w:tcBorders>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黑体" w:eastAsia="黑体"/>
                <w:b/>
                <w:sz w:val="15"/>
              </w:rPr>
            </w:pPr>
            <w:r w:rsidRPr="00677D1F">
              <w:rPr>
                <w:rFonts w:ascii="宋体" w:eastAsia="宋体" w:hint="eastAsia"/>
                <w:b/>
                <w:sz w:val="15"/>
              </w:rPr>
              <w:t>其他</w:t>
            </w:r>
            <w:r w:rsidRPr="00677D1F">
              <w:rPr>
                <w:rFonts w:ascii="黑体" w:eastAsia="黑体" w:hint="eastAsia"/>
                <w:b/>
                <w:sz w:val="15"/>
              </w:rPr>
              <w:t>杂质</w:t>
            </w:r>
          </w:p>
        </w:tc>
      </w:tr>
      <w:tr w:rsidR="00D228BE" w:rsidRPr="00677D1F">
        <w:trPr>
          <w:trHeight w:val="340"/>
          <w:jc w:val="center"/>
        </w:trPr>
        <w:tc>
          <w:tcPr>
            <w:tcW w:w="793" w:type="dxa"/>
            <w:tcBorders>
              <w:top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Mg</w:t>
            </w:r>
          </w:p>
          <w:p w:rsidR="00D228BE" w:rsidRPr="00677D1F" w:rsidRDefault="00332EB6" w:rsidP="00677D1F">
            <w:pPr>
              <w:pStyle w:val="TableParagraph"/>
              <w:contextualSpacing/>
              <w:jc w:val="center"/>
              <w:rPr>
                <w:sz w:val="15"/>
              </w:rPr>
            </w:pPr>
            <w:r w:rsidRPr="00677D1F">
              <w:rPr>
                <w:sz w:val="15"/>
              </w:rPr>
              <w:t>9995A</w:t>
            </w:r>
          </w:p>
        </w:tc>
        <w:tc>
          <w:tcPr>
            <w:tcW w:w="557" w:type="dxa"/>
            <w:tcBorders>
              <w:top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Wt%</w:t>
            </w:r>
          </w:p>
        </w:tc>
        <w:tc>
          <w:tcPr>
            <w:tcW w:w="618" w:type="dxa"/>
            <w:tcBorders>
              <w:top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99.95</w:t>
            </w:r>
          </w:p>
        </w:tc>
        <w:tc>
          <w:tcPr>
            <w:tcW w:w="705"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≤0.003</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≤0.006</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≤0.002</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≤0.015</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≤0.001</w:t>
            </w:r>
          </w:p>
        </w:tc>
        <w:tc>
          <w:tcPr>
            <w:tcW w:w="702"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≤0.015</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≤0.005</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≤0.005</w:t>
            </w:r>
          </w:p>
        </w:tc>
        <w:tc>
          <w:tcPr>
            <w:tcW w:w="704"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≤0.005</w:t>
            </w:r>
          </w:p>
        </w:tc>
        <w:tc>
          <w:tcPr>
            <w:tcW w:w="769" w:type="dxa"/>
            <w:tcBorders>
              <w:top w:val="single" w:sz="8" w:space="0" w:color="000000"/>
              <w:left w:val="single" w:sz="8" w:space="0" w:color="000000"/>
            </w:tcBorders>
            <w:vAlign w:val="center"/>
          </w:tcPr>
          <w:p w:rsidR="00D228BE" w:rsidRPr="00677D1F" w:rsidRDefault="00332EB6" w:rsidP="00677D1F">
            <w:pPr>
              <w:pStyle w:val="TableParagraph"/>
              <w:contextualSpacing/>
              <w:jc w:val="center"/>
              <w:rPr>
                <w:sz w:val="15"/>
              </w:rPr>
            </w:pPr>
            <w:r w:rsidRPr="00677D1F">
              <w:rPr>
                <w:sz w:val="15"/>
              </w:rPr>
              <w:t>≤0.005</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⑦ </w:t>
      </w:r>
      <w:r w:rsidRPr="00677D1F">
        <w:rPr>
          <w:rFonts w:ascii="宋体" w:eastAsia="宋体" w:hAnsi="宋体" w:cs="宋体"/>
          <w:color w:val="000000"/>
          <w:kern w:val="0"/>
          <w:sz w:val="24"/>
          <w:szCs w:val="24"/>
        </w:rPr>
        <w:t>石墨阳极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石墨块规格：2440×600×250 mm。石墨块理化指标要求见表</w:t>
      </w:r>
      <w:r w:rsidRPr="00677D1F">
        <w:rPr>
          <w:rFonts w:ascii="宋体" w:eastAsia="宋体" w:hAnsi="宋体" w:cs="宋体" w:hint="eastAsia"/>
          <w:color w:val="000000"/>
          <w:kern w:val="0"/>
          <w:sz w:val="24"/>
          <w:szCs w:val="24"/>
        </w:rPr>
        <w:t>3.1-22</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表3.1-22  石墨块理化指标</w:t>
      </w:r>
    </w:p>
    <w:p w:rsidR="00D228BE" w:rsidRPr="00677D1F" w:rsidRDefault="00D228BE" w:rsidP="00677D1F">
      <w:pPr>
        <w:pStyle w:val="a4"/>
        <w:spacing w:before="3"/>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751"/>
        <w:gridCol w:w="1850"/>
        <w:gridCol w:w="1812"/>
        <w:gridCol w:w="1837"/>
        <w:gridCol w:w="1822"/>
      </w:tblGrid>
      <w:tr w:rsidR="00D228BE" w:rsidRPr="00677D1F">
        <w:trPr>
          <w:trHeight w:val="340"/>
          <w:jc w:val="center"/>
        </w:trPr>
        <w:tc>
          <w:tcPr>
            <w:tcW w:w="1751"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弯曲度</w:t>
            </w:r>
          </w:p>
        </w:tc>
        <w:tc>
          <w:tcPr>
            <w:tcW w:w="1850"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电阻率</w:t>
            </w:r>
          </w:p>
        </w:tc>
        <w:tc>
          <w:tcPr>
            <w:tcW w:w="181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抗压强度</w:t>
            </w:r>
          </w:p>
        </w:tc>
        <w:tc>
          <w:tcPr>
            <w:tcW w:w="1837"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体积密度</w:t>
            </w:r>
          </w:p>
        </w:tc>
        <w:tc>
          <w:tcPr>
            <w:tcW w:w="1822"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灰分</w:t>
            </w:r>
          </w:p>
        </w:tc>
      </w:tr>
      <w:tr w:rsidR="00D228BE" w:rsidRPr="00677D1F">
        <w:trPr>
          <w:trHeight w:val="340"/>
          <w:jc w:val="center"/>
        </w:trPr>
        <w:tc>
          <w:tcPr>
            <w:tcW w:w="1751"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lastRenderedPageBreak/>
              <w:t>≤0.5%</w:t>
            </w:r>
            <w:r w:rsidRPr="00677D1F">
              <w:rPr>
                <w:rFonts w:ascii="宋体" w:eastAsia="宋体" w:hAnsi="宋体" w:cs="宋体" w:hint="eastAsia"/>
                <w:sz w:val="21"/>
              </w:rPr>
              <w:t>（</w:t>
            </w:r>
            <w:r w:rsidRPr="00677D1F">
              <w:rPr>
                <w:rFonts w:ascii="宋体" w:eastAsia="宋体" w:hAnsi="宋体" w:hint="eastAsia"/>
                <w:sz w:val="21"/>
              </w:rPr>
              <w:t>长度</w:t>
            </w:r>
            <w:r w:rsidRPr="00677D1F">
              <w:rPr>
                <w:rFonts w:ascii="宋体" w:eastAsia="宋体" w:hAnsi="宋体" w:cs="宋体" w:hint="eastAsia"/>
                <w:sz w:val="21"/>
              </w:rPr>
              <w:t>）</w:t>
            </w:r>
          </w:p>
        </w:tc>
        <w:tc>
          <w:tcPr>
            <w:tcW w:w="1850"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≤5±0.5 μΩm</w:t>
            </w:r>
          </w:p>
        </w:tc>
        <w:tc>
          <w:tcPr>
            <w:tcW w:w="1812"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≥20 MPa</w:t>
            </w:r>
          </w:p>
        </w:tc>
        <w:tc>
          <w:tcPr>
            <w:tcW w:w="1837"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≥1.73 g/cm</w:t>
            </w:r>
            <w:r w:rsidRPr="00677D1F">
              <w:rPr>
                <w:sz w:val="21"/>
                <w:vertAlign w:val="superscript"/>
              </w:rPr>
              <w:t>3</w:t>
            </w:r>
          </w:p>
        </w:tc>
        <w:tc>
          <w:tcPr>
            <w:tcW w:w="1822"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≤0.1%</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hint="eastAsia"/>
          <w:b/>
          <w:bCs/>
          <w:color w:val="000000"/>
          <w:kern w:val="0"/>
          <w:sz w:val="24"/>
          <w:szCs w:val="24"/>
        </w:rPr>
        <w:t>3.1.4.5 钠电解工艺</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（1）生产原料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① </w:t>
      </w:r>
      <w:r w:rsidRPr="00677D1F">
        <w:rPr>
          <w:rFonts w:ascii="宋体" w:eastAsia="宋体" w:hAnsi="宋体" w:cs="宋体"/>
          <w:color w:val="000000"/>
          <w:kern w:val="0"/>
          <w:sz w:val="24"/>
          <w:szCs w:val="24"/>
        </w:rPr>
        <w:t>精制盐</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表3.1-23  精制盐成份</w:t>
      </w:r>
    </w:p>
    <w:p w:rsidR="00D228BE" w:rsidRPr="00677D1F" w:rsidRDefault="00D228BE" w:rsidP="00677D1F">
      <w:pPr>
        <w:pStyle w:val="a4"/>
        <w:spacing w:before="2"/>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0"/>
        <w:gridCol w:w="905"/>
        <w:gridCol w:w="906"/>
        <w:gridCol w:w="1392"/>
        <w:gridCol w:w="1076"/>
        <w:gridCol w:w="3099"/>
        <w:gridCol w:w="974"/>
      </w:tblGrid>
      <w:tr w:rsidR="00D228BE" w:rsidRPr="00677D1F">
        <w:trPr>
          <w:trHeight w:val="340"/>
          <w:jc w:val="center"/>
        </w:trPr>
        <w:tc>
          <w:tcPr>
            <w:tcW w:w="720"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名称</w:t>
            </w:r>
          </w:p>
        </w:tc>
        <w:tc>
          <w:tcPr>
            <w:tcW w:w="905"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b/>
                <w:sz w:val="21"/>
              </w:rPr>
            </w:pPr>
            <w:r w:rsidRPr="00677D1F">
              <w:rPr>
                <w:b/>
                <w:sz w:val="21"/>
              </w:rPr>
              <w:t>NaCl</w:t>
            </w:r>
          </w:p>
        </w:tc>
        <w:tc>
          <w:tcPr>
            <w:tcW w:w="90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水份</w:t>
            </w:r>
          </w:p>
        </w:tc>
        <w:tc>
          <w:tcPr>
            <w:tcW w:w="139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水不溶物</w:t>
            </w:r>
          </w:p>
        </w:tc>
        <w:tc>
          <w:tcPr>
            <w:tcW w:w="1076"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硫酸根</w:t>
            </w:r>
          </w:p>
        </w:tc>
        <w:tc>
          <w:tcPr>
            <w:tcW w:w="3099"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钙和镁</w:t>
            </w:r>
            <w:r w:rsidRPr="00677D1F">
              <w:rPr>
                <w:rFonts w:ascii="宋体" w:eastAsia="宋体" w:hAnsi="宋体" w:cs="宋体" w:hint="eastAsia"/>
                <w:b/>
                <w:sz w:val="21"/>
              </w:rPr>
              <w:t>（</w:t>
            </w:r>
            <w:r w:rsidRPr="00677D1F">
              <w:rPr>
                <w:rFonts w:ascii="黑体" w:eastAsia="黑体" w:hint="eastAsia"/>
                <w:b/>
                <w:sz w:val="21"/>
              </w:rPr>
              <w:t>以总钙计）</w:t>
            </w:r>
          </w:p>
        </w:tc>
        <w:tc>
          <w:tcPr>
            <w:tcW w:w="974"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铁</w:t>
            </w:r>
          </w:p>
        </w:tc>
      </w:tr>
      <w:tr w:rsidR="00D228BE" w:rsidRPr="00677D1F">
        <w:trPr>
          <w:trHeight w:val="340"/>
          <w:jc w:val="center"/>
        </w:trPr>
        <w:tc>
          <w:tcPr>
            <w:tcW w:w="720"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sz w:val="21"/>
              </w:rPr>
            </w:pPr>
            <w:r w:rsidRPr="00677D1F">
              <w:rPr>
                <w:sz w:val="21"/>
              </w:rPr>
              <w:t>Wt</w:t>
            </w:r>
          </w:p>
        </w:tc>
        <w:tc>
          <w:tcPr>
            <w:tcW w:w="905"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Palatino Linotype"/>
                <w:sz w:val="21"/>
              </w:rPr>
            </w:pPr>
            <w:r w:rsidRPr="00677D1F">
              <w:rPr>
                <w:rFonts w:ascii="Palatino Linotype"/>
                <w:sz w:val="21"/>
              </w:rPr>
              <w:t>99.8%</w:t>
            </w:r>
          </w:p>
        </w:tc>
        <w:tc>
          <w:tcPr>
            <w:tcW w:w="90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Palatino Linotype"/>
                <w:sz w:val="21"/>
              </w:rPr>
            </w:pPr>
            <w:r w:rsidRPr="00677D1F">
              <w:rPr>
                <w:rFonts w:ascii="Palatino Linotype"/>
                <w:sz w:val="21"/>
              </w:rPr>
              <w:t>0.01%</w:t>
            </w:r>
          </w:p>
        </w:tc>
        <w:tc>
          <w:tcPr>
            <w:tcW w:w="1392"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Palatino Linotype"/>
                <w:sz w:val="21"/>
              </w:rPr>
            </w:pPr>
            <w:r w:rsidRPr="00677D1F">
              <w:rPr>
                <w:rFonts w:ascii="Palatino Linotype"/>
                <w:sz w:val="21"/>
              </w:rPr>
              <w:t>0.004%</w:t>
            </w:r>
          </w:p>
        </w:tc>
        <w:tc>
          <w:tcPr>
            <w:tcW w:w="1076"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Palatino Linotype"/>
                <w:sz w:val="21"/>
              </w:rPr>
            </w:pPr>
            <w:r w:rsidRPr="00677D1F">
              <w:rPr>
                <w:rFonts w:ascii="Palatino Linotype"/>
                <w:sz w:val="21"/>
              </w:rPr>
              <w:t>0.009%</w:t>
            </w:r>
          </w:p>
        </w:tc>
        <w:tc>
          <w:tcPr>
            <w:tcW w:w="3099"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Palatino Linotype"/>
                <w:sz w:val="21"/>
              </w:rPr>
            </w:pPr>
            <w:r w:rsidRPr="00677D1F">
              <w:rPr>
                <w:rFonts w:ascii="Palatino Linotype"/>
                <w:sz w:val="21"/>
              </w:rPr>
              <w:t>0.001</w:t>
            </w:r>
          </w:p>
        </w:tc>
        <w:tc>
          <w:tcPr>
            <w:tcW w:w="974"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Palatino Linotype"/>
                <w:sz w:val="21"/>
              </w:rPr>
            </w:pPr>
            <w:r w:rsidRPr="00677D1F">
              <w:rPr>
                <w:rFonts w:ascii="Palatino Linotype"/>
                <w:sz w:val="21"/>
              </w:rPr>
              <w:t>0.0002</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② </w:t>
      </w:r>
      <w:r w:rsidRPr="00677D1F">
        <w:rPr>
          <w:rFonts w:ascii="宋体" w:eastAsia="宋体" w:hAnsi="宋体" w:cs="宋体"/>
          <w:color w:val="000000"/>
          <w:kern w:val="0"/>
          <w:sz w:val="24"/>
          <w:szCs w:val="24"/>
        </w:rPr>
        <w:t>氯化钙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CaCl</w:t>
      </w:r>
      <w:r w:rsidRPr="00677D1F">
        <w:rPr>
          <w:rFonts w:ascii="宋体" w:eastAsia="宋体" w:hAnsi="宋体" w:cs="宋体"/>
          <w:color w:val="000000"/>
          <w:kern w:val="0"/>
          <w:sz w:val="24"/>
          <w:szCs w:val="24"/>
          <w:vertAlign w:val="subscript"/>
        </w:rPr>
        <w:t>2</w:t>
      </w:r>
      <w:r w:rsidRPr="00677D1F">
        <w:rPr>
          <w:rFonts w:ascii="宋体" w:eastAsia="宋体" w:hAnsi="宋体" w:cs="宋体"/>
          <w:color w:val="000000"/>
          <w:kern w:val="0"/>
          <w:sz w:val="24"/>
          <w:szCs w:val="24"/>
        </w:rPr>
        <w:t>≥97%，见表</w:t>
      </w:r>
      <w:r w:rsidRPr="00677D1F">
        <w:rPr>
          <w:rFonts w:ascii="宋体" w:eastAsia="宋体" w:hAnsi="宋体" w:cs="宋体" w:hint="eastAsia"/>
          <w:color w:val="000000"/>
          <w:kern w:val="0"/>
          <w:sz w:val="24"/>
          <w:szCs w:val="24"/>
        </w:rPr>
        <w:t>3.1-24</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表3.1-24  氯化钙成份</w:t>
      </w:r>
    </w:p>
    <w:p w:rsidR="00D228BE" w:rsidRPr="00677D1F" w:rsidRDefault="00D228BE" w:rsidP="00677D1F">
      <w:pPr>
        <w:pStyle w:val="a4"/>
        <w:spacing w:before="2"/>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28"/>
        <w:gridCol w:w="1298"/>
        <w:gridCol w:w="2213"/>
        <w:gridCol w:w="2213"/>
        <w:gridCol w:w="2220"/>
      </w:tblGrid>
      <w:tr w:rsidR="00D228BE" w:rsidRPr="00677D1F">
        <w:trPr>
          <w:trHeight w:val="340"/>
          <w:jc w:val="center"/>
        </w:trPr>
        <w:tc>
          <w:tcPr>
            <w:tcW w:w="1128"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名称</w:t>
            </w:r>
          </w:p>
        </w:tc>
        <w:tc>
          <w:tcPr>
            <w:tcW w:w="129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CaCl</w:t>
            </w:r>
            <w:r w:rsidRPr="00677D1F">
              <w:rPr>
                <w:rFonts w:asciiTheme="minorEastAsia" w:eastAsiaTheme="minorEastAsia" w:hAnsiTheme="minorEastAsia"/>
                <w:b/>
                <w:sz w:val="21"/>
                <w:szCs w:val="21"/>
                <w:vertAlign w:val="subscript"/>
              </w:rPr>
              <w:t>2</w:t>
            </w:r>
          </w:p>
        </w:tc>
        <w:tc>
          <w:tcPr>
            <w:tcW w:w="2213"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H</w:t>
            </w:r>
            <w:r w:rsidRPr="00677D1F">
              <w:rPr>
                <w:rFonts w:asciiTheme="minorEastAsia" w:eastAsiaTheme="minorEastAsia" w:hAnsiTheme="minorEastAsia"/>
                <w:b/>
                <w:sz w:val="21"/>
                <w:szCs w:val="21"/>
                <w:vertAlign w:val="subscript"/>
              </w:rPr>
              <w:t>2</w:t>
            </w:r>
            <w:r w:rsidRPr="00677D1F">
              <w:rPr>
                <w:rFonts w:asciiTheme="minorEastAsia" w:eastAsiaTheme="minorEastAsia" w:hAnsiTheme="minorEastAsia"/>
                <w:b/>
                <w:sz w:val="21"/>
                <w:szCs w:val="21"/>
              </w:rPr>
              <w:t>O</w:t>
            </w:r>
          </w:p>
        </w:tc>
        <w:tc>
          <w:tcPr>
            <w:tcW w:w="2213"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vertAlign w:val="superscript"/>
              </w:rPr>
            </w:pPr>
            <w:r w:rsidRPr="00677D1F">
              <w:rPr>
                <w:rFonts w:asciiTheme="minorEastAsia" w:eastAsiaTheme="minorEastAsia" w:hAnsiTheme="minorEastAsia"/>
                <w:b/>
                <w:sz w:val="21"/>
                <w:szCs w:val="21"/>
              </w:rPr>
              <w:t>SO</w:t>
            </w:r>
            <w:r w:rsidRPr="00677D1F">
              <w:rPr>
                <w:rFonts w:asciiTheme="minorEastAsia" w:eastAsiaTheme="minorEastAsia" w:hAnsiTheme="minorEastAsia"/>
                <w:b/>
                <w:sz w:val="21"/>
                <w:szCs w:val="21"/>
                <w:vertAlign w:val="subscript"/>
              </w:rPr>
              <w:t>4</w:t>
            </w:r>
            <w:r w:rsidRPr="00677D1F">
              <w:rPr>
                <w:rFonts w:asciiTheme="minorEastAsia" w:eastAsiaTheme="minorEastAsia" w:hAnsiTheme="minorEastAsia"/>
                <w:b/>
                <w:sz w:val="21"/>
                <w:szCs w:val="21"/>
                <w:vertAlign w:val="superscript"/>
              </w:rPr>
              <w:t>2-</w:t>
            </w:r>
          </w:p>
        </w:tc>
        <w:tc>
          <w:tcPr>
            <w:tcW w:w="2220"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水不溶物</w:t>
            </w:r>
          </w:p>
        </w:tc>
      </w:tr>
      <w:tr w:rsidR="00D228BE" w:rsidRPr="00677D1F">
        <w:trPr>
          <w:trHeight w:val="340"/>
          <w:jc w:val="center"/>
        </w:trPr>
        <w:tc>
          <w:tcPr>
            <w:tcW w:w="1128"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w:t>
            </w:r>
          </w:p>
        </w:tc>
        <w:tc>
          <w:tcPr>
            <w:tcW w:w="1298"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≥97</w:t>
            </w:r>
          </w:p>
        </w:tc>
        <w:tc>
          <w:tcPr>
            <w:tcW w:w="2213"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≤0.5</w:t>
            </w:r>
          </w:p>
        </w:tc>
        <w:tc>
          <w:tcPr>
            <w:tcW w:w="2213"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≤0.01</w:t>
            </w:r>
          </w:p>
        </w:tc>
        <w:tc>
          <w:tcPr>
            <w:tcW w:w="2220"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≤0.1</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③ </w:t>
      </w:r>
      <w:r w:rsidRPr="00677D1F">
        <w:rPr>
          <w:rFonts w:ascii="宋体" w:eastAsia="宋体" w:hAnsi="宋体" w:cs="宋体"/>
          <w:color w:val="000000"/>
          <w:kern w:val="0"/>
          <w:sz w:val="24"/>
          <w:szCs w:val="24"/>
        </w:rPr>
        <w:t>氯化钡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氯化钡符合现行国标GB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1617，一级品。见表</w:t>
      </w:r>
      <w:r w:rsidRPr="00677D1F">
        <w:rPr>
          <w:rFonts w:ascii="宋体" w:eastAsia="宋体" w:hAnsi="宋体" w:cs="宋体" w:hint="eastAsia"/>
          <w:color w:val="000000"/>
          <w:kern w:val="0"/>
          <w:sz w:val="24"/>
          <w:szCs w:val="24"/>
        </w:rPr>
        <w:t>3.1-25</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表3.1-25  氯化钡成份</w:t>
      </w:r>
    </w:p>
    <w:p w:rsidR="00D228BE" w:rsidRPr="00677D1F" w:rsidRDefault="00D228BE" w:rsidP="00677D1F">
      <w:pPr>
        <w:pStyle w:val="a4"/>
        <w:spacing w:before="1"/>
        <w:contextualSpacing/>
        <w:rPr>
          <w:rFonts w:ascii="黑体"/>
          <w:sz w:val="5"/>
        </w:rPr>
      </w:pPr>
    </w:p>
    <w:tbl>
      <w:tblPr>
        <w:tblStyle w:val="TableNormal"/>
        <w:tblW w:w="8595" w:type="dxa"/>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86"/>
        <w:gridCol w:w="1445"/>
        <w:gridCol w:w="1798"/>
        <w:gridCol w:w="1419"/>
        <w:gridCol w:w="1712"/>
        <w:gridCol w:w="1335"/>
      </w:tblGrid>
      <w:tr w:rsidR="00D228BE" w:rsidRPr="00677D1F">
        <w:trPr>
          <w:trHeight w:val="320"/>
        </w:trPr>
        <w:tc>
          <w:tcPr>
            <w:tcW w:w="886" w:type="dxa"/>
            <w:tcBorders>
              <w:bottom w:val="single" w:sz="6" w:space="0" w:color="000000"/>
              <w:right w:val="single" w:sz="6" w:space="0" w:color="000000"/>
            </w:tcBorders>
          </w:tcPr>
          <w:p w:rsidR="00D228BE" w:rsidRPr="00677D1F" w:rsidRDefault="00332EB6" w:rsidP="00677D1F">
            <w:pPr>
              <w:pStyle w:val="TableParagraph"/>
              <w:spacing w:before="27"/>
              <w:ind w:left="204" w:right="176"/>
              <w:contextualSpacing/>
              <w:jc w:val="center"/>
              <w:rPr>
                <w:rFonts w:ascii="黑体" w:eastAsia="黑体"/>
                <w:b/>
                <w:sz w:val="21"/>
              </w:rPr>
            </w:pPr>
            <w:r w:rsidRPr="00677D1F">
              <w:rPr>
                <w:rFonts w:ascii="黑体" w:eastAsia="黑体" w:hint="eastAsia"/>
                <w:b/>
                <w:sz w:val="21"/>
              </w:rPr>
              <w:t>名称</w:t>
            </w:r>
          </w:p>
        </w:tc>
        <w:tc>
          <w:tcPr>
            <w:tcW w:w="1445" w:type="dxa"/>
            <w:tcBorders>
              <w:left w:val="single" w:sz="6" w:space="0" w:color="000000"/>
              <w:bottom w:val="single" w:sz="6" w:space="0" w:color="000000"/>
              <w:right w:val="single" w:sz="6" w:space="0" w:color="000000"/>
            </w:tcBorders>
          </w:tcPr>
          <w:p w:rsidR="00D228BE" w:rsidRPr="00677D1F" w:rsidRDefault="00332EB6" w:rsidP="00677D1F">
            <w:pPr>
              <w:pStyle w:val="TableParagraph"/>
              <w:spacing w:before="27"/>
              <w:ind w:left="71" w:right="45"/>
              <w:contextualSpacing/>
              <w:jc w:val="center"/>
              <w:rPr>
                <w:b/>
                <w:sz w:val="21"/>
              </w:rPr>
            </w:pPr>
            <w:r w:rsidRPr="00677D1F">
              <w:rPr>
                <w:b/>
                <w:sz w:val="21"/>
              </w:rPr>
              <w:t>BaCl</w:t>
            </w:r>
            <w:r w:rsidRPr="00677D1F">
              <w:rPr>
                <w:b/>
                <w:sz w:val="21"/>
                <w:vertAlign w:val="subscript"/>
              </w:rPr>
              <w:t>2</w:t>
            </w:r>
            <w:r w:rsidRPr="00677D1F">
              <w:rPr>
                <w:rFonts w:ascii="黑体" w:hAnsi="黑体"/>
                <w:b/>
                <w:sz w:val="21"/>
              </w:rPr>
              <w:t>·</w:t>
            </w:r>
            <w:r w:rsidRPr="00677D1F">
              <w:rPr>
                <w:b/>
                <w:sz w:val="21"/>
              </w:rPr>
              <w:t>2H</w:t>
            </w:r>
            <w:r w:rsidRPr="00677D1F">
              <w:rPr>
                <w:b/>
                <w:sz w:val="21"/>
                <w:vertAlign w:val="subscript"/>
              </w:rPr>
              <w:t>2</w:t>
            </w:r>
            <w:r w:rsidRPr="00677D1F">
              <w:rPr>
                <w:b/>
                <w:sz w:val="21"/>
              </w:rPr>
              <w:t>O</w:t>
            </w:r>
          </w:p>
        </w:tc>
        <w:tc>
          <w:tcPr>
            <w:tcW w:w="1798" w:type="dxa"/>
            <w:tcBorders>
              <w:left w:val="single" w:sz="6" w:space="0" w:color="000000"/>
              <w:bottom w:val="single" w:sz="6" w:space="0" w:color="000000"/>
              <w:right w:val="single" w:sz="6" w:space="0" w:color="000000"/>
            </w:tcBorders>
          </w:tcPr>
          <w:p w:rsidR="00D228BE" w:rsidRPr="00677D1F" w:rsidRDefault="00332EB6" w:rsidP="00677D1F">
            <w:pPr>
              <w:pStyle w:val="TableParagraph"/>
              <w:spacing w:before="35"/>
              <w:ind w:left="606" w:right="581"/>
              <w:contextualSpacing/>
              <w:jc w:val="center"/>
              <w:rPr>
                <w:b/>
                <w:sz w:val="21"/>
              </w:rPr>
            </w:pPr>
            <w:r w:rsidRPr="00677D1F">
              <w:rPr>
                <w:b/>
                <w:sz w:val="21"/>
              </w:rPr>
              <w:t>CaCl</w:t>
            </w:r>
            <w:r w:rsidRPr="00677D1F">
              <w:rPr>
                <w:b/>
                <w:sz w:val="21"/>
                <w:vertAlign w:val="subscript"/>
              </w:rPr>
              <w:t>2</w:t>
            </w:r>
          </w:p>
        </w:tc>
        <w:tc>
          <w:tcPr>
            <w:tcW w:w="1419" w:type="dxa"/>
            <w:tcBorders>
              <w:left w:val="single" w:sz="6" w:space="0" w:color="000000"/>
              <w:bottom w:val="single" w:sz="6" w:space="0" w:color="000000"/>
              <w:right w:val="single" w:sz="6" w:space="0" w:color="000000"/>
            </w:tcBorders>
          </w:tcPr>
          <w:p w:rsidR="00D228BE" w:rsidRPr="00677D1F" w:rsidRDefault="00332EB6" w:rsidP="00677D1F">
            <w:pPr>
              <w:pStyle w:val="TableParagraph"/>
              <w:spacing w:before="35"/>
              <w:ind w:left="324" w:right="303"/>
              <w:contextualSpacing/>
              <w:jc w:val="center"/>
              <w:rPr>
                <w:b/>
                <w:sz w:val="21"/>
              </w:rPr>
            </w:pPr>
            <w:r w:rsidRPr="00677D1F">
              <w:rPr>
                <w:b/>
                <w:sz w:val="21"/>
              </w:rPr>
              <w:t>Fe</w:t>
            </w:r>
          </w:p>
        </w:tc>
        <w:tc>
          <w:tcPr>
            <w:tcW w:w="1712" w:type="dxa"/>
            <w:tcBorders>
              <w:left w:val="single" w:sz="6" w:space="0" w:color="000000"/>
              <w:bottom w:val="single" w:sz="6" w:space="0" w:color="000000"/>
              <w:right w:val="single" w:sz="6" w:space="0" w:color="000000"/>
            </w:tcBorders>
          </w:tcPr>
          <w:p w:rsidR="00D228BE" w:rsidRPr="00677D1F" w:rsidRDefault="00332EB6" w:rsidP="00677D1F">
            <w:pPr>
              <w:pStyle w:val="TableParagraph"/>
              <w:spacing w:before="27"/>
              <w:ind w:left="12" w:right="-44"/>
              <w:contextualSpacing/>
              <w:jc w:val="center"/>
              <w:rPr>
                <w:rFonts w:ascii="黑体" w:eastAsia="黑体"/>
                <w:b/>
                <w:sz w:val="21"/>
              </w:rPr>
            </w:pPr>
            <w:r w:rsidRPr="00677D1F">
              <w:rPr>
                <w:rFonts w:ascii="黑体" w:eastAsia="黑体" w:hint="eastAsia"/>
                <w:b/>
                <w:sz w:val="21"/>
              </w:rPr>
              <w:t xml:space="preserve">硫化物（以 </w:t>
            </w:r>
            <w:r w:rsidRPr="00677D1F">
              <w:rPr>
                <w:b/>
                <w:sz w:val="21"/>
              </w:rPr>
              <w:t xml:space="preserve">S </w:t>
            </w:r>
            <w:r w:rsidRPr="00677D1F">
              <w:rPr>
                <w:rFonts w:ascii="黑体" w:eastAsia="黑体" w:hint="eastAsia"/>
                <w:b/>
                <w:sz w:val="21"/>
              </w:rPr>
              <w:t>计）</w:t>
            </w:r>
          </w:p>
        </w:tc>
        <w:tc>
          <w:tcPr>
            <w:tcW w:w="1335" w:type="dxa"/>
            <w:tcBorders>
              <w:left w:val="single" w:sz="6" w:space="0" w:color="000000"/>
              <w:bottom w:val="single" w:sz="6" w:space="0" w:color="000000"/>
            </w:tcBorders>
          </w:tcPr>
          <w:p w:rsidR="00D228BE" w:rsidRPr="00677D1F" w:rsidRDefault="00332EB6" w:rsidP="00677D1F">
            <w:pPr>
              <w:pStyle w:val="TableParagraph"/>
              <w:spacing w:before="27"/>
              <w:ind w:left="225" w:right="204"/>
              <w:contextualSpacing/>
              <w:jc w:val="center"/>
              <w:rPr>
                <w:rFonts w:ascii="黑体" w:eastAsia="黑体"/>
                <w:b/>
                <w:sz w:val="21"/>
              </w:rPr>
            </w:pPr>
            <w:r w:rsidRPr="00677D1F">
              <w:rPr>
                <w:rFonts w:ascii="黑体" w:eastAsia="黑体" w:hint="eastAsia"/>
                <w:b/>
                <w:sz w:val="21"/>
              </w:rPr>
              <w:t>水不溶物</w:t>
            </w:r>
          </w:p>
        </w:tc>
      </w:tr>
      <w:tr w:rsidR="00D228BE" w:rsidRPr="00677D1F">
        <w:trPr>
          <w:trHeight w:val="318"/>
        </w:trPr>
        <w:tc>
          <w:tcPr>
            <w:tcW w:w="886" w:type="dxa"/>
            <w:tcBorders>
              <w:top w:val="single" w:sz="6" w:space="0" w:color="000000"/>
              <w:right w:val="single" w:sz="6" w:space="0" w:color="000000"/>
            </w:tcBorders>
          </w:tcPr>
          <w:p w:rsidR="00D228BE" w:rsidRPr="00677D1F" w:rsidRDefault="00332EB6" w:rsidP="00677D1F">
            <w:pPr>
              <w:pStyle w:val="TableParagraph"/>
              <w:spacing w:before="35"/>
              <w:ind w:left="204" w:right="176"/>
              <w:contextualSpacing/>
              <w:jc w:val="center"/>
              <w:rPr>
                <w:sz w:val="21"/>
              </w:rPr>
            </w:pPr>
            <w:r w:rsidRPr="00677D1F">
              <w:rPr>
                <w:sz w:val="21"/>
              </w:rPr>
              <w:t>Wt%</w:t>
            </w:r>
          </w:p>
        </w:tc>
        <w:tc>
          <w:tcPr>
            <w:tcW w:w="1445" w:type="dxa"/>
            <w:tcBorders>
              <w:top w:val="single" w:sz="6" w:space="0" w:color="000000"/>
              <w:left w:val="single" w:sz="6" w:space="0" w:color="000000"/>
              <w:right w:val="single" w:sz="6" w:space="0" w:color="000000"/>
            </w:tcBorders>
          </w:tcPr>
          <w:p w:rsidR="00D228BE" w:rsidRPr="00677D1F" w:rsidRDefault="00332EB6" w:rsidP="00677D1F">
            <w:pPr>
              <w:pStyle w:val="TableParagraph"/>
              <w:spacing w:before="25"/>
              <w:ind w:left="67" w:right="45"/>
              <w:contextualSpacing/>
              <w:jc w:val="center"/>
              <w:rPr>
                <w:sz w:val="21"/>
              </w:rPr>
            </w:pPr>
            <w:r w:rsidRPr="00677D1F">
              <w:rPr>
                <w:rFonts w:ascii="宋体" w:hAnsi="宋体"/>
                <w:sz w:val="21"/>
              </w:rPr>
              <w:t>≥</w:t>
            </w:r>
            <w:r w:rsidRPr="00677D1F">
              <w:rPr>
                <w:sz w:val="21"/>
              </w:rPr>
              <w:t>98</w:t>
            </w:r>
          </w:p>
        </w:tc>
        <w:tc>
          <w:tcPr>
            <w:tcW w:w="1798" w:type="dxa"/>
            <w:tcBorders>
              <w:top w:val="single" w:sz="6" w:space="0" w:color="000000"/>
              <w:left w:val="single" w:sz="6" w:space="0" w:color="000000"/>
              <w:right w:val="single" w:sz="6" w:space="0" w:color="000000"/>
            </w:tcBorders>
          </w:tcPr>
          <w:p w:rsidR="00D228BE" w:rsidRPr="00677D1F" w:rsidRDefault="00332EB6" w:rsidP="00677D1F">
            <w:pPr>
              <w:pStyle w:val="TableParagraph"/>
              <w:spacing w:before="25"/>
              <w:ind w:left="606" w:right="576"/>
              <w:contextualSpacing/>
              <w:jc w:val="center"/>
              <w:rPr>
                <w:sz w:val="21"/>
              </w:rPr>
            </w:pPr>
            <w:r w:rsidRPr="00677D1F">
              <w:rPr>
                <w:rFonts w:ascii="宋体" w:hAnsi="宋体"/>
                <w:sz w:val="21"/>
              </w:rPr>
              <w:t>≤</w:t>
            </w:r>
            <w:r w:rsidRPr="00677D1F">
              <w:rPr>
                <w:sz w:val="21"/>
              </w:rPr>
              <w:t>0.1</w:t>
            </w:r>
          </w:p>
        </w:tc>
        <w:tc>
          <w:tcPr>
            <w:tcW w:w="1419" w:type="dxa"/>
            <w:tcBorders>
              <w:top w:val="single" w:sz="6" w:space="0" w:color="000000"/>
              <w:left w:val="single" w:sz="6" w:space="0" w:color="000000"/>
              <w:right w:val="single" w:sz="6" w:space="0" w:color="000000"/>
            </w:tcBorders>
          </w:tcPr>
          <w:p w:rsidR="00D228BE" w:rsidRPr="00677D1F" w:rsidRDefault="00332EB6" w:rsidP="00677D1F">
            <w:pPr>
              <w:pStyle w:val="TableParagraph"/>
              <w:spacing w:before="25"/>
              <w:ind w:left="324" w:right="303"/>
              <w:contextualSpacing/>
              <w:jc w:val="center"/>
              <w:rPr>
                <w:sz w:val="21"/>
              </w:rPr>
            </w:pPr>
            <w:r w:rsidRPr="00677D1F">
              <w:rPr>
                <w:rFonts w:ascii="宋体" w:hAnsi="宋体"/>
                <w:sz w:val="21"/>
              </w:rPr>
              <w:t>≤</w:t>
            </w:r>
            <w:r w:rsidRPr="00677D1F">
              <w:rPr>
                <w:sz w:val="21"/>
              </w:rPr>
              <w:t>0.003</w:t>
            </w:r>
          </w:p>
        </w:tc>
        <w:tc>
          <w:tcPr>
            <w:tcW w:w="1712" w:type="dxa"/>
            <w:tcBorders>
              <w:top w:val="single" w:sz="6" w:space="0" w:color="000000"/>
              <w:left w:val="single" w:sz="6" w:space="0" w:color="000000"/>
              <w:right w:val="single" w:sz="6" w:space="0" w:color="000000"/>
            </w:tcBorders>
          </w:tcPr>
          <w:p w:rsidR="00D228BE" w:rsidRPr="00677D1F" w:rsidRDefault="00332EB6" w:rsidP="00677D1F">
            <w:pPr>
              <w:pStyle w:val="TableParagraph"/>
              <w:spacing w:before="25"/>
              <w:ind w:left="531" w:right="506"/>
              <w:contextualSpacing/>
              <w:jc w:val="center"/>
              <w:rPr>
                <w:sz w:val="21"/>
              </w:rPr>
            </w:pPr>
            <w:r w:rsidRPr="00677D1F">
              <w:rPr>
                <w:rFonts w:ascii="宋体" w:hAnsi="宋体"/>
                <w:sz w:val="21"/>
              </w:rPr>
              <w:t>≤</w:t>
            </w:r>
            <w:r w:rsidRPr="00677D1F">
              <w:rPr>
                <w:sz w:val="21"/>
              </w:rPr>
              <w:t>0.20</w:t>
            </w:r>
          </w:p>
        </w:tc>
        <w:tc>
          <w:tcPr>
            <w:tcW w:w="1335" w:type="dxa"/>
            <w:tcBorders>
              <w:top w:val="single" w:sz="6" w:space="0" w:color="000000"/>
              <w:left w:val="single" w:sz="6" w:space="0" w:color="000000"/>
            </w:tcBorders>
          </w:tcPr>
          <w:p w:rsidR="00D228BE" w:rsidRPr="00677D1F" w:rsidRDefault="00332EB6" w:rsidP="00677D1F">
            <w:pPr>
              <w:pStyle w:val="TableParagraph"/>
              <w:spacing w:before="25"/>
              <w:ind w:left="225" w:right="201"/>
              <w:contextualSpacing/>
              <w:jc w:val="center"/>
              <w:rPr>
                <w:sz w:val="21"/>
              </w:rPr>
            </w:pPr>
            <w:r w:rsidRPr="00677D1F">
              <w:rPr>
                <w:rFonts w:ascii="宋体" w:hAnsi="宋体"/>
                <w:sz w:val="21"/>
              </w:rPr>
              <w:t>≤</w:t>
            </w:r>
            <w:r w:rsidRPr="00677D1F">
              <w:rPr>
                <w:sz w:val="21"/>
              </w:rPr>
              <w:t>0.15</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（2）生产辅料</w:t>
      </w: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① </w:t>
      </w:r>
      <w:r w:rsidRPr="00677D1F">
        <w:rPr>
          <w:rFonts w:ascii="宋体" w:eastAsia="宋体" w:hAnsi="宋体" w:cs="宋体"/>
          <w:color w:val="000000"/>
          <w:kern w:val="0"/>
          <w:sz w:val="24"/>
          <w:szCs w:val="24"/>
        </w:rPr>
        <w:t>石蜡油</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表3.1-26  石蜡油质量指标</w:t>
      </w:r>
    </w:p>
    <w:p w:rsidR="00D228BE" w:rsidRPr="00677D1F" w:rsidRDefault="00D228BE" w:rsidP="00677D1F">
      <w:pPr>
        <w:pStyle w:val="a4"/>
        <w:contextualSpacing/>
        <w:rPr>
          <w:rFonts w:ascii="黑体"/>
          <w:sz w:val="5"/>
        </w:rPr>
      </w:pP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938"/>
        <w:gridCol w:w="2572"/>
        <w:gridCol w:w="2562"/>
      </w:tblGrid>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项目</w:t>
            </w:r>
          </w:p>
        </w:tc>
        <w:tc>
          <w:tcPr>
            <w:tcW w:w="5134" w:type="dxa"/>
            <w:gridSpan w:val="2"/>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质量标准</w:t>
            </w:r>
          </w:p>
        </w:tc>
      </w:tr>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品种</w:t>
            </w:r>
          </w:p>
        </w:tc>
        <w:tc>
          <w:tcPr>
            <w:tcW w:w="5134" w:type="dxa"/>
            <w:gridSpan w:val="2"/>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工业白油</w:t>
            </w:r>
          </w:p>
        </w:tc>
      </w:tr>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牌号</w:t>
            </w:r>
          </w:p>
        </w:tc>
        <w:tc>
          <w:tcPr>
            <w:tcW w:w="257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w:t>
            </w:r>
          </w:p>
        </w:tc>
        <w:tc>
          <w:tcPr>
            <w:tcW w:w="256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26#</w:t>
            </w:r>
          </w:p>
        </w:tc>
      </w:tr>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运动粘度</w:t>
            </w:r>
            <w:r w:rsidRPr="00677D1F">
              <w:rPr>
                <w:rFonts w:asciiTheme="minorEastAsia" w:eastAsiaTheme="minorEastAsia" w:hAnsiTheme="minorEastAsia"/>
                <w:sz w:val="21"/>
              </w:rPr>
              <w:t>40</w:t>
            </w:r>
            <w:r w:rsidRPr="00677D1F">
              <w:rPr>
                <w:rFonts w:asciiTheme="minorEastAsia" w:eastAsiaTheme="minorEastAsia" w:hAnsiTheme="minorEastAsia" w:hint="eastAsia"/>
                <w:sz w:val="21"/>
              </w:rPr>
              <w:t xml:space="preserve">℃ </w:t>
            </w:r>
            <w:r w:rsidRPr="00677D1F">
              <w:rPr>
                <w:rFonts w:asciiTheme="minorEastAsia" w:eastAsiaTheme="minorEastAsia" w:hAnsiTheme="minorEastAsia"/>
                <w:sz w:val="21"/>
              </w:rPr>
              <w:t>CP</w:t>
            </w:r>
          </w:p>
        </w:tc>
        <w:tc>
          <w:tcPr>
            <w:tcW w:w="257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12.5</w:t>
            </w:r>
            <w:r w:rsidRPr="00677D1F">
              <w:rPr>
                <w:rFonts w:ascii="MS Mincho" w:eastAsia="MS Mincho" w:hAnsi="MS Mincho" w:cs="MS Mincho" w:hint="eastAsia"/>
                <w:sz w:val="21"/>
              </w:rPr>
              <w:t>〜</w:t>
            </w:r>
            <w:r w:rsidRPr="00677D1F">
              <w:rPr>
                <w:rFonts w:asciiTheme="minorEastAsia" w:eastAsiaTheme="minorEastAsia" w:hAnsiTheme="minorEastAsia"/>
                <w:sz w:val="21"/>
              </w:rPr>
              <w:t>17.5</w:t>
            </w:r>
          </w:p>
        </w:tc>
        <w:tc>
          <w:tcPr>
            <w:tcW w:w="256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 xml:space="preserve">24 </w:t>
            </w:r>
            <w:r w:rsidRPr="00677D1F">
              <w:rPr>
                <w:rFonts w:ascii="MS Mincho" w:eastAsia="MS Mincho" w:hAnsi="MS Mincho" w:cs="MS Mincho" w:hint="eastAsia"/>
                <w:sz w:val="21"/>
              </w:rPr>
              <w:t>〜</w:t>
            </w:r>
            <w:r w:rsidRPr="00677D1F">
              <w:rPr>
                <w:rFonts w:asciiTheme="minorEastAsia" w:eastAsiaTheme="minorEastAsia" w:hAnsiTheme="minorEastAsia" w:hint="eastAsia"/>
                <w:sz w:val="21"/>
              </w:rPr>
              <w:t xml:space="preserve"> </w:t>
            </w:r>
            <w:r w:rsidRPr="00677D1F">
              <w:rPr>
                <w:rFonts w:asciiTheme="minorEastAsia" w:eastAsiaTheme="minorEastAsia" w:hAnsiTheme="minorEastAsia"/>
                <w:sz w:val="21"/>
              </w:rPr>
              <w:t>28</w:t>
            </w:r>
          </w:p>
        </w:tc>
      </w:tr>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闪点（开口）℃</w:t>
            </w:r>
          </w:p>
        </w:tc>
        <w:tc>
          <w:tcPr>
            <w:tcW w:w="257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165</w:t>
            </w:r>
          </w:p>
        </w:tc>
        <w:tc>
          <w:tcPr>
            <w:tcW w:w="256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165</w:t>
            </w:r>
          </w:p>
        </w:tc>
      </w:tr>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sz w:val="21"/>
                <w:lang w:eastAsia="zh-CN"/>
              </w:rPr>
            </w:pPr>
            <w:r w:rsidRPr="00677D1F">
              <w:rPr>
                <w:rFonts w:asciiTheme="minorEastAsia" w:eastAsiaTheme="minorEastAsia" w:hAnsiTheme="minorEastAsia" w:hint="eastAsia"/>
                <w:sz w:val="21"/>
                <w:lang w:eastAsia="zh-CN"/>
              </w:rPr>
              <w:t>色度</w:t>
            </w:r>
            <w:r w:rsidRPr="00677D1F">
              <w:rPr>
                <w:rFonts w:asciiTheme="minorEastAsia" w:eastAsiaTheme="minorEastAsia" w:hAnsiTheme="minorEastAsia"/>
                <w:sz w:val="21"/>
                <w:lang w:eastAsia="zh-CN"/>
              </w:rPr>
              <w:t>（</w:t>
            </w:r>
            <w:r w:rsidRPr="00677D1F">
              <w:rPr>
                <w:rFonts w:asciiTheme="minorEastAsia" w:eastAsiaTheme="minorEastAsia" w:hAnsiTheme="minorEastAsia" w:hint="eastAsia"/>
                <w:sz w:val="21"/>
                <w:lang w:eastAsia="zh-CN"/>
              </w:rPr>
              <w:t>重铬酸钾溶液</w:t>
            </w:r>
            <w:r w:rsidRPr="00677D1F">
              <w:rPr>
                <w:rFonts w:asciiTheme="minorEastAsia" w:eastAsiaTheme="minorEastAsia" w:hAnsiTheme="minorEastAsia"/>
                <w:sz w:val="21"/>
                <w:lang w:eastAsia="zh-CN"/>
              </w:rPr>
              <w:t>）</w:t>
            </w:r>
            <w:r w:rsidRPr="00677D1F">
              <w:rPr>
                <w:rFonts w:asciiTheme="minorEastAsia" w:eastAsiaTheme="minorEastAsia" w:hAnsiTheme="minorEastAsia" w:hint="eastAsia"/>
                <w:sz w:val="21"/>
                <w:lang w:eastAsia="zh-CN"/>
              </w:rPr>
              <w:t>号</w:t>
            </w:r>
          </w:p>
        </w:tc>
        <w:tc>
          <w:tcPr>
            <w:tcW w:w="257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w:t>
            </w:r>
          </w:p>
        </w:tc>
        <w:tc>
          <w:tcPr>
            <w:tcW w:w="256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w:t>
            </w:r>
          </w:p>
        </w:tc>
      </w:tr>
      <w:tr w:rsidR="00D228BE" w:rsidRPr="00677D1F">
        <w:trPr>
          <w:trHeight w:val="340"/>
          <w:jc w:val="center"/>
        </w:trPr>
        <w:tc>
          <w:tcPr>
            <w:tcW w:w="393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水溶性酸或碱</w:t>
            </w:r>
          </w:p>
        </w:tc>
        <w:tc>
          <w:tcPr>
            <w:tcW w:w="257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无</w:t>
            </w:r>
          </w:p>
        </w:tc>
        <w:tc>
          <w:tcPr>
            <w:tcW w:w="2562"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无</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硫酸成份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lastRenderedPageBreak/>
        <w:t>H</w:t>
      </w:r>
      <w:r w:rsidRPr="00677D1F">
        <w:rPr>
          <w:rFonts w:ascii="宋体" w:eastAsia="宋体" w:hAnsi="宋体" w:cs="宋体"/>
          <w:color w:val="000000"/>
          <w:kern w:val="0"/>
          <w:sz w:val="24"/>
          <w:szCs w:val="24"/>
          <w:vertAlign w:val="subscript"/>
        </w:rPr>
        <w:t>2</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4</w:t>
      </w:r>
      <w:r w:rsidRPr="00677D1F">
        <w:rPr>
          <w:rFonts w:ascii="宋体" w:eastAsia="宋体" w:hAnsi="宋体" w:cs="宋体"/>
          <w:color w:val="000000"/>
          <w:kern w:val="0"/>
          <w:sz w:val="24"/>
          <w:szCs w:val="24"/>
        </w:rPr>
        <w:t>≥98％</w:t>
      </w:r>
      <w:r w:rsidRPr="00677D1F">
        <w:rPr>
          <w:rFonts w:ascii="宋体" w:eastAsia="宋体" w:hAnsi="宋体" w:cs="宋体" w:hint="eastAsia"/>
          <w:color w:val="000000"/>
          <w:kern w:val="0"/>
          <w:sz w:val="24"/>
          <w:szCs w:val="24"/>
        </w:rPr>
        <w:t>（体积%）</w:t>
      </w:r>
      <w:r w:rsidRPr="00677D1F">
        <w:rPr>
          <w:rFonts w:ascii="宋体" w:eastAsia="宋体" w:hAnsi="宋体" w:cs="宋体"/>
          <w:color w:val="000000"/>
          <w:kern w:val="0"/>
          <w:sz w:val="24"/>
          <w:szCs w:val="24"/>
        </w:rPr>
        <w:t>，符合现行国标GB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534，一级品，见表</w:t>
      </w:r>
      <w:r w:rsidRPr="00677D1F">
        <w:rPr>
          <w:rFonts w:ascii="宋体" w:eastAsia="宋体" w:hAnsi="宋体" w:cs="宋体" w:hint="eastAsia"/>
          <w:color w:val="000000"/>
          <w:kern w:val="0"/>
          <w:sz w:val="24"/>
          <w:szCs w:val="24"/>
        </w:rPr>
        <w:t>3.1-27</w:t>
      </w:r>
      <w:r w:rsidRPr="00677D1F">
        <w:rPr>
          <w:rFonts w:ascii="宋体" w:eastAsia="宋体" w:hAnsi="宋体" w:cs="宋体"/>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表3.1-27  硫酸成份</w:t>
      </w:r>
    </w:p>
    <w:p w:rsidR="00D228BE" w:rsidRPr="00677D1F" w:rsidRDefault="00D228BE" w:rsidP="00677D1F">
      <w:pPr>
        <w:pStyle w:val="a4"/>
        <w:contextualSpacing/>
        <w:rPr>
          <w:rFonts w:ascii="黑体"/>
          <w:sz w:val="5"/>
        </w:rPr>
      </w:pP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68"/>
        <w:gridCol w:w="2268"/>
        <w:gridCol w:w="2268"/>
        <w:gridCol w:w="2268"/>
      </w:tblGrid>
      <w:tr w:rsidR="00D228BE" w:rsidRPr="00677D1F">
        <w:trPr>
          <w:trHeight w:val="340"/>
          <w:jc w:val="center"/>
        </w:trPr>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名称</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SO</w:t>
            </w:r>
            <w:r w:rsidRPr="00677D1F">
              <w:rPr>
                <w:rFonts w:asciiTheme="minorEastAsia" w:eastAsiaTheme="minorEastAsia" w:hAnsiTheme="minorEastAsia"/>
                <w:b/>
                <w:sz w:val="21"/>
                <w:vertAlign w:val="subscript"/>
              </w:rPr>
              <w:t>4</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Fe</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灼烧残渣</w:t>
            </w:r>
          </w:p>
        </w:tc>
      </w:tr>
      <w:tr w:rsidR="00D228BE" w:rsidRPr="00677D1F">
        <w:trPr>
          <w:trHeight w:val="340"/>
          <w:jc w:val="center"/>
        </w:trPr>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Wt%</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≥98</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≤0.03</w:t>
            </w:r>
          </w:p>
        </w:tc>
        <w:tc>
          <w:tcPr>
            <w:tcW w:w="226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≤0.1</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outlineLvl w:val="5"/>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③ </w:t>
      </w:r>
      <w:r w:rsidRPr="00677D1F">
        <w:rPr>
          <w:rFonts w:ascii="宋体" w:eastAsia="宋体" w:hAnsi="宋体" w:cs="宋体"/>
          <w:color w:val="000000"/>
          <w:kern w:val="0"/>
          <w:sz w:val="24"/>
          <w:szCs w:val="24"/>
        </w:rPr>
        <w:t>氩气成份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Ar≥99.999%</w:t>
      </w:r>
      <w:r w:rsidRPr="00677D1F">
        <w:rPr>
          <w:rFonts w:ascii="宋体" w:eastAsia="宋体" w:hAnsi="宋体" w:cs="宋体" w:hint="eastAsia"/>
          <w:color w:val="000000"/>
          <w:kern w:val="0"/>
          <w:sz w:val="24"/>
          <w:szCs w:val="24"/>
        </w:rPr>
        <w:t>（wt%）</w:t>
      </w:r>
      <w:r w:rsidRPr="00677D1F">
        <w:rPr>
          <w:rFonts w:ascii="宋体" w:eastAsia="宋体" w:hAnsi="宋体" w:cs="宋体"/>
          <w:color w:val="000000"/>
          <w:kern w:val="0"/>
          <w:sz w:val="24"/>
          <w:szCs w:val="24"/>
        </w:rPr>
        <w:t>，符合国标 GB4842。</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hint="eastAsia"/>
          <w:b/>
          <w:bCs/>
          <w:color w:val="000000"/>
          <w:kern w:val="0"/>
          <w:sz w:val="24"/>
          <w:szCs w:val="24"/>
        </w:rPr>
        <w:t>3.1.4.6 钛及钛合金加工</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（1）生产原料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海绵钛标准GB/T</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2524-2019规定的化学成分及布氏硬度见表</w:t>
      </w:r>
      <w:r w:rsidRPr="00677D1F">
        <w:rPr>
          <w:rFonts w:ascii="宋体" w:eastAsia="宋体" w:hAnsi="宋体" w:cs="宋体" w:hint="eastAsia"/>
          <w:color w:val="000000"/>
          <w:kern w:val="0"/>
          <w:sz w:val="24"/>
          <w:szCs w:val="24"/>
        </w:rPr>
        <w:t>3.1-28</w:t>
      </w:r>
      <w:r w:rsidRPr="00677D1F">
        <w:rPr>
          <w:rFonts w:ascii="宋体" w:eastAsia="宋体" w:hAnsi="宋体" w:cs="宋体"/>
          <w:color w:val="000000"/>
          <w:kern w:val="0"/>
          <w:sz w:val="24"/>
          <w:szCs w:val="24"/>
        </w:rPr>
        <w:t>，海绵钛产品的粒度规格应符合表</w:t>
      </w:r>
      <w:r w:rsidRPr="00677D1F">
        <w:rPr>
          <w:rFonts w:ascii="宋体" w:eastAsia="宋体" w:hAnsi="宋体" w:cs="宋体" w:hint="eastAsia"/>
          <w:color w:val="000000"/>
          <w:kern w:val="0"/>
          <w:sz w:val="24"/>
          <w:szCs w:val="24"/>
        </w:rPr>
        <w:t>3.1-29</w:t>
      </w:r>
      <w:r w:rsidRPr="00677D1F">
        <w:rPr>
          <w:rFonts w:ascii="宋体" w:eastAsia="宋体" w:hAnsi="宋体" w:cs="宋体"/>
          <w:color w:val="000000"/>
          <w:kern w:val="0"/>
          <w:sz w:val="24"/>
          <w:szCs w:val="24"/>
        </w:rPr>
        <w:t>的规定。</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表3.1-28  海绵钛化学成分及布氏硬度</w:t>
      </w:r>
    </w:p>
    <w:p w:rsidR="00D228BE" w:rsidRPr="00677D1F" w:rsidRDefault="00D228BE" w:rsidP="00677D1F">
      <w:pPr>
        <w:pStyle w:val="a4"/>
        <w:spacing w:before="3"/>
        <w:contextualSpacing/>
        <w:rPr>
          <w:rFonts w:ascii="黑体"/>
          <w:sz w:val="5"/>
        </w:rPr>
      </w:pP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327"/>
        <w:gridCol w:w="758"/>
        <w:gridCol w:w="508"/>
        <w:gridCol w:w="482"/>
        <w:gridCol w:w="482"/>
        <w:gridCol w:w="482"/>
        <w:gridCol w:w="482"/>
        <w:gridCol w:w="574"/>
        <w:gridCol w:w="574"/>
        <w:gridCol w:w="482"/>
        <w:gridCol w:w="482"/>
        <w:gridCol w:w="574"/>
        <w:gridCol w:w="482"/>
        <w:gridCol w:w="482"/>
        <w:gridCol w:w="584"/>
        <w:gridCol w:w="1317"/>
      </w:tblGrid>
      <w:tr w:rsidR="00D228BE" w:rsidRPr="00677D1F">
        <w:trPr>
          <w:trHeight w:val="340"/>
          <w:jc w:val="center"/>
        </w:trPr>
        <w:tc>
          <w:tcPr>
            <w:tcW w:w="327"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产品</w:t>
            </w:r>
          </w:p>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等级</w:t>
            </w:r>
          </w:p>
        </w:tc>
        <w:tc>
          <w:tcPr>
            <w:tcW w:w="758"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产品</w:t>
            </w:r>
          </w:p>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牌号</w:t>
            </w:r>
          </w:p>
        </w:tc>
        <w:tc>
          <w:tcPr>
            <w:tcW w:w="6670" w:type="dxa"/>
            <w:gridSpan w:val="13"/>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lang w:eastAsia="zh-CN"/>
              </w:rPr>
            </w:pPr>
            <w:r w:rsidRPr="00677D1F">
              <w:rPr>
                <w:rFonts w:asciiTheme="minorEastAsia" w:eastAsiaTheme="minorEastAsia" w:hAnsiTheme="minorEastAsia" w:hint="eastAsia"/>
                <w:b/>
                <w:sz w:val="18"/>
                <w:szCs w:val="18"/>
                <w:lang w:eastAsia="zh-CN"/>
              </w:rPr>
              <w:t>化学成分（质量分数）</w:t>
            </w:r>
            <w:r w:rsidRPr="00677D1F">
              <w:rPr>
                <w:rFonts w:asciiTheme="minorEastAsia" w:eastAsiaTheme="minorEastAsia" w:hAnsiTheme="minorEastAsia"/>
                <w:b/>
                <w:sz w:val="18"/>
                <w:szCs w:val="18"/>
                <w:lang w:eastAsia="zh-CN"/>
              </w:rPr>
              <w:t>/%</w:t>
            </w:r>
          </w:p>
        </w:tc>
        <w:tc>
          <w:tcPr>
            <w:tcW w:w="1317"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布氏硬度</w:t>
            </w:r>
          </w:p>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b/>
                <w:sz w:val="18"/>
              </w:rPr>
              <w:t>HBW10/1500/30</w:t>
            </w:r>
          </w:p>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不大于</w:t>
            </w:r>
          </w:p>
        </w:tc>
      </w:tr>
      <w:tr w:rsidR="00D228BE" w:rsidRPr="00677D1F">
        <w:trPr>
          <w:trHeight w:val="340"/>
          <w:jc w:val="center"/>
        </w:trPr>
        <w:tc>
          <w:tcPr>
            <w:tcW w:w="327" w:type="dxa"/>
            <w:vMerge/>
            <w:vAlign w:val="center"/>
          </w:tcPr>
          <w:p w:rsidR="00D228BE" w:rsidRPr="00677D1F" w:rsidRDefault="00D228BE" w:rsidP="00677D1F">
            <w:pPr>
              <w:contextualSpacing/>
              <w:jc w:val="center"/>
              <w:rPr>
                <w:rFonts w:asciiTheme="minorEastAsia" w:hAnsiTheme="minorEastAsia"/>
                <w:kern w:val="0"/>
                <w:sz w:val="2"/>
                <w:szCs w:val="2"/>
              </w:rPr>
            </w:pPr>
          </w:p>
        </w:tc>
        <w:tc>
          <w:tcPr>
            <w:tcW w:w="758" w:type="dxa"/>
            <w:vMerge/>
            <w:vAlign w:val="center"/>
          </w:tcPr>
          <w:p w:rsidR="00D228BE" w:rsidRPr="00677D1F" w:rsidRDefault="00D228BE" w:rsidP="00677D1F">
            <w:pPr>
              <w:contextualSpacing/>
              <w:jc w:val="center"/>
              <w:rPr>
                <w:rFonts w:asciiTheme="minorEastAsia" w:hAnsiTheme="minorEastAsia"/>
                <w:kern w:val="0"/>
                <w:sz w:val="2"/>
                <w:szCs w:val="2"/>
              </w:rPr>
            </w:pPr>
          </w:p>
        </w:tc>
        <w:tc>
          <w:tcPr>
            <w:tcW w:w="508"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b/>
                <w:sz w:val="18"/>
              </w:rPr>
              <w:t>Ti</w:t>
            </w:r>
          </w:p>
          <w:p w:rsidR="00D228BE" w:rsidRPr="00677D1F" w:rsidRDefault="00332EB6" w:rsidP="00677D1F">
            <w:pPr>
              <w:pStyle w:val="TableParagraph"/>
              <w:contextualSpacing/>
              <w:jc w:val="center"/>
              <w:rPr>
                <w:rFonts w:asciiTheme="minorEastAsia" w:eastAsiaTheme="minorEastAsia" w:hAnsiTheme="minorEastAsia"/>
                <w:b/>
                <w:sz w:val="18"/>
              </w:rPr>
            </w:pPr>
            <w:r w:rsidRPr="00677D1F">
              <w:rPr>
                <w:rFonts w:asciiTheme="minorEastAsia" w:eastAsiaTheme="minorEastAsia" w:hAnsiTheme="minorEastAsia" w:hint="eastAsia"/>
                <w:b/>
                <w:sz w:val="18"/>
              </w:rPr>
              <w:t>不小于</w:t>
            </w:r>
          </w:p>
        </w:tc>
        <w:tc>
          <w:tcPr>
            <w:tcW w:w="6162" w:type="dxa"/>
            <w:gridSpan w:val="12"/>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杂质元素，不大于</w:t>
            </w:r>
          </w:p>
        </w:tc>
        <w:tc>
          <w:tcPr>
            <w:tcW w:w="1317" w:type="dxa"/>
            <w:vMerge/>
            <w:vAlign w:val="center"/>
          </w:tcPr>
          <w:p w:rsidR="00D228BE" w:rsidRPr="00677D1F" w:rsidRDefault="00D228BE" w:rsidP="00677D1F">
            <w:pPr>
              <w:contextualSpacing/>
              <w:jc w:val="center"/>
              <w:rPr>
                <w:rFonts w:asciiTheme="minorEastAsia" w:hAnsiTheme="minorEastAsia"/>
                <w:kern w:val="0"/>
                <w:sz w:val="2"/>
                <w:szCs w:val="2"/>
              </w:rPr>
            </w:pPr>
          </w:p>
        </w:tc>
      </w:tr>
      <w:tr w:rsidR="00D228BE" w:rsidRPr="00677D1F">
        <w:trPr>
          <w:trHeight w:val="340"/>
          <w:jc w:val="center"/>
        </w:trPr>
        <w:tc>
          <w:tcPr>
            <w:tcW w:w="327" w:type="dxa"/>
            <w:vMerge/>
            <w:vAlign w:val="center"/>
          </w:tcPr>
          <w:p w:rsidR="00D228BE" w:rsidRPr="00677D1F" w:rsidRDefault="00D228BE" w:rsidP="00677D1F">
            <w:pPr>
              <w:contextualSpacing/>
              <w:jc w:val="center"/>
              <w:rPr>
                <w:rFonts w:asciiTheme="minorEastAsia" w:hAnsiTheme="minorEastAsia"/>
                <w:kern w:val="0"/>
                <w:sz w:val="2"/>
                <w:szCs w:val="2"/>
              </w:rPr>
            </w:pPr>
          </w:p>
        </w:tc>
        <w:tc>
          <w:tcPr>
            <w:tcW w:w="758" w:type="dxa"/>
            <w:vMerge/>
            <w:vAlign w:val="center"/>
          </w:tcPr>
          <w:p w:rsidR="00D228BE" w:rsidRPr="00677D1F" w:rsidRDefault="00D228BE" w:rsidP="00677D1F">
            <w:pPr>
              <w:contextualSpacing/>
              <w:jc w:val="center"/>
              <w:rPr>
                <w:rFonts w:asciiTheme="minorEastAsia" w:hAnsiTheme="minorEastAsia"/>
                <w:kern w:val="0"/>
                <w:sz w:val="2"/>
                <w:szCs w:val="2"/>
              </w:rPr>
            </w:pPr>
          </w:p>
        </w:tc>
        <w:tc>
          <w:tcPr>
            <w:tcW w:w="508" w:type="dxa"/>
            <w:vMerge/>
            <w:vAlign w:val="center"/>
          </w:tcPr>
          <w:p w:rsidR="00D228BE" w:rsidRPr="00677D1F" w:rsidRDefault="00D228BE" w:rsidP="00677D1F">
            <w:pPr>
              <w:contextualSpacing/>
              <w:jc w:val="center"/>
              <w:rPr>
                <w:rFonts w:asciiTheme="minorEastAsia" w:hAnsiTheme="minorEastAsia"/>
                <w:kern w:val="0"/>
                <w:sz w:val="2"/>
                <w:szCs w:val="2"/>
              </w:rPr>
            </w:pP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Fe</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Si</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Cl</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C</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N</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O</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Mn</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Mg</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H</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Ni</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Cr</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其它杂质总和</w:t>
            </w:r>
          </w:p>
        </w:tc>
        <w:tc>
          <w:tcPr>
            <w:tcW w:w="1317" w:type="dxa"/>
            <w:vMerge/>
            <w:vAlign w:val="center"/>
          </w:tcPr>
          <w:p w:rsidR="00D228BE" w:rsidRPr="00677D1F" w:rsidRDefault="00D228BE" w:rsidP="00677D1F">
            <w:pPr>
              <w:contextualSpacing/>
              <w:jc w:val="center"/>
              <w:rPr>
                <w:rFonts w:asciiTheme="minorEastAsia" w:hAnsiTheme="minorEastAsia"/>
                <w:kern w:val="0"/>
                <w:sz w:val="2"/>
                <w:szCs w:val="2"/>
              </w:rPr>
            </w:pP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w:t>
            </w:r>
            <w:r w:rsidRPr="00677D1F">
              <w:rPr>
                <w:rFonts w:asciiTheme="minorEastAsia" w:eastAsiaTheme="minorEastAsia" w:hAnsiTheme="minorEastAsia"/>
                <w:sz w:val="18"/>
                <w:vertAlign w:val="subscript"/>
              </w:rPr>
              <w:t>A</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MHT-95</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99.8</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0.06</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0.003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95</w:t>
            </w: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MHT-100</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99.7</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0.04</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0.06</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0.060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0.003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100</w:t>
            </w: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1</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MHT-110</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99.6</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0.07</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0.08</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0.080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0.005</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110</w:t>
            </w: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2</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MHT-125</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99.4</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0.100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0.04</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0.005</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125</w:t>
            </w: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3</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MHT-140</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99.3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0.20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0.15</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0.040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0.150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0.02</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0.06</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140</w:t>
            </w: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4</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MHT-190</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99.1</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0.30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0.04</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0.15</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0.04</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0.200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0.09</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0.012</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160</w:t>
            </w:r>
          </w:p>
        </w:tc>
      </w:tr>
      <w:tr w:rsidR="00D228BE" w:rsidRPr="00677D1F">
        <w:trPr>
          <w:trHeight w:val="340"/>
          <w:jc w:val="center"/>
        </w:trPr>
        <w:tc>
          <w:tcPr>
            <w:tcW w:w="32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5</w:t>
            </w:r>
            <w:r w:rsidRPr="00677D1F">
              <w:rPr>
                <w:rFonts w:asciiTheme="minorEastAsia" w:eastAsiaTheme="minorEastAsia" w:hAnsiTheme="minorEastAsia" w:hint="eastAsia"/>
                <w:sz w:val="18"/>
              </w:rPr>
              <w:t>级</w:t>
            </w:r>
          </w:p>
        </w:tc>
        <w:tc>
          <w:tcPr>
            <w:tcW w:w="75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MHT-200</w:t>
            </w:r>
          </w:p>
        </w:tc>
        <w:tc>
          <w:tcPr>
            <w:tcW w:w="508"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98.5</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0.40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0.06</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0.30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0.05</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0.100</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0.300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0.08</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0.15</w:t>
            </w:r>
          </w:p>
        </w:tc>
        <w:tc>
          <w:tcPr>
            <w:tcW w:w="57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0.030</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482"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584"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w:t>
            </w:r>
          </w:p>
        </w:tc>
        <w:tc>
          <w:tcPr>
            <w:tcW w:w="1317" w:type="dxa"/>
            <w:vAlign w:val="center"/>
          </w:tcPr>
          <w:p w:rsidR="00D228BE" w:rsidRPr="00677D1F" w:rsidRDefault="00332EB6" w:rsidP="00677D1F">
            <w:pPr>
              <w:pStyle w:val="TableParagraph"/>
              <w:contextualSpacing/>
              <w:jc w:val="center"/>
              <w:rPr>
                <w:rFonts w:asciiTheme="minorEastAsia" w:eastAsiaTheme="minorEastAsia" w:hAnsiTheme="minorEastAsia"/>
                <w:sz w:val="18"/>
              </w:rPr>
            </w:pPr>
            <w:r w:rsidRPr="00677D1F">
              <w:rPr>
                <w:rFonts w:asciiTheme="minorEastAsia" w:eastAsiaTheme="minorEastAsia" w:hAnsiTheme="minorEastAsia"/>
                <w:sz w:val="18"/>
              </w:rPr>
              <w:t>200</w:t>
            </w:r>
          </w:p>
        </w:tc>
      </w:tr>
      <w:tr w:rsidR="00D228BE" w:rsidRPr="00677D1F">
        <w:trPr>
          <w:trHeight w:val="340"/>
          <w:jc w:val="center"/>
        </w:trPr>
        <w:tc>
          <w:tcPr>
            <w:tcW w:w="9072" w:type="dxa"/>
            <w:gridSpan w:val="16"/>
            <w:vAlign w:val="center"/>
          </w:tcPr>
          <w:p w:rsidR="00D228BE" w:rsidRPr="00677D1F" w:rsidRDefault="00332EB6" w:rsidP="00677D1F">
            <w:pPr>
              <w:pStyle w:val="TableParagraph"/>
              <w:contextualSpacing/>
              <w:jc w:val="center"/>
              <w:rPr>
                <w:rFonts w:asciiTheme="minorEastAsia" w:eastAsiaTheme="minorEastAsia" w:hAnsiTheme="minorEastAsia"/>
                <w:sz w:val="18"/>
                <w:lang w:eastAsia="zh-CN"/>
              </w:rPr>
            </w:pPr>
            <w:r w:rsidRPr="00677D1F">
              <w:rPr>
                <w:rFonts w:asciiTheme="minorEastAsia" w:eastAsiaTheme="minorEastAsia" w:hAnsiTheme="minorEastAsia" w:hint="eastAsia"/>
                <w:sz w:val="18"/>
                <w:lang w:eastAsia="zh-CN"/>
              </w:rPr>
              <w:t>注</w:t>
            </w:r>
            <w:r w:rsidRPr="00677D1F">
              <w:rPr>
                <w:rFonts w:asciiTheme="minorEastAsia" w:eastAsiaTheme="minorEastAsia" w:hAnsiTheme="minorEastAsia"/>
                <w:sz w:val="18"/>
                <w:lang w:eastAsia="zh-CN"/>
              </w:rPr>
              <w:t>1</w:t>
            </w:r>
            <w:r w:rsidRPr="00677D1F">
              <w:rPr>
                <w:rFonts w:asciiTheme="minorEastAsia" w:eastAsiaTheme="minorEastAsia" w:hAnsiTheme="minorEastAsia" w:hint="eastAsia"/>
                <w:sz w:val="18"/>
                <w:lang w:eastAsia="zh-CN"/>
              </w:rPr>
              <w:t xml:space="preserve">： </w:t>
            </w:r>
            <w:r w:rsidRPr="00677D1F">
              <w:rPr>
                <w:rFonts w:asciiTheme="minorEastAsia" w:eastAsiaTheme="minorEastAsia" w:hAnsiTheme="minorEastAsia"/>
                <w:sz w:val="18"/>
                <w:lang w:eastAsia="zh-CN"/>
              </w:rPr>
              <w:t>‘</w:t>
            </w:r>
            <w:r w:rsidRPr="00677D1F">
              <w:rPr>
                <w:rFonts w:asciiTheme="minorEastAsia" w:eastAsiaTheme="minorEastAsia" w:hAnsiTheme="minorEastAsia" w:hint="eastAsia"/>
                <w:sz w:val="18"/>
                <w:lang w:eastAsia="zh-CN"/>
              </w:rPr>
              <w:t>其它杂质元素</w:t>
            </w:r>
            <w:r w:rsidRPr="00677D1F">
              <w:rPr>
                <w:rFonts w:asciiTheme="minorEastAsia" w:eastAsiaTheme="minorEastAsia" w:hAnsiTheme="minorEastAsia"/>
                <w:sz w:val="18"/>
                <w:lang w:eastAsia="zh-CN"/>
              </w:rPr>
              <w:t>’</w:t>
            </w:r>
            <w:r w:rsidRPr="00677D1F">
              <w:rPr>
                <w:rFonts w:asciiTheme="minorEastAsia" w:eastAsiaTheme="minorEastAsia" w:hAnsiTheme="minorEastAsia" w:hint="eastAsia"/>
                <w:sz w:val="18"/>
                <w:lang w:eastAsia="zh-CN"/>
              </w:rPr>
              <w:t>一般包括（但不限于）</w:t>
            </w:r>
            <w:r w:rsidRPr="00677D1F">
              <w:rPr>
                <w:rFonts w:asciiTheme="minorEastAsia" w:eastAsiaTheme="minorEastAsia" w:hAnsiTheme="minorEastAsia"/>
                <w:sz w:val="18"/>
                <w:lang w:eastAsia="zh-CN"/>
              </w:rPr>
              <w:t>Al</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Sn</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V</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Mo</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Zr</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Cu</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Er</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 xml:space="preserve">Y </w:t>
            </w:r>
            <w:r w:rsidRPr="00677D1F">
              <w:rPr>
                <w:rFonts w:asciiTheme="minorEastAsia" w:eastAsiaTheme="minorEastAsia" w:hAnsiTheme="minorEastAsia" w:hint="eastAsia"/>
                <w:sz w:val="18"/>
                <w:lang w:eastAsia="zh-CN"/>
              </w:rPr>
              <w:t>等，</w:t>
            </w:r>
            <w:r w:rsidRPr="00677D1F">
              <w:rPr>
                <w:rFonts w:asciiTheme="minorEastAsia" w:eastAsiaTheme="minorEastAsia" w:hAnsiTheme="minorEastAsia"/>
                <w:sz w:val="18"/>
                <w:lang w:eastAsia="zh-CN"/>
              </w:rPr>
              <w:t>Al</w:t>
            </w:r>
            <w:r w:rsidRPr="00677D1F">
              <w:rPr>
                <w:rFonts w:asciiTheme="minorEastAsia" w:eastAsiaTheme="minorEastAsia" w:hAnsiTheme="minorEastAsia" w:hint="eastAsia"/>
                <w:sz w:val="18"/>
                <w:lang w:eastAsia="zh-CN"/>
              </w:rPr>
              <w:t>、</w:t>
            </w:r>
            <w:r w:rsidRPr="00677D1F">
              <w:rPr>
                <w:rFonts w:asciiTheme="minorEastAsia" w:eastAsiaTheme="minorEastAsia" w:hAnsiTheme="minorEastAsia"/>
                <w:sz w:val="18"/>
                <w:lang w:eastAsia="zh-CN"/>
              </w:rPr>
              <w:t xml:space="preserve">Sn </w:t>
            </w:r>
            <w:r w:rsidRPr="00677D1F">
              <w:rPr>
                <w:rFonts w:asciiTheme="minorEastAsia" w:eastAsiaTheme="minorEastAsia" w:hAnsiTheme="minorEastAsia" w:hint="eastAsia"/>
                <w:sz w:val="18"/>
                <w:lang w:eastAsia="zh-CN"/>
              </w:rPr>
              <w:t>各杂质元素含量</w:t>
            </w:r>
            <w:r w:rsidRPr="00677D1F">
              <w:rPr>
                <w:rFonts w:asciiTheme="minorEastAsia" w:eastAsiaTheme="minorEastAsia" w:hAnsiTheme="minorEastAsia"/>
                <w:sz w:val="18"/>
                <w:lang w:eastAsia="zh-CN"/>
              </w:rPr>
              <w:t xml:space="preserve">1 </w:t>
            </w:r>
            <w:r w:rsidRPr="00677D1F">
              <w:rPr>
                <w:rFonts w:asciiTheme="minorEastAsia" w:eastAsiaTheme="minorEastAsia" w:hAnsiTheme="minorEastAsia" w:hint="eastAsia"/>
                <w:sz w:val="18"/>
                <w:lang w:eastAsia="zh-CN"/>
              </w:rPr>
              <w:t>级及以上品不得大于</w:t>
            </w:r>
            <w:r w:rsidRPr="00677D1F">
              <w:rPr>
                <w:rFonts w:asciiTheme="minorEastAsia" w:eastAsiaTheme="minorEastAsia" w:hAnsiTheme="minorEastAsia"/>
                <w:sz w:val="18"/>
                <w:lang w:eastAsia="zh-CN"/>
              </w:rPr>
              <w:t>0.030%</w:t>
            </w:r>
            <w:r w:rsidRPr="00677D1F">
              <w:rPr>
                <w:rFonts w:asciiTheme="minorEastAsia" w:eastAsiaTheme="minorEastAsia" w:hAnsiTheme="minorEastAsia" w:hint="eastAsia"/>
                <w:sz w:val="18"/>
                <w:lang w:eastAsia="zh-CN"/>
              </w:rPr>
              <w:t>，</w:t>
            </w:r>
          </w:p>
          <w:p w:rsidR="00D228BE" w:rsidRPr="00677D1F" w:rsidRDefault="00332EB6" w:rsidP="00677D1F">
            <w:pPr>
              <w:pStyle w:val="TableParagraph"/>
              <w:contextualSpacing/>
              <w:jc w:val="center"/>
              <w:rPr>
                <w:rFonts w:asciiTheme="minorEastAsia" w:eastAsiaTheme="minorEastAsia" w:hAnsiTheme="minorEastAsia"/>
                <w:sz w:val="18"/>
                <w:lang w:eastAsia="zh-CN"/>
              </w:rPr>
            </w:pPr>
            <w:r w:rsidRPr="00677D1F">
              <w:rPr>
                <w:rFonts w:asciiTheme="minorEastAsia" w:eastAsiaTheme="minorEastAsia" w:hAnsiTheme="minorEastAsia" w:hint="eastAsia"/>
                <w:sz w:val="18"/>
                <w:lang w:eastAsia="zh-CN"/>
              </w:rPr>
              <w:t>但不包括在本表规定的其他杂质总和中；</w:t>
            </w:r>
            <w:r w:rsidRPr="00677D1F">
              <w:rPr>
                <w:rFonts w:asciiTheme="minorEastAsia" w:eastAsiaTheme="minorEastAsia" w:hAnsiTheme="minorEastAsia"/>
                <w:sz w:val="18"/>
                <w:lang w:eastAsia="zh-CN"/>
              </w:rPr>
              <w:t xml:space="preserve">Y </w:t>
            </w:r>
            <w:r w:rsidRPr="00677D1F">
              <w:rPr>
                <w:rFonts w:asciiTheme="minorEastAsia" w:eastAsiaTheme="minorEastAsia" w:hAnsiTheme="minorEastAsia" w:hint="eastAsia"/>
                <w:sz w:val="18"/>
                <w:lang w:eastAsia="zh-CN"/>
              </w:rPr>
              <w:t>含量为不大于</w:t>
            </w:r>
            <w:r w:rsidRPr="00677D1F">
              <w:rPr>
                <w:rFonts w:asciiTheme="minorEastAsia" w:eastAsiaTheme="minorEastAsia" w:hAnsiTheme="minorEastAsia"/>
                <w:sz w:val="18"/>
                <w:lang w:eastAsia="zh-CN"/>
              </w:rPr>
              <w:t>0.005%</w:t>
            </w:r>
            <w:r w:rsidRPr="00677D1F">
              <w:rPr>
                <w:rFonts w:asciiTheme="minorEastAsia" w:eastAsiaTheme="minorEastAsia" w:hAnsiTheme="minorEastAsia" w:hint="eastAsia"/>
                <w:sz w:val="18"/>
                <w:lang w:eastAsia="zh-CN"/>
              </w:rPr>
              <w:t>；供需双方应协商并在订货单（或合同）中注明。</w:t>
            </w:r>
          </w:p>
        </w:tc>
      </w:tr>
    </w:tbl>
    <w:p w:rsidR="00D228BE" w:rsidRPr="00677D1F" w:rsidRDefault="00D228BE" w:rsidP="00677D1F">
      <w:pPr>
        <w:pStyle w:val="a4"/>
        <w:spacing w:line="240" w:lineRule="exact"/>
        <w:contextualSpacing/>
        <w:jc w:val="both"/>
        <w:rPr>
          <w:rFonts w:ascii="黑体"/>
          <w:sz w:val="26"/>
        </w:r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 xml:space="preserve">表3.1-29 </w:t>
      </w:r>
      <w:r w:rsidRPr="00677D1F">
        <w:rPr>
          <w:rFonts w:ascii="黑体" w:eastAsia="黑体" w:hAnsi="黑体" w:cs="宋体"/>
          <w:b/>
          <w:color w:val="000000"/>
          <w:kern w:val="0"/>
          <w:szCs w:val="21"/>
        </w:rPr>
        <w:t xml:space="preserve"> </w:t>
      </w:r>
      <w:r w:rsidRPr="00677D1F">
        <w:rPr>
          <w:rFonts w:ascii="黑体" w:eastAsia="黑体" w:hAnsi="黑体" w:cs="宋体" w:hint="eastAsia"/>
          <w:b/>
          <w:color w:val="000000"/>
          <w:kern w:val="0"/>
          <w:szCs w:val="21"/>
        </w:rPr>
        <w:t>海绵钛的粒度规格</w:t>
      </w:r>
    </w:p>
    <w:p w:rsidR="00D228BE" w:rsidRPr="00677D1F" w:rsidRDefault="00D228BE" w:rsidP="00677D1F">
      <w:pPr>
        <w:pStyle w:val="a4"/>
        <w:contextualSpacing/>
        <w:rPr>
          <w:rFonts w:ascii="黑体"/>
          <w:sz w:val="5"/>
        </w:rPr>
      </w:pP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03"/>
        <w:gridCol w:w="8069"/>
      </w:tblGrid>
      <w:tr w:rsidR="00D228BE" w:rsidRPr="00677D1F">
        <w:trPr>
          <w:trHeight w:val="340"/>
          <w:jc w:val="center"/>
        </w:trPr>
        <w:tc>
          <w:tcPr>
            <w:tcW w:w="1003"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lastRenderedPageBreak/>
              <w:t>产品类型</w:t>
            </w:r>
          </w:p>
        </w:tc>
        <w:tc>
          <w:tcPr>
            <w:tcW w:w="8069"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黑体" w:eastAsia="黑体"/>
                <w:b/>
                <w:sz w:val="21"/>
              </w:rPr>
            </w:pPr>
            <w:r w:rsidRPr="00677D1F">
              <w:rPr>
                <w:rFonts w:ascii="黑体" w:eastAsia="黑体" w:hint="eastAsia"/>
                <w:b/>
                <w:sz w:val="21"/>
              </w:rPr>
              <w:t>粒度规格</w:t>
            </w:r>
          </w:p>
        </w:tc>
      </w:tr>
      <w:tr w:rsidR="00D228BE" w:rsidRPr="00677D1F">
        <w:trPr>
          <w:trHeight w:val="340"/>
          <w:jc w:val="center"/>
        </w:trPr>
        <w:tc>
          <w:tcPr>
            <w:tcW w:w="1003"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宋体" w:eastAsia="宋体"/>
                <w:sz w:val="21"/>
              </w:rPr>
            </w:pPr>
            <w:r w:rsidRPr="00677D1F">
              <w:rPr>
                <w:rFonts w:ascii="宋体" w:eastAsia="宋体" w:hint="eastAsia"/>
                <w:sz w:val="21"/>
              </w:rPr>
              <w:t>标准粒度</w:t>
            </w:r>
          </w:p>
        </w:tc>
        <w:tc>
          <w:tcPr>
            <w:tcW w:w="8069"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rPr>
                <w:rFonts w:ascii="宋体" w:eastAsia="宋体"/>
                <w:sz w:val="21"/>
                <w:lang w:eastAsia="zh-CN"/>
              </w:rPr>
            </w:pPr>
            <w:r w:rsidRPr="00677D1F">
              <w:rPr>
                <w:sz w:val="21"/>
                <w:lang w:eastAsia="zh-CN"/>
              </w:rPr>
              <w:t>0.83mm~25.4mm</w:t>
            </w:r>
            <w:r w:rsidRPr="00677D1F">
              <w:rPr>
                <w:rFonts w:ascii="宋体" w:eastAsia="宋体" w:hint="eastAsia"/>
                <w:sz w:val="21"/>
                <w:lang w:eastAsia="zh-CN"/>
              </w:rPr>
              <w:t>，粒度大于</w:t>
            </w:r>
            <w:r w:rsidRPr="00677D1F">
              <w:rPr>
                <w:sz w:val="21"/>
                <w:lang w:eastAsia="zh-CN"/>
              </w:rPr>
              <w:t>25.4mm</w:t>
            </w:r>
            <w:r w:rsidRPr="00677D1F">
              <w:rPr>
                <w:rFonts w:ascii="宋体" w:eastAsia="宋体" w:hint="eastAsia"/>
                <w:sz w:val="21"/>
                <w:lang w:eastAsia="zh-CN"/>
              </w:rPr>
              <w:t>的产品重量不大于批产品总量的</w:t>
            </w:r>
            <w:r w:rsidRPr="00677D1F">
              <w:rPr>
                <w:sz w:val="21"/>
                <w:lang w:eastAsia="zh-CN"/>
              </w:rPr>
              <w:t>5%</w:t>
            </w:r>
            <w:r w:rsidRPr="00677D1F">
              <w:rPr>
                <w:rFonts w:ascii="宋体" w:eastAsia="宋体" w:hint="eastAsia"/>
                <w:sz w:val="21"/>
                <w:lang w:eastAsia="zh-CN"/>
              </w:rPr>
              <w:t>，其中最大颗粒不应大于</w:t>
            </w:r>
            <w:r w:rsidRPr="00677D1F">
              <w:rPr>
                <w:sz w:val="21"/>
                <w:lang w:eastAsia="zh-CN"/>
              </w:rPr>
              <w:t>40mm</w:t>
            </w:r>
            <w:r w:rsidRPr="00677D1F">
              <w:rPr>
                <w:rFonts w:ascii="宋体" w:eastAsia="宋体" w:hint="eastAsia"/>
                <w:sz w:val="21"/>
                <w:lang w:eastAsia="zh-CN"/>
              </w:rPr>
              <w:t>，粒度小于</w:t>
            </w:r>
            <w:r w:rsidRPr="00677D1F">
              <w:rPr>
                <w:sz w:val="21"/>
                <w:lang w:eastAsia="zh-CN"/>
              </w:rPr>
              <w:t xml:space="preserve">0.83mm </w:t>
            </w:r>
            <w:r w:rsidRPr="00677D1F">
              <w:rPr>
                <w:rFonts w:ascii="宋体" w:eastAsia="宋体" w:hint="eastAsia"/>
                <w:sz w:val="21"/>
                <w:lang w:eastAsia="zh-CN"/>
              </w:rPr>
              <w:t>的产品重量不大于批产品总量的</w:t>
            </w:r>
            <w:r w:rsidRPr="00677D1F">
              <w:rPr>
                <w:sz w:val="21"/>
                <w:lang w:eastAsia="zh-CN"/>
              </w:rPr>
              <w:t>5%</w:t>
            </w:r>
            <w:r w:rsidRPr="00677D1F">
              <w:rPr>
                <w:rFonts w:ascii="宋体" w:eastAsia="宋体" w:hint="eastAsia"/>
                <w:sz w:val="21"/>
                <w:lang w:eastAsia="zh-CN"/>
              </w:rPr>
              <w:t>。</w:t>
            </w:r>
          </w:p>
        </w:tc>
      </w:tr>
      <w:tr w:rsidR="00D228BE" w:rsidRPr="00677D1F">
        <w:trPr>
          <w:trHeight w:val="340"/>
          <w:jc w:val="center"/>
        </w:trPr>
        <w:tc>
          <w:tcPr>
            <w:tcW w:w="1003"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宋体" w:eastAsia="宋体"/>
                <w:sz w:val="21"/>
              </w:rPr>
            </w:pPr>
            <w:r w:rsidRPr="00677D1F">
              <w:rPr>
                <w:rFonts w:ascii="宋体" w:eastAsia="宋体" w:hint="eastAsia"/>
                <w:sz w:val="21"/>
              </w:rPr>
              <w:t>小粒度</w:t>
            </w:r>
          </w:p>
        </w:tc>
        <w:tc>
          <w:tcPr>
            <w:tcW w:w="8069"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rPr>
                <w:rFonts w:ascii="宋体" w:eastAsia="宋体"/>
                <w:sz w:val="21"/>
                <w:lang w:eastAsia="zh-CN"/>
              </w:rPr>
            </w:pPr>
            <w:r w:rsidRPr="00677D1F">
              <w:rPr>
                <w:sz w:val="21"/>
                <w:lang w:eastAsia="zh-CN"/>
              </w:rPr>
              <w:t>0.83</w:t>
            </w:r>
            <w:r w:rsidRPr="00677D1F">
              <w:rPr>
                <w:rFonts w:eastAsiaTheme="minorEastAsia" w:hint="eastAsia"/>
                <w:sz w:val="21"/>
                <w:lang w:eastAsia="zh-CN"/>
              </w:rPr>
              <w:t>～</w:t>
            </w:r>
            <w:r w:rsidRPr="00677D1F">
              <w:rPr>
                <w:sz w:val="21"/>
                <w:lang w:eastAsia="zh-CN"/>
              </w:rPr>
              <w:t>12.7mm</w:t>
            </w:r>
            <w:r w:rsidRPr="00677D1F">
              <w:rPr>
                <w:rFonts w:ascii="宋体" w:eastAsia="宋体" w:hint="eastAsia"/>
                <w:sz w:val="21"/>
                <w:lang w:eastAsia="zh-CN"/>
              </w:rPr>
              <w:t>，粒度大于</w:t>
            </w:r>
            <w:r w:rsidRPr="00677D1F">
              <w:rPr>
                <w:sz w:val="21"/>
                <w:lang w:eastAsia="zh-CN"/>
              </w:rPr>
              <w:t xml:space="preserve">12.7mm </w:t>
            </w:r>
            <w:r w:rsidRPr="00677D1F">
              <w:rPr>
                <w:rFonts w:ascii="宋体" w:eastAsia="宋体" w:hint="eastAsia"/>
                <w:sz w:val="21"/>
                <w:lang w:eastAsia="zh-CN"/>
              </w:rPr>
              <w:t>和小于</w:t>
            </w:r>
            <w:r w:rsidRPr="00677D1F">
              <w:rPr>
                <w:sz w:val="21"/>
                <w:lang w:eastAsia="zh-CN"/>
              </w:rPr>
              <w:t xml:space="preserve">0.83mm </w:t>
            </w:r>
            <w:r w:rsidRPr="00677D1F">
              <w:rPr>
                <w:rFonts w:ascii="宋体" w:eastAsia="宋体" w:hint="eastAsia"/>
                <w:sz w:val="21"/>
                <w:lang w:eastAsia="zh-CN"/>
              </w:rPr>
              <w:t>的应分别不超过总量的</w:t>
            </w:r>
            <w:r w:rsidRPr="00677D1F">
              <w:rPr>
                <w:sz w:val="21"/>
                <w:lang w:eastAsia="zh-CN"/>
              </w:rPr>
              <w:t>5%</w:t>
            </w:r>
            <w:r w:rsidRPr="00677D1F">
              <w:rPr>
                <w:rFonts w:ascii="宋体" w:eastAsia="宋体" w:hint="eastAsia"/>
                <w:sz w:val="21"/>
                <w:lang w:eastAsia="zh-CN"/>
              </w:rPr>
              <w:t>。</w:t>
            </w:r>
          </w:p>
        </w:tc>
      </w:tr>
      <w:tr w:rsidR="00D228BE" w:rsidRPr="00677D1F">
        <w:trPr>
          <w:trHeight w:val="340"/>
          <w:jc w:val="center"/>
        </w:trPr>
        <w:tc>
          <w:tcPr>
            <w:tcW w:w="1003"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宋体" w:eastAsia="宋体"/>
                <w:sz w:val="21"/>
              </w:rPr>
            </w:pPr>
            <w:r w:rsidRPr="00677D1F">
              <w:rPr>
                <w:rFonts w:ascii="宋体" w:eastAsia="宋体" w:hint="eastAsia"/>
                <w:sz w:val="21"/>
              </w:rPr>
              <w:t>细粒度</w:t>
            </w:r>
          </w:p>
        </w:tc>
        <w:tc>
          <w:tcPr>
            <w:tcW w:w="8069" w:type="dxa"/>
            <w:tcBorders>
              <w:top w:val="single" w:sz="6" w:space="0" w:color="000000"/>
              <w:left w:val="single" w:sz="6" w:space="0" w:color="000000"/>
            </w:tcBorders>
            <w:vAlign w:val="center"/>
          </w:tcPr>
          <w:p w:rsidR="00D228BE" w:rsidRPr="00677D1F" w:rsidRDefault="00332EB6" w:rsidP="00677D1F">
            <w:pPr>
              <w:pStyle w:val="TableParagraph"/>
              <w:contextualSpacing/>
              <w:rPr>
                <w:sz w:val="21"/>
                <w:lang w:eastAsia="zh-CN"/>
              </w:rPr>
            </w:pPr>
            <w:r w:rsidRPr="00677D1F">
              <w:rPr>
                <w:sz w:val="21"/>
                <w:lang w:eastAsia="zh-CN"/>
              </w:rPr>
              <w:t>0.83</w:t>
            </w:r>
            <w:r w:rsidRPr="00677D1F">
              <w:rPr>
                <w:rFonts w:eastAsiaTheme="minorEastAsia" w:hint="eastAsia"/>
                <w:sz w:val="21"/>
                <w:lang w:eastAsia="zh-CN"/>
              </w:rPr>
              <w:t>～</w:t>
            </w:r>
            <w:r w:rsidRPr="00677D1F">
              <w:rPr>
                <w:sz w:val="21"/>
                <w:lang w:eastAsia="zh-CN"/>
              </w:rPr>
              <w:t>5.0mm</w:t>
            </w:r>
            <w:r w:rsidRPr="00677D1F">
              <w:rPr>
                <w:rFonts w:ascii="宋体" w:eastAsia="宋体" w:hint="eastAsia"/>
                <w:sz w:val="21"/>
                <w:lang w:eastAsia="zh-CN"/>
              </w:rPr>
              <w:t>，粒度大于</w:t>
            </w:r>
            <w:r w:rsidRPr="00677D1F">
              <w:rPr>
                <w:sz w:val="21"/>
                <w:lang w:eastAsia="zh-CN"/>
              </w:rPr>
              <w:t xml:space="preserve">5.0mm </w:t>
            </w:r>
            <w:r w:rsidRPr="00677D1F">
              <w:rPr>
                <w:rFonts w:ascii="宋体" w:eastAsia="宋体" w:hint="eastAsia"/>
                <w:sz w:val="21"/>
                <w:lang w:eastAsia="zh-CN"/>
              </w:rPr>
              <w:t>和小于</w:t>
            </w:r>
            <w:r w:rsidRPr="00677D1F">
              <w:rPr>
                <w:sz w:val="21"/>
                <w:lang w:eastAsia="zh-CN"/>
              </w:rPr>
              <w:t xml:space="preserve">0.83mm </w:t>
            </w:r>
            <w:r w:rsidRPr="00677D1F">
              <w:rPr>
                <w:rFonts w:ascii="宋体" w:eastAsia="宋体" w:hint="eastAsia"/>
                <w:sz w:val="21"/>
                <w:lang w:eastAsia="zh-CN"/>
              </w:rPr>
              <w:t>的应分别不超过总量的</w:t>
            </w:r>
            <w:r w:rsidRPr="00677D1F">
              <w:rPr>
                <w:sz w:val="21"/>
                <w:lang w:eastAsia="zh-CN"/>
              </w:rPr>
              <w:t>5%</w:t>
            </w:r>
          </w:p>
        </w:tc>
      </w:tr>
    </w:tbl>
    <w:p w:rsidR="00D228BE" w:rsidRPr="00677D1F" w:rsidRDefault="00D228BE" w:rsidP="00677D1F">
      <w:pPr>
        <w:pStyle w:val="a4"/>
        <w:spacing w:before="5"/>
        <w:contextualSpacing/>
        <w:rPr>
          <w:rFonts w:ascii="黑体"/>
          <w:sz w:val="24"/>
        </w:rPr>
      </w:pP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（2）辅助材料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常有的中间合金有铝粒、二氧化钛、铝钒、铝钼、铝铬、钛铁等。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（16）</w:t>
      </w:r>
      <w:r w:rsidRPr="00677D1F">
        <w:rPr>
          <w:rFonts w:ascii="宋体" w:eastAsia="宋体" w:hAnsi="宋体" w:cs="宋体"/>
          <w:color w:val="000000"/>
          <w:kern w:val="0"/>
          <w:sz w:val="24"/>
          <w:szCs w:val="24"/>
        </w:rPr>
        <w:t>金属镁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金属镁执行GB</w:t>
      </w:r>
      <w:r w:rsidRPr="00677D1F">
        <w:rPr>
          <w:rFonts w:ascii="宋体" w:eastAsia="宋体" w:hAnsi="宋体" w:cs="宋体" w:hint="eastAsia"/>
          <w:color w:val="000000"/>
          <w:kern w:val="0"/>
          <w:sz w:val="24"/>
          <w:szCs w:val="24"/>
        </w:rPr>
        <w:t xml:space="preserve"> </w:t>
      </w:r>
      <w:r w:rsidRPr="00677D1F">
        <w:rPr>
          <w:rFonts w:ascii="宋体" w:eastAsia="宋体" w:hAnsi="宋体" w:cs="宋体"/>
          <w:color w:val="000000"/>
          <w:kern w:val="0"/>
          <w:sz w:val="24"/>
          <w:szCs w:val="24"/>
        </w:rPr>
        <w:t>3499-2011标准，应满足Mg9995A的要求，生产补充镁年用量 2400t，要求如下：</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表3.1-30  精炼镁成分</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03"/>
        <w:gridCol w:w="672"/>
        <w:gridCol w:w="761"/>
        <w:gridCol w:w="764"/>
        <w:gridCol w:w="764"/>
        <w:gridCol w:w="764"/>
        <w:gridCol w:w="764"/>
        <w:gridCol w:w="764"/>
        <w:gridCol w:w="761"/>
        <w:gridCol w:w="764"/>
        <w:gridCol w:w="764"/>
        <w:gridCol w:w="927"/>
      </w:tblGrid>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成份</w:t>
            </w:r>
          </w:p>
        </w:tc>
        <w:tc>
          <w:tcPr>
            <w:tcW w:w="67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Mg</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Fe</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Si</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Cu</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Al</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Ni</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Mn</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Pb</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Sn</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Zn</w:t>
            </w:r>
          </w:p>
        </w:tc>
        <w:tc>
          <w:tcPr>
            <w:tcW w:w="927"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其他杂质</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Wt%</w:t>
            </w:r>
          </w:p>
        </w:tc>
        <w:tc>
          <w:tcPr>
            <w:tcW w:w="67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99.95</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≤0.003</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≤0.006</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≤0.002</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≤0.015</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≤0.001</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≤0.015</w:t>
            </w:r>
          </w:p>
        </w:tc>
        <w:tc>
          <w:tcPr>
            <w:tcW w:w="76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c>
          <w:tcPr>
            <w:tcW w:w="76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c>
          <w:tcPr>
            <w:tcW w:w="92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≤0.005</w:t>
            </w:r>
          </w:p>
        </w:tc>
      </w:tr>
    </w:tbl>
    <w:p w:rsidR="00D228BE" w:rsidRPr="00677D1F" w:rsidRDefault="00D228BE" w:rsidP="00677D1F">
      <w:pPr>
        <w:pStyle w:val="a4"/>
        <w:spacing w:before="9" w:line="240" w:lineRule="exact"/>
        <w:contextualSpacing/>
        <w:rPr>
          <w:rFonts w:ascii="黑体"/>
          <w:sz w:val="25"/>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补充金属镁外购，汽车运入厂内。</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3.1.4.</w:t>
      </w:r>
      <w:r w:rsidRPr="00677D1F">
        <w:rPr>
          <w:rFonts w:asciiTheme="minorEastAsia" w:hAnsiTheme="minorEastAsia" w:cs="Times New Roman" w:hint="eastAsia"/>
          <w:b/>
          <w:bCs/>
          <w:color w:val="000000"/>
          <w:kern w:val="0"/>
          <w:sz w:val="24"/>
          <w:szCs w:val="24"/>
        </w:rPr>
        <w:t>7 主要原辅材料和产品理化性质、毒性毒理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主要原辅材料和产品理化性质、毒性毒理见表</w:t>
      </w:r>
      <w:r w:rsidRPr="00677D1F">
        <w:rPr>
          <w:rFonts w:ascii="宋体" w:eastAsia="宋体" w:hAnsi="宋体" w:cs="宋体"/>
          <w:color w:val="000000"/>
          <w:kern w:val="0"/>
          <w:sz w:val="24"/>
          <w:szCs w:val="24"/>
        </w:rPr>
        <w:t>3.1-</w:t>
      </w:r>
      <w:r w:rsidRPr="00677D1F">
        <w:rPr>
          <w:rFonts w:ascii="宋体" w:eastAsia="宋体" w:hAnsi="宋体" w:cs="宋体" w:hint="eastAsia"/>
          <w:color w:val="000000"/>
          <w:kern w:val="0"/>
          <w:sz w:val="24"/>
          <w:szCs w:val="24"/>
        </w:rPr>
        <w:t>31。</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3.1.4.</w:t>
      </w:r>
      <w:r w:rsidRPr="00677D1F">
        <w:rPr>
          <w:rFonts w:asciiTheme="minorEastAsia" w:hAnsiTheme="minorEastAsia" w:cs="Times New Roman" w:hint="eastAsia"/>
          <w:b/>
          <w:bCs/>
          <w:color w:val="000000"/>
          <w:kern w:val="0"/>
          <w:sz w:val="24"/>
          <w:szCs w:val="24"/>
        </w:rPr>
        <w:t>8 能源来源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供水由园区供水管网供给，重工业园区水源由哈密鲁能煤电化基地电厂向大南湖煤矿的供水管道以及地区统筹调配地表水解决，水源为榆树沟水库地表水。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供电由园区</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变电站架设</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回</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专用电源进线到厂区</w:t>
      </w:r>
      <w:r w:rsidRPr="00677D1F">
        <w:rPr>
          <w:rFonts w:ascii="宋体" w:eastAsia="宋体" w:hAnsi="宋体" w:cs="宋体"/>
          <w:color w:val="000000"/>
          <w:kern w:val="0"/>
          <w:sz w:val="24"/>
          <w:szCs w:val="24"/>
        </w:rPr>
        <w:t>220/35/10kV</w:t>
      </w:r>
      <w:r w:rsidRPr="00677D1F">
        <w:rPr>
          <w:rFonts w:ascii="宋体" w:eastAsia="宋体" w:hAnsi="宋体" w:cs="宋体" w:hint="eastAsia"/>
          <w:color w:val="000000"/>
          <w:kern w:val="0"/>
          <w:sz w:val="24"/>
          <w:szCs w:val="24"/>
        </w:rPr>
        <w:t>总降压变电站。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蒸汽由园区外部火电厂提供。天然气由园区天然气管道供给。</w:t>
      </w:r>
    </w:p>
    <w:p w:rsidR="00D228BE" w:rsidRPr="00677D1F" w:rsidRDefault="00D228BE" w:rsidP="00677D1F">
      <w:pPr>
        <w:widowControl/>
        <w:contextualSpacing/>
        <w:rPr>
          <w:rFonts w:ascii="宋体" w:eastAsia="宋体" w:hAnsi="宋体" w:cs="宋体"/>
          <w:kern w:val="0"/>
          <w:sz w:val="24"/>
          <w:szCs w:val="24"/>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表3.1-31  主要原辅材料和产品理化特性</w:t>
      </w:r>
    </w:p>
    <w:tbl>
      <w:tblPr>
        <w:tblStyle w:val="aa"/>
        <w:tblW w:w="14174" w:type="dxa"/>
        <w:jc w:val="center"/>
        <w:tblLayout w:type="fixed"/>
        <w:tblLook w:val="04A0" w:firstRow="1" w:lastRow="0" w:firstColumn="1" w:lastColumn="0" w:noHBand="0" w:noVBand="1"/>
      </w:tblPr>
      <w:tblGrid>
        <w:gridCol w:w="959"/>
        <w:gridCol w:w="850"/>
        <w:gridCol w:w="6521"/>
        <w:gridCol w:w="1417"/>
        <w:gridCol w:w="4427"/>
      </w:tblGrid>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名称</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分子式</w:t>
            </w:r>
          </w:p>
        </w:tc>
        <w:tc>
          <w:tcPr>
            <w:tcW w:w="6521"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理化性质</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燃烧爆炸性</w:t>
            </w:r>
          </w:p>
        </w:tc>
        <w:tc>
          <w:tcPr>
            <w:tcW w:w="442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毒性毒理</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氢氧</w:t>
            </w:r>
          </w:p>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化钠</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NaOH</w:t>
            </w:r>
          </w:p>
        </w:tc>
        <w:tc>
          <w:tcPr>
            <w:tcW w:w="6521"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白色不透明固体，易潮解；熔点:318.4℃，沸点：1390℃；相对密度（水=1）2.12；蒸汽压：0.13kPa（739℃）；易溶于水、乙醇、甘油，不溶于丙酮。</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不燃</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LD</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：无资料；LC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：无资料</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甲烷</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CH</w:t>
            </w:r>
            <w:r w:rsidRPr="00677D1F">
              <w:rPr>
                <w:rFonts w:ascii="宋体" w:eastAsia="宋体" w:hAnsi="宋体" w:cs="宋体" w:hint="eastAsia"/>
                <w:color w:val="000000"/>
                <w:kern w:val="0"/>
                <w:sz w:val="11"/>
                <w:szCs w:val="11"/>
              </w:rPr>
              <w:t>4</w:t>
            </w:r>
          </w:p>
        </w:tc>
        <w:tc>
          <w:tcPr>
            <w:tcW w:w="6521"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分子量：16.05，CASNo.：74-82-8熔点（℃）：-182.6，沸点（℃）：-161.5，相对密度（水＝1）：0.415（-164℃），临界温度（℃）：-82.1，临界压力（Mpa）：4.6，蒸气密度（空气=1）：0.55，燃烧热（kJ/moll）：889.5最小点火能（MJ）：0.28，蒸气压（pa）：100（-161.5℃）。</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易燃</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急性毒性：LC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：50%（小鼠吸入，2h）；刺激性：无资料</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氢气</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H</w:t>
            </w:r>
            <w:r w:rsidRPr="00677D1F">
              <w:rPr>
                <w:rFonts w:ascii="宋体" w:eastAsia="宋体" w:hAnsi="宋体" w:cs="宋体" w:hint="eastAsia"/>
                <w:color w:val="000000"/>
                <w:kern w:val="0"/>
                <w:sz w:val="11"/>
                <w:szCs w:val="11"/>
              </w:rPr>
              <w:t>2</w:t>
            </w:r>
          </w:p>
        </w:tc>
        <w:tc>
          <w:tcPr>
            <w:tcW w:w="6521"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分子量：2.01，CAS号：133-74-0，；熔点（℃）：-259.2沸点（℃）：-252.8相对密度（水＝1）：0.07（-252℃）临界温度（℃）：-240临界压力（MPa）：1.30蒸气密度（空气=1）：0.07燃烧热（kJ/mol）：241最小点火能（MJ）：0.02蒸气压（kPa）：13.33（-257.9℃）</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易燃</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无资料</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一氧</w:t>
            </w:r>
          </w:p>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化碳</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CO</w:t>
            </w:r>
          </w:p>
        </w:tc>
        <w:tc>
          <w:tcPr>
            <w:tcW w:w="6521"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分子量：28.01。无色无臭气体。熔点（℃）：-199.1。沸点（℃）：-191.4。相对密度（水=1）：0.79。闪点（℃）：&lt;-50。微溶于水，溶于乙醇、苯等多数有机溶剂。</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易燃</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一氧化碳在血中与血红蛋白结合而造成组织缺氧。LD</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：无资料。LC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：2069mg/m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，4小时（大鼠吸入）。</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钛</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Ti</w:t>
            </w:r>
          </w:p>
        </w:tc>
        <w:tc>
          <w:tcPr>
            <w:tcW w:w="6521" w:type="dxa"/>
            <w:vAlign w:val="center"/>
          </w:tcPr>
          <w:p w:rsidR="00D228BE" w:rsidRPr="00677D1F" w:rsidRDefault="00332EB6" w:rsidP="00677D1F">
            <w:pPr>
              <w:widowControl/>
              <w:spacing w:line="240" w:lineRule="exact"/>
              <w:contextualSpacing/>
              <w:jc w:val="left"/>
              <w:rPr>
                <w:rFonts w:ascii="宋体" w:eastAsia="宋体" w:hAnsi="宋体" w:cs="宋体"/>
                <w:kern w:val="0"/>
                <w:sz w:val="24"/>
                <w:szCs w:val="24"/>
              </w:rPr>
            </w:pPr>
            <w:r w:rsidRPr="00677D1F">
              <w:rPr>
                <w:rFonts w:ascii="宋体" w:eastAsia="宋体" w:hAnsi="宋体" w:cs="宋体" w:hint="eastAsia"/>
                <w:color w:val="000000"/>
                <w:kern w:val="0"/>
                <w:szCs w:val="21"/>
              </w:rPr>
              <w:t>分子量：47.90。钛为银白色，粉末为深灰色或黑色并发亮，</w:t>
            </w:r>
          </w:p>
          <w:p w:rsidR="00D228BE" w:rsidRPr="00677D1F" w:rsidRDefault="00332EB6" w:rsidP="00677D1F">
            <w:pPr>
              <w:widowControl/>
              <w:spacing w:line="240" w:lineRule="exact"/>
              <w:contextualSpacing/>
              <w:jc w:val="left"/>
              <w:rPr>
                <w:rFonts w:ascii="宋体" w:eastAsia="宋体" w:hAnsi="宋体" w:cs="宋体"/>
                <w:kern w:val="0"/>
                <w:sz w:val="24"/>
                <w:szCs w:val="24"/>
              </w:rPr>
            </w:pPr>
            <w:r w:rsidRPr="00677D1F">
              <w:rPr>
                <w:rFonts w:ascii="宋体" w:eastAsia="宋体" w:hAnsi="宋体" w:cs="宋体" w:hint="eastAsia"/>
                <w:color w:val="000000"/>
                <w:kern w:val="0"/>
                <w:szCs w:val="21"/>
              </w:rPr>
              <w:t>或硬的钢色立方结晶。熔点（℃）：1720。沸点（℃）：3530。</w:t>
            </w:r>
          </w:p>
          <w:p w:rsidR="00D228BE" w:rsidRPr="00677D1F" w:rsidRDefault="00332EB6" w:rsidP="00677D1F">
            <w:pPr>
              <w:widowControl/>
              <w:spacing w:line="240" w:lineRule="exact"/>
              <w:contextualSpacing/>
              <w:jc w:val="left"/>
              <w:rPr>
                <w:rFonts w:ascii="宋体" w:eastAsia="宋体" w:hAnsi="宋体" w:cs="宋体"/>
                <w:kern w:val="0"/>
                <w:sz w:val="24"/>
                <w:szCs w:val="24"/>
              </w:rPr>
            </w:pPr>
            <w:r w:rsidRPr="00677D1F">
              <w:rPr>
                <w:rFonts w:ascii="宋体" w:eastAsia="宋体" w:hAnsi="宋体" w:cs="宋体" w:hint="eastAsia"/>
                <w:color w:val="000000"/>
                <w:kern w:val="0"/>
                <w:szCs w:val="21"/>
              </w:rPr>
              <w:t>相对密度（水=1）：4.5。不溶于水，溶于氢氟酸、硝酸、浓</w:t>
            </w:r>
          </w:p>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硫酸.</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易燃固体</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危险特性：金属钛粉尘具有爆炸性，遇热、明火或发生化学反应会燃烧爆炸。其粉体化学活性很高，在空气中能自燃。金属钛不仅能在空气中燃烧，也能在二氧化碳或氮气中燃烧。高温时易与卤素、氧、硫、氮化合。燃烧（分解）产物：氧化钛。</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四氯</w:t>
            </w:r>
          </w:p>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化钛</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TiCl</w:t>
            </w:r>
            <w:r w:rsidRPr="00677D1F">
              <w:rPr>
                <w:rFonts w:ascii="宋体" w:eastAsia="宋体" w:hAnsi="宋体" w:cs="宋体" w:hint="eastAsia"/>
                <w:color w:val="000000"/>
                <w:kern w:val="0"/>
                <w:szCs w:val="21"/>
                <w:vertAlign w:val="subscript"/>
              </w:rPr>
              <w:t>4</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分子量189.71。无色或微黄色液体，有刺激性酸味。在空气中发烟。熔点（℃）：-25℃沸点：136.4℃。相对密度（水=1）：1.73。溶于冷水、乙醇、稀盐酸。蒸汽压：1.33kPa（21.3℃）</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酸性腐蚀品</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毒性：属高毒类。急性毒性：LC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400mg/m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（大鼠吸入）危险特性：受热或遇水分解放热，放出有毒的腐蚀性烟气。燃烧（分解）产物：氯化物、氧化钛。</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盐酸</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HCl</w:t>
            </w:r>
          </w:p>
        </w:tc>
        <w:tc>
          <w:tcPr>
            <w:tcW w:w="6521"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分子量：36.46。无色或微黄色发烟液体，有刺鼻的酸味蒸汽压：30.66kPa（21℃）。熔点：-114.8℃/纯沸点：108.6℃/20%。溶解性：与水混溶，溶于碱液。密度：相对密度（水=1）1.20；相对密度（空气=1）1.26。稳定性：稳定</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酸性腐蚀品</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急性毒性：LD</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900mg/kg（兔经口）；LC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3124ppm，1小时（大鼠吸入）。能与一些活性金属粉末发生反应，放出氢气。遇氰化物能产生剧毒的氰化氢气体。与碱发生中合反应，并放出大量的热。具有强腐蚀性。燃烧（分解）产物：氯化氢。</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lastRenderedPageBreak/>
              <w:t>氯气</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Cl</w:t>
            </w:r>
            <w:r w:rsidRPr="00677D1F">
              <w:rPr>
                <w:rFonts w:ascii="宋体" w:eastAsia="宋体" w:hAnsi="宋体" w:cs="宋体" w:hint="eastAsia"/>
                <w:color w:val="000000"/>
                <w:kern w:val="0"/>
                <w:szCs w:val="21"/>
                <w:vertAlign w:val="subscript"/>
              </w:rPr>
              <w:t>2</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分子量70.91黄绿色有刺激性气味的气体；蒸汽压506.62kPa（10.3℃）；熔点-101℃；沸点-34.5℃；溶解性：易溶于水、碱液；密度：相对密度（水=1）1.47；相对密度（空气=1）2.48；稳定性：稳定；主要用途用于漂白，制造氯化合物、盐酸、聚氯乙烯等</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有毒气体</w:t>
            </w:r>
          </w:p>
        </w:tc>
        <w:tc>
          <w:tcPr>
            <w:tcW w:w="4427"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毒性：属高毒类。是一种强烈的刺激性气体。急性毒性：LC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850mg/m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，1小时（大鼠吸入）。亚急性和慢性毒性：家兔吸入2～5mg/m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，5小时/天，1～9个月，出现消瘦、上呼吸道炎、肺炎、胸膜炎及肺气肿等。大鼠吸入41～97mg/m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，2小时/天，3～4周，引起严重但非致死性的肺气肿与气管病变。</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氩气</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Ar</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氩气是一种无色、无味的惰性。气体，分子量：39.95。熔点（℃）：-189.2沸点（℃）：-185.7相对密度（水=1）：1.40（-186℃）相对蒸气密度（空气=1）：1.38饱和蒸气压（kPa）：202.64（-179℃）临界温度（℃）：-122.3临界压力（MPa）：4.86。溶解性：微溶于水</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不燃气体</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危险特性：若遇高热，容器内压增大，有开裂和爆炸的危险</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氯化钠</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NaCl</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分子量58．45白色立方晶系结晶体或细小结晶粉末。无臭，味咸，中性。密度2.165g／cm</w:t>
            </w:r>
            <w:r w:rsidRPr="00677D1F">
              <w:rPr>
                <w:rFonts w:ascii="宋体" w:eastAsia="宋体" w:hAnsi="宋体" w:cs="宋体" w:hint="eastAsia"/>
                <w:color w:val="000000"/>
                <w:kern w:val="0"/>
                <w:sz w:val="11"/>
                <w:szCs w:val="11"/>
              </w:rPr>
              <w:t>3</w:t>
            </w:r>
            <w:r w:rsidRPr="00677D1F">
              <w:rPr>
                <w:rFonts w:ascii="宋体" w:eastAsia="宋体" w:hAnsi="宋体" w:cs="宋体" w:hint="eastAsia"/>
                <w:color w:val="000000"/>
                <w:kern w:val="0"/>
                <w:szCs w:val="21"/>
              </w:rPr>
              <w:t>。熔点801℃。沸点1413℃。有杂质存在时潮解。溶于水和甘油，难溶于乙醇</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危险性类别：本品不属于危险品范畴。</w:t>
            </w:r>
          </w:p>
        </w:tc>
        <w:tc>
          <w:tcPr>
            <w:tcW w:w="4427" w:type="dxa"/>
            <w:vAlign w:val="center"/>
          </w:tcPr>
          <w:p w:rsidR="00D228BE" w:rsidRPr="00677D1F" w:rsidRDefault="00332EB6" w:rsidP="00677D1F">
            <w:pPr>
              <w:widowControl/>
              <w:spacing w:line="240" w:lineRule="exact"/>
              <w:contextualSpacing/>
              <w:rPr>
                <w:rFonts w:ascii="宋体" w:eastAsia="宋体" w:hAnsi="宋体" w:cs="宋体"/>
                <w:kern w:val="0"/>
                <w:sz w:val="24"/>
                <w:szCs w:val="24"/>
              </w:rPr>
            </w:pPr>
            <w:r w:rsidRPr="00677D1F">
              <w:rPr>
                <w:rFonts w:ascii="宋体" w:eastAsia="宋体" w:hAnsi="宋体" w:cs="宋体" w:hint="eastAsia"/>
                <w:color w:val="000000"/>
                <w:kern w:val="0"/>
                <w:szCs w:val="21"/>
              </w:rPr>
              <w:t>健康危害：食用过多容易血压升高。</w:t>
            </w:r>
          </w:p>
          <w:p w:rsidR="00D228BE" w:rsidRPr="00677D1F" w:rsidRDefault="00332EB6" w:rsidP="00677D1F">
            <w:pPr>
              <w:widowControl/>
              <w:spacing w:line="240" w:lineRule="exact"/>
              <w:contextualSpacing/>
              <w:jc w:val="left"/>
              <w:rPr>
                <w:rFonts w:ascii="宋体" w:eastAsia="宋体" w:hAnsi="宋体" w:cs="宋体"/>
                <w:color w:val="000000"/>
                <w:kern w:val="0"/>
                <w:szCs w:val="21"/>
              </w:rPr>
            </w:pPr>
            <w:r w:rsidRPr="00677D1F">
              <w:rPr>
                <w:rFonts w:ascii="宋体" w:eastAsia="宋体" w:hAnsi="宋体" w:cs="宋体" w:hint="eastAsia"/>
                <w:color w:val="000000"/>
                <w:kern w:val="0"/>
                <w:szCs w:val="21"/>
              </w:rPr>
              <w:t>燃爆危害：不易燃易爆。</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硫酸</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H</w:t>
            </w:r>
            <w:r w:rsidRPr="00677D1F">
              <w:rPr>
                <w:rFonts w:ascii="宋体" w:eastAsia="宋体" w:hAnsi="宋体" w:cs="宋体" w:hint="eastAsia"/>
                <w:color w:val="000000"/>
                <w:kern w:val="0"/>
                <w:szCs w:val="21"/>
                <w:vertAlign w:val="subscript"/>
              </w:rPr>
              <w:t>2</w:t>
            </w:r>
            <w:r w:rsidRPr="00677D1F">
              <w:rPr>
                <w:rFonts w:ascii="宋体" w:eastAsia="宋体" w:hAnsi="宋体" w:cs="宋体" w:hint="eastAsia"/>
                <w:color w:val="000000"/>
                <w:kern w:val="0"/>
                <w:szCs w:val="21"/>
              </w:rPr>
              <w:t>SO</w:t>
            </w:r>
            <w:r w:rsidRPr="00677D1F">
              <w:rPr>
                <w:rFonts w:ascii="宋体" w:eastAsia="宋体" w:hAnsi="宋体" w:cs="宋体" w:hint="eastAsia"/>
                <w:color w:val="000000"/>
                <w:kern w:val="0"/>
                <w:szCs w:val="21"/>
                <w:vertAlign w:val="subscript"/>
              </w:rPr>
              <w:t>4</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纯品为无色透明油状液体，无臭。分子量：98.08。蒸汽压：0.13kPa（145.8℃）。熔点：10.5℃沸点：330.0℃。溶解性：与水混溶。密度：相对密度（水=1）1.83；相对密度（空气=1）3.4。稳定性：稳定</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酸性腐蚀品</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毒性：属中等毒性。急性毒性：LD</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80mg/kg（大鼠经口）；LC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510mg/m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，2小时（大鼠吸入）；320mg/m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2小时（小鼠吸入）危险特性：与易燃物（如苯）和有机物（如糖、纤维素等）接触会发生剧烈反应，甚至引起燃烧。能与一些活性金属粉末发生反应，放出氢气。遇水大量放热，可发生沸溅。具有强腐蚀性。燃烧（分解）产物：氧化硫</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硝酸</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HNO</w:t>
            </w:r>
            <w:r w:rsidRPr="00677D1F">
              <w:rPr>
                <w:rFonts w:ascii="宋体" w:eastAsia="宋体" w:hAnsi="宋体" w:cs="宋体" w:hint="eastAsia"/>
                <w:color w:val="000000"/>
                <w:kern w:val="0"/>
                <w:szCs w:val="21"/>
                <w:vertAlign w:val="subscript"/>
              </w:rPr>
              <w:t>3</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分子量：63.01。纯品为无色透明发烟液体，有酸味。蒸汽压：4.4kPa（20℃）。熔点：-42℃/无水沸点：86℃/无水。溶解性：与水混溶。密度：相对密度（水=1）1.50（无水）；相对密度（空气=1）2.17。稳定性：稳定。</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酸性腐蚀品</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毒性：属高毒类。危险特性：具有强氧化性。与易燃物（如苯）和有机物（如糖、纤维素等）接触会发生剧烈反应，甚至引起燃烧。与碱金属能发生剧烈反应。具有强腐蚀性。燃烧（分解）产物：氧化氮</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氯化氢</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HCl</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分子量：36.46。蒸汽压：4225.6kPa（20℃）。熔点：-114.2℃沸点：-85.0℃。溶解性：易溶于水。密度：相对密度（水=1）1.19；相对密度（空气=1）1.27。稳定性：稳定。</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不燃气体</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急性毒性：LD</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400mg/kg（兔经口）；LC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4600mg/m</w:t>
            </w:r>
            <w:r w:rsidRPr="00677D1F">
              <w:rPr>
                <w:rFonts w:ascii="宋体" w:eastAsia="宋体" w:hAnsi="宋体" w:cs="宋体" w:hint="eastAsia"/>
                <w:color w:val="000000"/>
                <w:kern w:val="0"/>
                <w:sz w:val="11"/>
                <w:szCs w:val="11"/>
              </w:rPr>
              <w:t>3</w:t>
            </w:r>
            <w:r w:rsidRPr="00677D1F">
              <w:rPr>
                <w:rFonts w:ascii="宋体" w:eastAsia="宋体" w:hAnsi="宋体" w:cs="宋体" w:hint="eastAsia"/>
                <w:color w:val="000000"/>
                <w:kern w:val="0"/>
                <w:szCs w:val="21"/>
              </w:rPr>
              <w:t>，1小时（大鼠吸入）</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lastRenderedPageBreak/>
              <w:t>氯化镁</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MgCl</w:t>
            </w:r>
            <w:r w:rsidRPr="00677D1F">
              <w:rPr>
                <w:rFonts w:ascii="宋体" w:eastAsia="宋体" w:hAnsi="宋体" w:cs="宋体" w:hint="eastAsia"/>
                <w:color w:val="000000"/>
                <w:kern w:val="0"/>
                <w:szCs w:val="21"/>
                <w:vertAlign w:val="subscript"/>
              </w:rPr>
              <w:t>2</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式量95.22。密度2.316—2.33克/厘米3。熔点714℃。沸点1412℃。性质：呈无色六角晶体。通常含有六个分子结晶水，即MgCl</w:t>
            </w:r>
            <w:r w:rsidRPr="00677D1F">
              <w:rPr>
                <w:rFonts w:ascii="宋体" w:eastAsia="宋体" w:hAnsi="宋体" w:cs="宋体" w:hint="eastAsia"/>
                <w:color w:val="000000"/>
                <w:kern w:val="0"/>
                <w:szCs w:val="21"/>
                <w:vertAlign w:val="subscript"/>
              </w:rPr>
              <w:t>2</w:t>
            </w:r>
            <w:r w:rsidRPr="00677D1F">
              <w:rPr>
                <w:rFonts w:ascii="宋体" w:eastAsia="宋体" w:hAnsi="宋体" w:cs="宋体" w:hint="eastAsia"/>
                <w:color w:val="000000"/>
                <w:kern w:val="0"/>
                <w:szCs w:val="21"/>
              </w:rPr>
              <w:t>·6H</w:t>
            </w:r>
            <w:r w:rsidRPr="00677D1F">
              <w:rPr>
                <w:rFonts w:ascii="宋体" w:eastAsia="宋体" w:hAnsi="宋体" w:cs="宋体" w:hint="eastAsia"/>
                <w:color w:val="000000"/>
                <w:kern w:val="0"/>
                <w:szCs w:val="21"/>
                <w:vertAlign w:val="subscript"/>
              </w:rPr>
              <w:t>2</w:t>
            </w:r>
            <w:r w:rsidRPr="00677D1F">
              <w:rPr>
                <w:rFonts w:ascii="宋体" w:eastAsia="宋体" w:hAnsi="宋体" w:cs="宋体" w:hint="eastAsia"/>
                <w:color w:val="000000"/>
                <w:kern w:val="0"/>
                <w:szCs w:val="21"/>
              </w:rPr>
              <w:t>O，易潮解。为单斜晶体，属于离子晶体，有或者咸味，有一定腐蚀性，同时分解。溶于水，加热时失水和氯化氢氯化镁，通常含有六个分子的结晶水，即MgCl</w:t>
            </w:r>
            <w:r w:rsidRPr="00677D1F">
              <w:rPr>
                <w:rFonts w:ascii="宋体" w:eastAsia="宋体" w:hAnsi="宋体" w:cs="宋体" w:hint="eastAsia"/>
                <w:color w:val="000000"/>
                <w:kern w:val="0"/>
                <w:szCs w:val="21"/>
                <w:vertAlign w:val="subscript"/>
              </w:rPr>
              <w:t>2</w:t>
            </w:r>
            <w:r w:rsidRPr="00677D1F">
              <w:rPr>
                <w:rFonts w:ascii="宋体" w:eastAsia="宋体" w:hAnsi="宋体" w:cs="宋体" w:hint="eastAsia"/>
                <w:color w:val="000000"/>
                <w:kern w:val="0"/>
                <w:szCs w:val="21"/>
              </w:rPr>
              <w:t>·6H</w:t>
            </w:r>
            <w:r w:rsidRPr="00677D1F">
              <w:rPr>
                <w:rFonts w:ascii="宋体" w:eastAsia="宋体" w:hAnsi="宋体" w:cs="宋体" w:hint="eastAsia"/>
                <w:color w:val="000000"/>
                <w:kern w:val="0"/>
                <w:szCs w:val="21"/>
                <w:vertAlign w:val="subscript"/>
              </w:rPr>
              <w:t>2</w:t>
            </w:r>
            <w:r w:rsidRPr="00677D1F">
              <w:rPr>
                <w:rFonts w:ascii="宋体" w:eastAsia="宋体" w:hAnsi="宋体" w:cs="宋体" w:hint="eastAsia"/>
                <w:color w:val="000000"/>
                <w:kern w:val="0"/>
                <w:szCs w:val="21"/>
              </w:rPr>
              <w:t>O，易潮解，置于干燥空气中会风化而失去结晶水。为单斜晶体，有咸味，有一定腐蚀性。</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腐蚀性品</w:t>
            </w:r>
          </w:p>
        </w:tc>
        <w:tc>
          <w:tcPr>
            <w:tcW w:w="4427" w:type="dxa"/>
            <w:vAlign w:val="center"/>
          </w:tcPr>
          <w:p w:rsidR="00D228BE" w:rsidRPr="00677D1F" w:rsidRDefault="00D228BE" w:rsidP="00677D1F">
            <w:pPr>
              <w:widowControl/>
              <w:spacing w:line="240" w:lineRule="exact"/>
              <w:contextualSpacing/>
              <w:rPr>
                <w:rFonts w:ascii="宋体" w:eastAsia="宋体" w:hAnsi="宋体" w:cs="宋体"/>
                <w:color w:val="000000"/>
                <w:kern w:val="0"/>
                <w:szCs w:val="21"/>
              </w:rPr>
            </w:pP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氯化钾</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KCl</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分子量：74.54性质：密度1.984。熔点770°C。升华点1500°C。沸点1420°C。水溶性340g/L（20°C）。白色结晶或结晶性粉末，易溶于水和甘油，难溶于醇，不溶于醚和丙酮。有吸湿性，易结块。在水中的溶解度随温度的升高而迅速地增加，与钠盐常起复分解作用而生成新的钾盐。</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不易燃不易爆品</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健康危害：食用过多容易导致心脏负担过重。</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氯化钙</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CaCl</w:t>
            </w:r>
            <w:r w:rsidRPr="00677D1F">
              <w:rPr>
                <w:rFonts w:ascii="宋体" w:eastAsia="宋体" w:hAnsi="宋体" w:cs="宋体" w:hint="eastAsia"/>
                <w:color w:val="000000"/>
                <w:kern w:val="0"/>
                <w:szCs w:val="21"/>
                <w:vertAlign w:val="subscript"/>
              </w:rPr>
              <w:t>2</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无水氯化钙为白色多孔状熔块或颗粒。易潮解。易溶于水并放出大量的热，也溶于乙醇和丙酮。分子量：110.99。密度：2.15g/cm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。熔点：772℃。沸点：1935℃。溶解度（水）：74.5g/100ml（20°C）</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不易燃不易爆品</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r>
      <w:tr w:rsidR="00D228BE" w:rsidRPr="00677D1F">
        <w:trPr>
          <w:trHeight w:val="340"/>
          <w:tblHeader/>
          <w:jc w:val="center"/>
        </w:trPr>
        <w:tc>
          <w:tcPr>
            <w:tcW w:w="95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氢氟酸</w:t>
            </w:r>
          </w:p>
        </w:tc>
        <w:tc>
          <w:tcPr>
            <w:tcW w:w="85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HF</w:t>
            </w:r>
          </w:p>
        </w:tc>
        <w:tc>
          <w:tcPr>
            <w:tcW w:w="6521"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无色透明有刺激性臭味的液体。商品为40%的水溶液分子量：20.01。沸点：120℃（35.3%）。熔点：-83.1℃（纯）。溶解性：与水混溶。相对密度（水=1）1.26（75%）；相对密度（空气=1）1.27。稳定性：稳定</w:t>
            </w:r>
          </w:p>
        </w:tc>
        <w:tc>
          <w:tcPr>
            <w:tcW w:w="141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酸性腐蚀品</w:t>
            </w:r>
          </w:p>
        </w:tc>
        <w:tc>
          <w:tcPr>
            <w:tcW w:w="4427" w:type="dxa"/>
            <w:vAlign w:val="center"/>
          </w:tcPr>
          <w:p w:rsidR="00D228BE" w:rsidRPr="00677D1F" w:rsidRDefault="00332EB6" w:rsidP="00677D1F">
            <w:pPr>
              <w:widowControl/>
              <w:spacing w:line="240" w:lineRule="exact"/>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急性毒性：LC</w:t>
            </w:r>
            <w:r w:rsidRPr="00677D1F">
              <w:rPr>
                <w:rFonts w:ascii="宋体" w:eastAsia="宋体" w:hAnsi="宋体" w:cs="宋体" w:hint="eastAsia"/>
                <w:color w:val="000000"/>
                <w:kern w:val="0"/>
                <w:szCs w:val="21"/>
                <w:vertAlign w:val="subscript"/>
              </w:rPr>
              <w:t>50</w:t>
            </w:r>
            <w:r w:rsidRPr="00677D1F">
              <w:rPr>
                <w:rFonts w:ascii="宋体" w:eastAsia="宋体" w:hAnsi="宋体" w:cs="宋体" w:hint="eastAsia"/>
                <w:color w:val="000000"/>
                <w:kern w:val="0"/>
                <w:szCs w:val="21"/>
              </w:rPr>
              <w:t>1276ppm，1小时（大鼠吸入）。亚急性和慢性毒性：家兔吸入33～41mg/m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，平均20mg/m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经过1～5.5个月，可出现粘膜刺激，消瘦，呼吸困难，血红蛋白减少，网织红细胞增多，部分动物死亡。致突变性：DNA损伤：黑胃果蝇吸入1300ppb（6周）。性染色体缺失和不分离：黑胃果蝇吸入2900ppb。生殖毒性：大鼠吸入最低中毒浓度（TCL</w:t>
            </w:r>
            <w:r w:rsidRPr="00677D1F">
              <w:rPr>
                <w:rFonts w:ascii="宋体" w:eastAsia="宋体" w:hAnsi="宋体" w:cs="宋体" w:hint="eastAsia"/>
                <w:color w:val="000000"/>
                <w:kern w:val="0"/>
                <w:szCs w:val="21"/>
                <w:vertAlign w:val="subscript"/>
              </w:rPr>
              <w:t>0</w:t>
            </w:r>
            <w:r w:rsidRPr="00677D1F">
              <w:rPr>
                <w:rFonts w:ascii="宋体" w:eastAsia="宋体" w:hAnsi="宋体" w:cs="宋体" w:hint="eastAsia"/>
                <w:color w:val="000000"/>
                <w:kern w:val="0"/>
                <w:szCs w:val="21"/>
              </w:rPr>
              <w:t>）：4980ug/m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（孕1～22天），引起死胎</w:t>
            </w:r>
          </w:p>
        </w:tc>
      </w:tr>
    </w:tbl>
    <w:p w:rsidR="00D228BE" w:rsidRPr="00677D1F" w:rsidRDefault="00D228BE" w:rsidP="00677D1F">
      <w:pPr>
        <w:widowControl/>
        <w:contextualSpacing/>
        <w:rPr>
          <w:rFonts w:ascii="宋体" w:eastAsia="宋体" w:hAnsi="宋体" w:cs="宋体"/>
          <w:color w:val="000000"/>
          <w:kern w:val="0"/>
          <w:szCs w:val="21"/>
        </w:rPr>
        <w:sectPr w:rsidR="00D228BE" w:rsidRPr="00677D1F">
          <w:pgSz w:w="16838" w:h="11906" w:orient="landscape"/>
          <w:pgMar w:top="1701" w:right="1588" w:bottom="1418" w:left="1418" w:header="1021" w:footer="907" w:gutter="0"/>
          <w:cols w:space="425"/>
          <w:docGrid w:type="linesAndChars" w:linePitch="312"/>
        </w:sect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3.1.5</w:t>
      </w:r>
      <w:r w:rsidRPr="00677D1F">
        <w:rPr>
          <w:rFonts w:ascii="宋体" w:hAnsi="宋体" w:hint="eastAsia"/>
          <w:sz w:val="28"/>
          <w:szCs w:val="28"/>
        </w:rPr>
        <w:t xml:space="preserve"> 总平面布置</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3.1.5.1</w:t>
      </w:r>
      <w:r w:rsidRPr="00677D1F">
        <w:rPr>
          <w:rFonts w:asciiTheme="minorEastAsia" w:hAnsiTheme="minorEastAsia" w:cs="Times New Roman" w:hint="eastAsia"/>
          <w:b/>
          <w:bCs/>
          <w:color w:val="000000"/>
          <w:kern w:val="0"/>
          <w:sz w:val="24"/>
          <w:szCs w:val="24"/>
        </w:rPr>
        <w:t xml:space="preserve"> 功能分区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根据本项目的工艺流程特点，将整个厂区分成八个功能区，分别是：钛渣熔炼区；四氯化钛系统区；海绵钛生产区；金属钠生产区；钛材加工区；仓库及修理区；废水处理区；厂前区。</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3.1.5.2</w:t>
      </w:r>
      <w:r w:rsidRPr="00677D1F">
        <w:rPr>
          <w:rFonts w:asciiTheme="minorEastAsia" w:hAnsiTheme="minorEastAsia" w:cs="Times New Roman" w:hint="eastAsia"/>
          <w:b/>
          <w:bCs/>
          <w:color w:val="000000"/>
          <w:kern w:val="0"/>
          <w:sz w:val="24"/>
          <w:szCs w:val="24"/>
        </w:rPr>
        <w:t xml:space="preserve"> 总平面布置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（1）钛渣熔炼区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渣熔炼区位于整个厂区的南面靠西，它包含原料库(钛精矿)、钛渣熔炼、生铁处理机加工铸件、钛渣冷却及粗碎、钛渣熔炼及冷却烟气净化、钛渣成品转运、烟气净化、钛渣熔炼系统综合循环水等，便于原料钛精矿从南端外部道路入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（2）四氯化钛生产区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四氯化生产区包含氯化原料库、氯化车间，精制车间、冷冻站/10kV 配、四氯化钛储罐区、尾气处理系统、四氯化钛循环水、铝粉库、石灰库、临时渣场等，该区域布置在整个厂区南面靠东，靠近钛渣熔炼区域（钛渣成品），便于向氯化车间输送原料。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（3）海绵钛生产区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该区域包含还原蒸馏车间、镁电解生产车间、海绵钛钛坨取出车间、海绵钛破碎车间、海绵钛挑选及包装、220kV 总降压变电站、整流机室、氯压机室、事故氯气处理系统、海绵钛系统综合循环水等，该区域布置在整个厂区中部，其南面为四氯化钛区，北面为钛材加工区，方便原料进入和成品输出。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供电整流的负荷中心是镁电解车间和还原蒸馏车间，而整流的大电流电源是专供镁电解车间使用的，因此，供电整流布置在镁电解车间的端部更比较符合节约能源。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根据管理方便、安全、物流功最小等原则，镁电解车间布置在两栋还原蒸馏车间中间，并且相互平行。使这两个工艺联系最密切的车间组成一个有机整体，使大量的热物料运输在最短的距离中完成。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（4）金属钠生产区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金属钠生产区包含两套钠电解生产系统，有盐库、干燥工段、钠电解车间、精制工段、钠铸锭包装车间、钠电解氯压机室、事故氯气处理、氯气液化/及储存、钠电解系统综合循环水、金属钠库等，整个区域位于厂区的西南角，处于厂区全年盛行风向的下风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（5）钛材加工区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钛加工区包括熔铸熔铸车间、锻造车间、板材生产线、无缝管车间、焊管车间、残极回收车间、加工工艺仓库、消防加压泵站、加工循环水系统等，其布置在海绵钛生产区的北面。</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（6）仓库及修理区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仓库及修理区包括综合修理、工艺车库、综合仓库、备品备件库、空压站、制氧站、氮气站等，其位于厂区中部，海绵钛生产区和钛渣生产区之间。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（7）废水处理区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该区域包括高盐废水处理站、生产废水处理站、生活污水处理站、初期雨水收集/事故水池、电炉煤气存储与加压等。其布置在整个厂区东南角地势较低处。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（8）厂前区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前区包括办公楼、全厂控制中心/智能制造、质检/中心化验室、食堂、浴室、倒班宿舍等，其位于全厂的北部，靠近外部园区道路，方便员工进出，远离原料及生产区域，处于全年盛行风向的上风向，保证了厂前区相对好的环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整个厂区根据厂址所在地的风向、自然地形条件、外部货物运输方式等进行总图规划，厂区由南向北分别布置金属钠生产区、废水处理区、钛渣生产区、四氯化钛生产区、仓库及修理区、海绵钛生产区、钛材加工区、厂前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辅助生产车间尽量布置在其服务的主要生产车间附近。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为了方便人员进出和原料及成品运输，厂区设置 2 个出入口，分别位于厂区西北角和厂区东南角，均与外部道路连接。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详细布置见总平面布置图。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本项目总图运输主要技术经济指标详见表</w:t>
      </w:r>
      <w:r w:rsidRPr="00677D1F">
        <w:rPr>
          <w:rFonts w:ascii="宋体" w:eastAsia="宋体" w:hAnsi="宋体" w:cs="宋体"/>
          <w:color w:val="000000"/>
          <w:kern w:val="0"/>
          <w:sz w:val="24"/>
          <w:szCs w:val="24"/>
        </w:rPr>
        <w:t>3.1-</w:t>
      </w:r>
      <w:r w:rsidRPr="00677D1F">
        <w:rPr>
          <w:rFonts w:ascii="宋体" w:eastAsia="宋体" w:hAnsi="宋体" w:cs="宋体" w:hint="eastAsia"/>
          <w:color w:val="000000"/>
          <w:kern w:val="0"/>
          <w:sz w:val="24"/>
          <w:szCs w:val="24"/>
        </w:rPr>
        <w:t>32。</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表3.1-32  主要技术经济指标表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21"/>
        <w:gridCol w:w="2312"/>
        <w:gridCol w:w="1510"/>
        <w:gridCol w:w="1508"/>
        <w:gridCol w:w="2921"/>
      </w:tblGrid>
      <w:tr w:rsidR="00D228BE" w:rsidRPr="00677D1F">
        <w:trPr>
          <w:trHeight w:val="340"/>
          <w:jc w:val="center"/>
        </w:trPr>
        <w:tc>
          <w:tcPr>
            <w:tcW w:w="821"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序号</w:t>
            </w:r>
          </w:p>
        </w:tc>
        <w:tc>
          <w:tcPr>
            <w:tcW w:w="231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tabs>
                <w:tab w:val="left" w:pos="1651"/>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项目名称</w:t>
            </w:r>
          </w:p>
        </w:tc>
        <w:tc>
          <w:tcPr>
            <w:tcW w:w="1510"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单位</w:t>
            </w:r>
          </w:p>
        </w:tc>
        <w:tc>
          <w:tcPr>
            <w:tcW w:w="1508"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数量</w:t>
            </w:r>
          </w:p>
        </w:tc>
        <w:tc>
          <w:tcPr>
            <w:tcW w:w="2921" w:type="dxa"/>
            <w:tcBorders>
              <w:left w:val="single" w:sz="6" w:space="0" w:color="000000"/>
              <w:bottom w:val="single" w:sz="6" w:space="0" w:color="000000"/>
            </w:tcBorders>
            <w:vAlign w:val="center"/>
          </w:tcPr>
          <w:p w:rsidR="00D228BE" w:rsidRPr="00677D1F" w:rsidRDefault="00332EB6" w:rsidP="00677D1F">
            <w:pPr>
              <w:pStyle w:val="TableParagraph"/>
              <w:tabs>
                <w:tab w:val="left" w:pos="671"/>
              </w:tabs>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备注</w:t>
            </w: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项目用地面积</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2</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1038750</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建构筑物占地面积</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2</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409136</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lastRenderedPageBreak/>
              <w:t>3</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建筑系数</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39.39</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计容建筑面积</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vertAlign w:val="superscript"/>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2</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810225</w:t>
            </w:r>
          </w:p>
        </w:tc>
        <w:tc>
          <w:tcPr>
            <w:tcW w:w="2921"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单层厂房高于</w:t>
            </w:r>
            <w:r w:rsidRPr="00677D1F">
              <w:rPr>
                <w:rFonts w:asciiTheme="minorEastAsia" w:eastAsiaTheme="minorEastAsia" w:hAnsiTheme="minorEastAsia"/>
                <w:sz w:val="21"/>
                <w:szCs w:val="21"/>
                <w:lang w:eastAsia="zh-CN"/>
              </w:rPr>
              <w:t>8</w:t>
            </w:r>
            <w:r w:rsidRPr="00677D1F">
              <w:rPr>
                <w:rFonts w:asciiTheme="minorEastAsia" w:eastAsiaTheme="minorEastAsia" w:hAnsiTheme="minorEastAsia" w:hint="eastAsia"/>
                <w:sz w:val="21"/>
                <w:szCs w:val="21"/>
                <w:lang w:eastAsia="zh-CN"/>
              </w:rPr>
              <w:t>m加倍计算</w:t>
            </w: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容积率</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0.78</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办公生活设施用地</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2</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69596</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办公生活设施占地率</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6.7</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道路铺砌面积</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2</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176500</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建设用地投资强度</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万元</w:t>
            </w:r>
            <w:r w:rsidRPr="00677D1F">
              <w:rPr>
                <w:rFonts w:asciiTheme="minorEastAsia" w:eastAsiaTheme="minorEastAsia" w:hAnsiTheme="minorEastAsia"/>
                <w:sz w:val="21"/>
                <w:szCs w:val="21"/>
              </w:rPr>
              <w:t>/ha</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土方工程量</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3</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1530000</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其中：挖方</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3</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830000</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填方</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m</w:t>
            </w:r>
            <w:r w:rsidRPr="00677D1F">
              <w:rPr>
                <w:rFonts w:asciiTheme="minorEastAsia" w:eastAsiaTheme="minorEastAsia" w:hAnsiTheme="minorEastAsia" w:hint="eastAsia"/>
                <w:sz w:val="21"/>
                <w:szCs w:val="21"/>
                <w:vertAlign w:val="superscript"/>
              </w:rPr>
              <w:t>3</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700000</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11</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厂区绿地率</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w:t>
            </w: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厂外货物运输量</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t/a</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687487</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其中：运入</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t/a</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385712</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r w:rsidR="00D228BE" w:rsidRPr="00677D1F">
        <w:trPr>
          <w:trHeight w:val="340"/>
          <w:jc w:val="center"/>
        </w:trPr>
        <w:tc>
          <w:tcPr>
            <w:tcW w:w="821" w:type="dxa"/>
            <w:tcBorders>
              <w:top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231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运出</w:t>
            </w:r>
          </w:p>
        </w:tc>
        <w:tc>
          <w:tcPr>
            <w:tcW w:w="151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t/a</w:t>
            </w:r>
          </w:p>
        </w:tc>
        <w:tc>
          <w:tcPr>
            <w:tcW w:w="150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301775</w:t>
            </w:r>
          </w:p>
        </w:tc>
        <w:tc>
          <w:tcPr>
            <w:tcW w:w="2921" w:type="dxa"/>
            <w:tcBorders>
              <w:top w:val="single" w:sz="6" w:space="0" w:color="000000"/>
              <w:left w:val="single" w:sz="6" w:space="0" w:color="000000"/>
              <w:bottom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3.1.5.</w:t>
      </w:r>
      <w:r w:rsidRPr="00677D1F">
        <w:rPr>
          <w:rFonts w:asciiTheme="minorEastAsia" w:hAnsiTheme="minorEastAsia" w:cs="Times New Roman" w:hint="eastAsia"/>
          <w:b/>
          <w:bCs/>
          <w:color w:val="000000"/>
          <w:kern w:val="0"/>
          <w:sz w:val="24"/>
          <w:szCs w:val="24"/>
        </w:rPr>
        <w:t>3 竖向布置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厂区地形相对平缓，结合厂区地形特点，在满足排水和物料运输需要的前提下，厂区竖向按平坡式布置，以减少土石方工程量。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厂区内雨水采用暗管排水，初期雨水排入废水处理站处理，处理达标后，二次回用。后期雨水截流一部分送去污水处理站处理，超过截流部分直接排入园区排水系统。</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3.1.6</w:t>
      </w:r>
      <w:r w:rsidRPr="00677D1F">
        <w:rPr>
          <w:rFonts w:ascii="宋体" w:hAnsi="宋体" w:hint="eastAsia"/>
          <w:sz w:val="28"/>
          <w:szCs w:val="28"/>
        </w:rPr>
        <w:t xml:space="preserve"> 工作制度及劳动定员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本项目采用连续不间断生产工作制度，年工作日为</w:t>
      </w:r>
      <w:r w:rsidRPr="00677D1F">
        <w:rPr>
          <w:rFonts w:ascii="宋体" w:eastAsia="宋体" w:hAnsi="宋体" w:cs="宋体"/>
          <w:color w:val="000000"/>
          <w:kern w:val="0"/>
          <w:sz w:val="24"/>
          <w:szCs w:val="24"/>
        </w:rPr>
        <w:t>365</w:t>
      </w:r>
      <w:r w:rsidRPr="00677D1F">
        <w:rPr>
          <w:rFonts w:ascii="宋体" w:eastAsia="宋体" w:hAnsi="宋体" w:cs="宋体" w:hint="eastAsia"/>
          <w:color w:val="000000"/>
          <w:kern w:val="0"/>
          <w:sz w:val="24"/>
          <w:szCs w:val="24"/>
        </w:rPr>
        <w:t>天，节假日不间断，</w:t>
      </w:r>
      <w:r w:rsidRPr="00677D1F">
        <w:rPr>
          <w:rFonts w:ascii="宋体" w:eastAsia="宋体" w:hAnsi="宋体" w:cs="宋体"/>
          <w:color w:val="000000"/>
          <w:kern w:val="0"/>
          <w:sz w:val="24"/>
          <w:szCs w:val="24"/>
        </w:rPr>
        <w:t>24h</w:t>
      </w:r>
      <w:r w:rsidRPr="00677D1F">
        <w:rPr>
          <w:rFonts w:ascii="宋体" w:eastAsia="宋体" w:hAnsi="宋体" w:cs="宋体" w:hint="eastAsia"/>
          <w:color w:val="000000"/>
          <w:kern w:val="0"/>
          <w:sz w:val="24"/>
          <w:szCs w:val="24"/>
        </w:rPr>
        <w:t>连续生产。实行四班三运转工作制，每班工作</w:t>
      </w:r>
      <w:r w:rsidRPr="00677D1F">
        <w:rPr>
          <w:rFonts w:ascii="宋体" w:eastAsia="宋体" w:hAnsi="宋体" w:cs="宋体"/>
          <w:color w:val="000000"/>
          <w:kern w:val="0"/>
          <w:sz w:val="24"/>
          <w:szCs w:val="24"/>
        </w:rPr>
        <w:t>8h</w:t>
      </w:r>
      <w:r w:rsidRPr="00677D1F">
        <w:rPr>
          <w:rFonts w:ascii="宋体" w:eastAsia="宋体" w:hAnsi="宋体" w:cs="宋体" w:hint="eastAsia"/>
          <w:color w:val="000000"/>
          <w:kern w:val="0"/>
          <w:sz w:val="24"/>
          <w:szCs w:val="24"/>
        </w:rPr>
        <w:t>。除关键工序实行四班三运转外，为保证主要生产工段的连续不间断生产，对于其他生产部门及辅助生产的要害部门，如原料准备、净气、供电、供水、供汽等实行三班工作制，每班工作</w:t>
      </w:r>
      <w:r w:rsidRPr="00677D1F">
        <w:rPr>
          <w:rFonts w:ascii="宋体" w:eastAsia="宋体" w:hAnsi="宋体" w:cs="宋体"/>
          <w:color w:val="000000"/>
          <w:kern w:val="0"/>
          <w:sz w:val="24"/>
          <w:szCs w:val="24"/>
        </w:rPr>
        <w:t>8h</w:t>
      </w:r>
      <w:r w:rsidRPr="00677D1F">
        <w:rPr>
          <w:rFonts w:ascii="宋体" w:eastAsia="宋体" w:hAnsi="宋体" w:cs="宋体" w:hint="eastAsia"/>
          <w:color w:val="000000"/>
          <w:kern w:val="0"/>
          <w:sz w:val="24"/>
          <w:szCs w:val="24"/>
        </w:rPr>
        <w:t>。其他工种可考虑两班或一班工作制，每班工作</w:t>
      </w:r>
      <w:r w:rsidRPr="00677D1F">
        <w:rPr>
          <w:rFonts w:ascii="宋体" w:eastAsia="宋体" w:hAnsi="宋体" w:cs="宋体"/>
          <w:color w:val="000000"/>
          <w:kern w:val="0"/>
          <w:sz w:val="24"/>
          <w:szCs w:val="24"/>
        </w:rPr>
        <w:t>8h</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本项目建议在册劳动定员为3210人，其中生产工人2660人，厂部管理及服务人员550人，具体详见表</w:t>
      </w:r>
      <w:r w:rsidRPr="00677D1F">
        <w:rPr>
          <w:rFonts w:ascii="宋体" w:eastAsia="宋体" w:hAnsi="宋体" w:cs="宋体"/>
          <w:color w:val="000000"/>
          <w:kern w:val="0"/>
          <w:sz w:val="24"/>
          <w:szCs w:val="24"/>
        </w:rPr>
        <w:t>3.1-</w:t>
      </w:r>
      <w:r w:rsidRPr="00677D1F">
        <w:rPr>
          <w:rFonts w:ascii="宋体" w:eastAsia="宋体" w:hAnsi="宋体" w:cs="宋体" w:hint="eastAsia"/>
          <w:color w:val="000000"/>
          <w:kern w:val="0"/>
          <w:sz w:val="24"/>
          <w:szCs w:val="24"/>
        </w:rPr>
        <w:t>33。</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表3.1-33  劳动定员一览表</w:t>
      </w:r>
    </w:p>
    <w:tbl>
      <w:tblPr>
        <w:tblStyle w:val="aa"/>
        <w:tblW w:w="9072" w:type="dxa"/>
        <w:jc w:val="center"/>
        <w:tblLayout w:type="fixed"/>
        <w:tblLook w:val="04A0" w:firstRow="1" w:lastRow="0" w:firstColumn="1" w:lastColumn="0" w:noHBand="0" w:noVBand="1"/>
      </w:tblPr>
      <w:tblGrid>
        <w:gridCol w:w="751"/>
        <w:gridCol w:w="2970"/>
        <w:gridCol w:w="1455"/>
        <w:gridCol w:w="1220"/>
        <w:gridCol w:w="1924"/>
        <w:gridCol w:w="752"/>
      </w:tblGrid>
      <w:tr w:rsidR="00D228BE" w:rsidRPr="00677D1F">
        <w:trPr>
          <w:trHeight w:val="340"/>
          <w:jc w:val="center"/>
        </w:trPr>
        <w:tc>
          <w:tcPr>
            <w:tcW w:w="751"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序号</w:t>
            </w:r>
          </w:p>
        </w:tc>
        <w:tc>
          <w:tcPr>
            <w:tcW w:w="2970"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工作单位</w:t>
            </w:r>
          </w:p>
        </w:tc>
        <w:tc>
          <w:tcPr>
            <w:tcW w:w="5351" w:type="dxa"/>
            <w:gridSpan w:val="4"/>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在册定员数</w:t>
            </w:r>
          </w:p>
        </w:tc>
      </w:tr>
      <w:tr w:rsidR="00D228BE" w:rsidRPr="00677D1F">
        <w:trPr>
          <w:trHeight w:val="340"/>
          <w:jc w:val="center"/>
        </w:trPr>
        <w:tc>
          <w:tcPr>
            <w:tcW w:w="751"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2970"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455"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最大班人数</w:t>
            </w:r>
          </w:p>
        </w:tc>
        <w:tc>
          <w:tcPr>
            <w:tcW w:w="122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生产人员</w:t>
            </w:r>
          </w:p>
        </w:tc>
        <w:tc>
          <w:tcPr>
            <w:tcW w:w="1924"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管理及服务人员</w:t>
            </w:r>
          </w:p>
        </w:tc>
        <w:tc>
          <w:tcPr>
            <w:tcW w:w="75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合计</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1</w:t>
            </w:r>
          </w:p>
        </w:tc>
        <w:tc>
          <w:tcPr>
            <w:tcW w:w="2970" w:type="dxa"/>
            <w:vAlign w:val="center"/>
          </w:tcPr>
          <w:p w:rsidR="00D228BE" w:rsidRPr="00677D1F" w:rsidRDefault="00332EB6" w:rsidP="00677D1F">
            <w:pPr>
              <w:widowControl/>
              <w:contextualSpacing/>
              <w:jc w:val="left"/>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厂部管理及服务人员</w:t>
            </w:r>
          </w:p>
        </w:tc>
        <w:tc>
          <w:tcPr>
            <w:tcW w:w="1455"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324</w:t>
            </w:r>
          </w:p>
        </w:tc>
        <w:tc>
          <w:tcPr>
            <w:tcW w:w="122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w:t>
            </w:r>
          </w:p>
        </w:tc>
        <w:tc>
          <w:tcPr>
            <w:tcW w:w="1924"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451</w:t>
            </w:r>
          </w:p>
        </w:tc>
        <w:tc>
          <w:tcPr>
            <w:tcW w:w="75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451</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2</w:t>
            </w:r>
          </w:p>
        </w:tc>
        <w:tc>
          <w:tcPr>
            <w:tcW w:w="2970" w:type="dxa"/>
            <w:vAlign w:val="center"/>
          </w:tcPr>
          <w:p w:rsidR="00D228BE" w:rsidRPr="00677D1F" w:rsidRDefault="00332EB6" w:rsidP="00677D1F">
            <w:pPr>
              <w:widowControl/>
              <w:contextualSpacing/>
              <w:jc w:val="left"/>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主要生产系统</w:t>
            </w:r>
          </w:p>
        </w:tc>
        <w:tc>
          <w:tcPr>
            <w:tcW w:w="1455"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610</w:t>
            </w:r>
          </w:p>
        </w:tc>
        <w:tc>
          <w:tcPr>
            <w:tcW w:w="122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2172</w:t>
            </w:r>
          </w:p>
        </w:tc>
        <w:tc>
          <w:tcPr>
            <w:tcW w:w="1924"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66</w:t>
            </w:r>
          </w:p>
        </w:tc>
        <w:tc>
          <w:tcPr>
            <w:tcW w:w="75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2238</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2.1</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钛渣生产系统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钛渣原料转运站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17</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钛渣熔炼车间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生铁处理机加工铸件车间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72</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钛渣冷却破碎/转运站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25</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47</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200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212</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四氯化钛生产系统</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氯化原料库</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36</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165</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废气处理系统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精制车间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87</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91</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矿浆蒸发系统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收尘渣处理系统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卫生排气处理系统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69</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291</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300</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海绵钛生产系统</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还原蒸馏车间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70</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368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384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镁电解车间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46</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170</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氯压机室</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海绵钛取出车间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海绵钛破碎</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20</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62</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海绵钛挑选及包装</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50</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海绵钛生产控制中心</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15</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17</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213</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733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26</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759</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2.4</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钠电解部分</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精盐原料库</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精盐干燥工段</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钠电解车间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钠精炼车间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钠铸锭/包装车间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硫酸储库/液碱库</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钠电解氯压机室/氯气液化</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金属钠库</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钠电解事故氯气处理</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制膜车间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50</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178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185</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2.5</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钛及钛加工系统</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熔铸车间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65</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264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267</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锻造车间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229</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钛板生产车间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129</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焊接管生产车间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无缝管生产车间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57</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残钛回收车间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770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782</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3</w:t>
            </w:r>
          </w:p>
        </w:tc>
        <w:tc>
          <w:tcPr>
            <w:tcW w:w="2970" w:type="dxa"/>
            <w:vAlign w:val="center"/>
          </w:tcPr>
          <w:p w:rsidR="00D228BE" w:rsidRPr="00677D1F" w:rsidRDefault="00332EB6" w:rsidP="00677D1F">
            <w:pPr>
              <w:widowControl/>
              <w:contextualSpacing/>
              <w:jc w:val="left"/>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公共辅助系统</w:t>
            </w:r>
          </w:p>
        </w:tc>
        <w:tc>
          <w:tcPr>
            <w:tcW w:w="1455"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193</w:t>
            </w:r>
          </w:p>
        </w:tc>
        <w:tc>
          <w:tcPr>
            <w:tcW w:w="122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488</w:t>
            </w:r>
          </w:p>
        </w:tc>
        <w:tc>
          <w:tcPr>
            <w:tcW w:w="1924"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33</w:t>
            </w:r>
          </w:p>
        </w:tc>
        <w:tc>
          <w:tcPr>
            <w:tcW w:w="75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521</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3.1</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给排水系统</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全厂生活污水处理站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全厂生产废水处理站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全厂循环水系统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高盐废水处理</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加工区域废水处理站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35</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38</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供电系统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48</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48</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3.3</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计控检测系统</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计控车间</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37</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质检/化验中心</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81</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118</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3.4</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热力系统</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电炉烟气净化系统/加压</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锅炉房系统</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21</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冷冻站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空压站/氮气站/制氧站</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43</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3.5</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总图运输</w:t>
            </w:r>
          </w:p>
        </w:tc>
        <w:tc>
          <w:tcPr>
            <w:tcW w:w="1455"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220"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924"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752"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工艺车库</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19</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地中衡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临时渣场</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库房管理</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危废暂存间/工艺仓库</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小计</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40</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42</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3.6</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综合维修</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84</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186</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198</w:t>
            </w:r>
          </w:p>
        </w:tc>
      </w:tr>
      <w:tr w:rsidR="00D228BE" w:rsidRPr="00677D1F">
        <w:trPr>
          <w:trHeight w:val="340"/>
          <w:jc w:val="center"/>
        </w:trPr>
        <w:tc>
          <w:tcPr>
            <w:tcW w:w="751"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3.7</w:t>
            </w:r>
          </w:p>
        </w:tc>
        <w:tc>
          <w:tcPr>
            <w:tcW w:w="297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巡检</w:t>
            </w:r>
          </w:p>
        </w:tc>
        <w:tc>
          <w:tcPr>
            <w:tcW w:w="145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122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w:t>
            </w:r>
          </w:p>
        </w:tc>
        <w:tc>
          <w:tcPr>
            <w:tcW w:w="192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752"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34</w:t>
            </w:r>
          </w:p>
        </w:tc>
      </w:tr>
      <w:tr w:rsidR="00D228BE" w:rsidRPr="00677D1F">
        <w:trPr>
          <w:trHeight w:val="340"/>
          <w:jc w:val="center"/>
        </w:trPr>
        <w:tc>
          <w:tcPr>
            <w:tcW w:w="751" w:type="dxa"/>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297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合计</w:t>
            </w:r>
          </w:p>
        </w:tc>
        <w:tc>
          <w:tcPr>
            <w:tcW w:w="1455"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1127</w:t>
            </w:r>
          </w:p>
        </w:tc>
        <w:tc>
          <w:tcPr>
            <w:tcW w:w="122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2660</w:t>
            </w:r>
          </w:p>
        </w:tc>
        <w:tc>
          <w:tcPr>
            <w:tcW w:w="1924"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550</w:t>
            </w:r>
          </w:p>
        </w:tc>
        <w:tc>
          <w:tcPr>
            <w:tcW w:w="75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3210</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3.1.</w:t>
      </w:r>
      <w:r w:rsidRPr="00677D1F">
        <w:rPr>
          <w:rFonts w:ascii="宋体" w:hAnsi="宋体" w:hint="eastAsia"/>
          <w:sz w:val="28"/>
          <w:szCs w:val="28"/>
        </w:rPr>
        <w:t>7 主要技术经济指标</w:t>
      </w:r>
    </w:p>
    <w:p w:rsidR="00D228BE" w:rsidRPr="00677D1F" w:rsidRDefault="00332EB6" w:rsidP="00677D1F">
      <w:pPr>
        <w:widowControl/>
        <w:contextualSpacing/>
        <w:rPr>
          <w:rFonts w:ascii="宋体" w:eastAsia="宋体" w:hAnsi="宋体" w:cs="宋体"/>
          <w:kern w:val="0"/>
          <w:sz w:val="24"/>
          <w:szCs w:val="24"/>
        </w:rPr>
      </w:pPr>
      <w:r w:rsidRPr="00677D1F">
        <w:rPr>
          <w:rFonts w:ascii="宋体" w:eastAsia="宋体" w:hAnsi="宋体" w:cs="宋体" w:hint="eastAsia"/>
          <w:color w:val="000000"/>
          <w:kern w:val="0"/>
          <w:sz w:val="26"/>
          <w:szCs w:val="26"/>
        </w:rPr>
        <w:t>本项目综合技术经济指标见表</w:t>
      </w:r>
      <w:r w:rsidRPr="00677D1F">
        <w:rPr>
          <w:rFonts w:ascii="Times New Roman" w:eastAsia="宋体" w:hAnsi="Times New Roman" w:cs="Times New Roman"/>
          <w:color w:val="000000"/>
          <w:kern w:val="0"/>
          <w:sz w:val="26"/>
          <w:szCs w:val="26"/>
        </w:rPr>
        <w:t>3.1-</w:t>
      </w:r>
      <w:r w:rsidRPr="00677D1F">
        <w:rPr>
          <w:rFonts w:ascii="Times New Roman" w:eastAsia="宋体" w:hAnsi="Times New Roman" w:cs="Times New Roman" w:hint="eastAsia"/>
          <w:color w:val="000000"/>
          <w:kern w:val="0"/>
          <w:sz w:val="26"/>
          <w:szCs w:val="26"/>
        </w:rPr>
        <w:t>34</w:t>
      </w:r>
      <w:r w:rsidRPr="00677D1F">
        <w:rPr>
          <w:rFonts w:ascii="宋体" w:eastAsia="宋体" w:hAnsi="宋体" w:cs="宋体" w:hint="eastAsia"/>
          <w:color w:val="000000"/>
          <w:kern w:val="0"/>
          <w:sz w:val="26"/>
          <w:szCs w:val="26"/>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表3.1-34  综合技术经济指标一览表</w:t>
      </w:r>
    </w:p>
    <w:tbl>
      <w:tblPr>
        <w:tblStyle w:val="TableNormal"/>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2541"/>
        <w:gridCol w:w="1116"/>
        <w:gridCol w:w="1923"/>
        <w:gridCol w:w="2663"/>
      </w:tblGrid>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ascii="黑体" w:eastAsia="黑体"/>
                <w:b/>
                <w:sz w:val="18"/>
                <w:szCs w:val="18"/>
              </w:rPr>
            </w:pPr>
            <w:r w:rsidRPr="00677D1F">
              <w:rPr>
                <w:rFonts w:ascii="黑体" w:eastAsia="黑体" w:hint="eastAsia"/>
                <w:b/>
                <w:sz w:val="18"/>
                <w:szCs w:val="18"/>
              </w:rPr>
              <w:t>序号</w:t>
            </w:r>
          </w:p>
        </w:tc>
        <w:tc>
          <w:tcPr>
            <w:tcW w:w="2541" w:type="dxa"/>
            <w:vAlign w:val="center"/>
          </w:tcPr>
          <w:p w:rsidR="00D228BE" w:rsidRPr="00677D1F" w:rsidRDefault="00332EB6" w:rsidP="00677D1F">
            <w:pPr>
              <w:pStyle w:val="TableParagraph"/>
              <w:contextualSpacing/>
              <w:jc w:val="center"/>
              <w:rPr>
                <w:rFonts w:ascii="黑体" w:eastAsia="黑体"/>
                <w:b/>
                <w:sz w:val="18"/>
                <w:szCs w:val="18"/>
              </w:rPr>
            </w:pPr>
            <w:r w:rsidRPr="00677D1F">
              <w:rPr>
                <w:rFonts w:ascii="黑体" w:eastAsia="黑体" w:hint="eastAsia"/>
                <w:b/>
                <w:sz w:val="18"/>
                <w:szCs w:val="18"/>
              </w:rPr>
              <w:t>指标名称</w:t>
            </w:r>
          </w:p>
        </w:tc>
        <w:tc>
          <w:tcPr>
            <w:tcW w:w="1116" w:type="dxa"/>
            <w:vAlign w:val="center"/>
          </w:tcPr>
          <w:p w:rsidR="00D228BE" w:rsidRPr="00677D1F" w:rsidRDefault="00332EB6" w:rsidP="00677D1F">
            <w:pPr>
              <w:pStyle w:val="TableParagraph"/>
              <w:contextualSpacing/>
              <w:jc w:val="center"/>
              <w:rPr>
                <w:rFonts w:ascii="黑体" w:eastAsia="黑体"/>
                <w:b/>
                <w:sz w:val="18"/>
                <w:szCs w:val="18"/>
              </w:rPr>
            </w:pPr>
            <w:r w:rsidRPr="00677D1F">
              <w:rPr>
                <w:rFonts w:ascii="黑体" w:eastAsia="黑体" w:hint="eastAsia"/>
                <w:b/>
                <w:sz w:val="18"/>
                <w:szCs w:val="18"/>
              </w:rPr>
              <w:t>单位</w:t>
            </w:r>
          </w:p>
        </w:tc>
        <w:tc>
          <w:tcPr>
            <w:tcW w:w="1923" w:type="dxa"/>
            <w:vAlign w:val="center"/>
          </w:tcPr>
          <w:p w:rsidR="00D228BE" w:rsidRPr="00677D1F" w:rsidRDefault="00332EB6" w:rsidP="00677D1F">
            <w:pPr>
              <w:pStyle w:val="TableParagraph"/>
              <w:contextualSpacing/>
              <w:jc w:val="center"/>
              <w:rPr>
                <w:rFonts w:ascii="黑体" w:eastAsia="黑体"/>
                <w:b/>
                <w:sz w:val="18"/>
                <w:szCs w:val="18"/>
              </w:rPr>
            </w:pPr>
            <w:r w:rsidRPr="00677D1F">
              <w:rPr>
                <w:rFonts w:ascii="黑体" w:eastAsia="黑体" w:hint="eastAsia"/>
                <w:b/>
                <w:sz w:val="18"/>
                <w:szCs w:val="18"/>
              </w:rPr>
              <w:t>指标</w:t>
            </w:r>
          </w:p>
        </w:tc>
        <w:tc>
          <w:tcPr>
            <w:tcW w:w="2663" w:type="dxa"/>
            <w:vAlign w:val="center"/>
          </w:tcPr>
          <w:p w:rsidR="00D228BE" w:rsidRPr="00677D1F" w:rsidRDefault="00332EB6" w:rsidP="00677D1F">
            <w:pPr>
              <w:pStyle w:val="TableParagraph"/>
              <w:contextualSpacing/>
              <w:jc w:val="center"/>
              <w:rPr>
                <w:rFonts w:ascii="黑体" w:eastAsia="黑体"/>
                <w:b/>
                <w:sz w:val="18"/>
                <w:szCs w:val="18"/>
              </w:rPr>
            </w:pPr>
            <w:r w:rsidRPr="00677D1F">
              <w:rPr>
                <w:rFonts w:ascii="黑体" w:eastAsia="黑体" w:hint="eastAsia"/>
                <w:b/>
                <w:sz w:val="18"/>
                <w:szCs w:val="18"/>
              </w:rPr>
              <w:t>备注</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b/>
                <w:sz w:val="18"/>
                <w:szCs w:val="18"/>
              </w:rPr>
            </w:pPr>
            <w:r w:rsidRPr="00677D1F">
              <w:rPr>
                <w:b/>
                <w:sz w:val="18"/>
                <w:szCs w:val="18"/>
              </w:rPr>
              <w:t>1</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生产规模</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D228BE" w:rsidP="00677D1F">
            <w:pPr>
              <w:pStyle w:val="TableParagraph"/>
              <w:contextualSpacing/>
              <w:jc w:val="center"/>
              <w:rPr>
                <w:rFonts w:ascii="Times New Roman"/>
                <w:b/>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钛及钛合金材料</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热轧卷带</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冷轧卷带</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纯钛宽厚板</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5000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合金宽厚板</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合金薄板</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钛及钛合金锻件</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钛及钛合金棒材</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无缝管</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1.1.9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焊管</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副产品</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111607</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铸钢锭</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46000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铸钢件</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15000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精四氯化钛</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18905</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金属钠</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26000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等外钛</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2482</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1.2.6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残钛</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3220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b/>
                <w:sz w:val="18"/>
                <w:szCs w:val="18"/>
              </w:rPr>
            </w:pPr>
            <w:r w:rsidRPr="00677D1F">
              <w:rPr>
                <w:b/>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年耗量</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D228BE" w:rsidP="00677D1F">
            <w:pPr>
              <w:pStyle w:val="TableParagraph"/>
              <w:contextualSpacing/>
              <w:jc w:val="center"/>
              <w:rPr>
                <w:rFonts w:ascii="Times New Roman"/>
                <w:b/>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钛渣系统</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D228BE" w:rsidP="00677D1F">
            <w:pPr>
              <w:pStyle w:val="TableParagraph"/>
              <w:contextualSpacing/>
              <w:jc w:val="center"/>
              <w:rPr>
                <w:rFonts w:ascii="Times New Roman"/>
                <w:sz w:val="18"/>
                <w:szCs w:val="18"/>
              </w:rPr>
            </w:pP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钛精矿</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190000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石墨电极</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1870</w:t>
            </w:r>
          </w:p>
        </w:tc>
        <w:tc>
          <w:tcPr>
            <w:tcW w:w="2663" w:type="dxa"/>
            <w:vAlign w:val="center"/>
          </w:tcPr>
          <w:p w:rsidR="00D228BE" w:rsidRPr="00677D1F" w:rsidRDefault="00332EB6" w:rsidP="00677D1F">
            <w:pPr>
              <w:pStyle w:val="TableParagraph"/>
              <w:contextualSpacing/>
              <w:jc w:val="center"/>
              <w:rPr>
                <w:sz w:val="18"/>
                <w:szCs w:val="18"/>
              </w:rPr>
            </w:pPr>
            <w:r w:rsidRPr="00677D1F">
              <w:rPr>
                <w:rFonts w:ascii="宋体" w:eastAsia="宋体" w:hAnsi="宋体" w:hint="eastAsia"/>
                <w:sz w:val="18"/>
                <w:szCs w:val="18"/>
              </w:rPr>
              <w:t xml:space="preserve">普通功率 </w:t>
            </w:r>
            <w:r w:rsidRPr="00677D1F">
              <w:rPr>
                <w:sz w:val="18"/>
                <w:szCs w:val="18"/>
              </w:rPr>
              <w:t>Ø600</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石墨电极</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366</w:t>
            </w:r>
          </w:p>
        </w:tc>
        <w:tc>
          <w:tcPr>
            <w:tcW w:w="2663" w:type="dxa"/>
            <w:vAlign w:val="center"/>
          </w:tcPr>
          <w:p w:rsidR="00D228BE" w:rsidRPr="00677D1F" w:rsidRDefault="00332EB6" w:rsidP="00677D1F">
            <w:pPr>
              <w:pStyle w:val="TableParagraph"/>
              <w:contextualSpacing/>
              <w:jc w:val="center"/>
              <w:rPr>
                <w:sz w:val="18"/>
                <w:szCs w:val="18"/>
              </w:rPr>
            </w:pPr>
            <w:r w:rsidRPr="00677D1F">
              <w:rPr>
                <w:rFonts w:ascii="宋体" w:eastAsia="宋体" w:hAnsi="宋体" w:hint="eastAsia"/>
                <w:sz w:val="18"/>
                <w:szCs w:val="18"/>
              </w:rPr>
              <w:t xml:space="preserve">普通功率 </w:t>
            </w:r>
            <w:r w:rsidRPr="00677D1F">
              <w:rPr>
                <w:sz w:val="18"/>
                <w:szCs w:val="18"/>
              </w:rPr>
              <w:t>Ø350</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兰碳</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21500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铁合金</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854</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石灰</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12400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萤石</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1342</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耐火材料（粘土砖）</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1525</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石英砂</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2100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2.1.10</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碳粉</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水玻璃</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电耗</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kwh/a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0.358x10</w:t>
            </w:r>
            <w:r w:rsidRPr="00677D1F">
              <w:rPr>
                <w:sz w:val="18"/>
                <w:szCs w:val="18"/>
                <w:vertAlign w:val="superscript"/>
              </w:rPr>
              <w:t>9</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工艺耗</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2.1.13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水</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1.28x10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lastRenderedPageBreak/>
              <w:t>2.2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海绵钛</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D228BE" w:rsidP="00677D1F">
            <w:pPr>
              <w:pStyle w:val="TableParagraph"/>
              <w:contextualSpacing/>
              <w:jc w:val="center"/>
              <w:rPr>
                <w:rFonts w:ascii="Times New Roman"/>
                <w:sz w:val="18"/>
                <w:szCs w:val="18"/>
              </w:rPr>
            </w:pP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工业盐</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26000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煅后焦</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18000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补充镁</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2400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真空泵油</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140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氩气</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480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铝粉</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190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石灰</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390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2.2.7</w:t>
            </w:r>
          </w:p>
        </w:tc>
        <w:tc>
          <w:tcPr>
            <w:tcW w:w="2541"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钢材</w:t>
            </w:r>
            <w:r w:rsidRPr="00677D1F">
              <w:rPr>
                <w:rFonts w:ascii="宋体" w:eastAsia="宋体" w:hAnsi="宋体" w:cs="宋体" w:hint="eastAsia"/>
                <w:sz w:val="18"/>
                <w:szCs w:val="18"/>
              </w:rPr>
              <w:t>（</w:t>
            </w:r>
            <w:r w:rsidRPr="00677D1F">
              <w:rPr>
                <w:sz w:val="18"/>
                <w:szCs w:val="18"/>
              </w:rPr>
              <w:t>20#</w:t>
            </w:r>
            <w:r w:rsidRPr="00677D1F">
              <w:rPr>
                <w:rFonts w:ascii="宋体" w:eastAsia="宋体" w:hAnsi="宋体" w:cs="宋体" w:hint="eastAsia"/>
                <w:sz w:val="18"/>
                <w:szCs w:val="18"/>
              </w:rPr>
              <w:t>）</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2.2.8</w:t>
            </w:r>
          </w:p>
        </w:tc>
        <w:tc>
          <w:tcPr>
            <w:tcW w:w="2541"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碱液</w:t>
            </w:r>
            <w:r w:rsidRPr="00677D1F">
              <w:rPr>
                <w:rFonts w:ascii="宋体" w:eastAsia="宋体" w:hAnsi="宋体" w:cs="宋体" w:hint="eastAsia"/>
                <w:sz w:val="18"/>
                <w:szCs w:val="18"/>
              </w:rPr>
              <w:t>（</w:t>
            </w:r>
            <w:r w:rsidRPr="00677D1F">
              <w:rPr>
                <w:sz w:val="18"/>
                <w:szCs w:val="18"/>
              </w:rPr>
              <w:t>30%NaOH</w:t>
            </w:r>
            <w:r w:rsidRPr="00677D1F">
              <w:rPr>
                <w:rFonts w:ascii="宋体" w:eastAsia="宋体" w:hAnsi="宋体" w:cs="宋体" w:hint="eastAsia"/>
                <w:sz w:val="18"/>
                <w:szCs w:val="18"/>
              </w:rPr>
              <w:t>）</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60000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98%</w:t>
            </w:r>
            <w:r w:rsidRPr="00677D1F">
              <w:rPr>
                <w:rFonts w:ascii="宋体" w:eastAsia="宋体" w:hint="eastAsia"/>
                <w:sz w:val="18"/>
                <w:szCs w:val="18"/>
              </w:rPr>
              <w:t>浓硫酸</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840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2.2.10</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石墨阳极</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钢阴极</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140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耐火材料</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60</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镁砖、粘土砖</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纯碱</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8</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氯化钾</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720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氯化钠</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800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氯化钙</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720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盐酸</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2.2.18</w:t>
            </w:r>
          </w:p>
        </w:tc>
        <w:tc>
          <w:tcPr>
            <w:tcW w:w="2541"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电阻带</w:t>
            </w:r>
            <w:r w:rsidRPr="00677D1F">
              <w:rPr>
                <w:rFonts w:ascii="宋体" w:eastAsia="宋体" w:hAnsi="宋体" w:cs="宋体" w:hint="eastAsia"/>
                <w:sz w:val="18"/>
                <w:szCs w:val="18"/>
              </w:rPr>
              <w:t>（</w:t>
            </w:r>
            <w:r w:rsidRPr="00677D1F">
              <w:rPr>
                <w:rFonts w:ascii="宋体" w:eastAsia="宋体" w:hint="eastAsia"/>
                <w:sz w:val="18"/>
                <w:szCs w:val="18"/>
              </w:rPr>
              <w:t>镍铬丝</w:t>
            </w:r>
            <w:r w:rsidRPr="00677D1F">
              <w:rPr>
                <w:rFonts w:ascii="宋体" w:eastAsia="宋体" w:hAnsi="宋体" w:cs="宋体" w:hint="eastAsia"/>
                <w:sz w:val="18"/>
                <w:szCs w:val="18"/>
              </w:rPr>
              <w:t>）</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2.2.19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电（含镁电解）</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kwh/a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0.84x10</w:t>
            </w:r>
            <w:r w:rsidRPr="00677D1F">
              <w:rPr>
                <w:sz w:val="18"/>
                <w:szCs w:val="18"/>
                <w:vertAlign w:val="superscript"/>
              </w:rPr>
              <w:t>9</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2.2.20</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水</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1.92x10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2.2.21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蒸汽</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0.2x10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金属钠</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D228BE" w:rsidP="00677D1F">
            <w:pPr>
              <w:pStyle w:val="TableParagraph"/>
              <w:contextualSpacing/>
              <w:jc w:val="center"/>
              <w:rPr>
                <w:rFonts w:ascii="Times New Roman"/>
                <w:sz w:val="18"/>
                <w:szCs w:val="18"/>
              </w:rPr>
            </w:pP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配套生产氯气</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精盐</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68800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氯化钙</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2080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石蜡油</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260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石灰</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325</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浓硫酸</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390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水</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0.65x10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电</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kwh/a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0.299x10</w:t>
            </w:r>
            <w:r w:rsidRPr="00677D1F">
              <w:rPr>
                <w:sz w:val="18"/>
                <w:szCs w:val="18"/>
                <w:vertAlign w:val="superscript"/>
              </w:rPr>
              <w:t>9</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2.3.8</w:t>
            </w:r>
          </w:p>
        </w:tc>
        <w:tc>
          <w:tcPr>
            <w:tcW w:w="2541"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氮气</w:t>
            </w:r>
            <w:r w:rsidRPr="00677D1F">
              <w:rPr>
                <w:sz w:val="18"/>
                <w:szCs w:val="18"/>
              </w:rPr>
              <w:t>&gt;99.9%</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0.312 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2.3.9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天然气</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0.468x10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钛合金加工</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D228BE" w:rsidP="00677D1F">
            <w:pPr>
              <w:pStyle w:val="TableParagraph"/>
              <w:contextualSpacing/>
              <w:jc w:val="center"/>
              <w:rPr>
                <w:rFonts w:ascii="Times New Roman"/>
                <w:sz w:val="18"/>
                <w:szCs w:val="18"/>
              </w:rPr>
            </w:pP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2.4.1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纯钛用电</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kwh/t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13419.7</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2.4.2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合金用电</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kwh/t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20365.4</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2.4.3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用水</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1.223x10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sz w:val="18"/>
                <w:szCs w:val="18"/>
              </w:rPr>
              <w:t>2.4.4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天然气</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13.32x10</w:t>
            </w:r>
            <w:r w:rsidRPr="00677D1F">
              <w:rPr>
                <w:sz w:val="18"/>
                <w:szCs w:val="18"/>
                <w:vertAlign w:val="superscript"/>
              </w:rPr>
              <w:t>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eastAsiaTheme="minorEastAsia"/>
                <w:b/>
                <w:sz w:val="18"/>
                <w:szCs w:val="18"/>
              </w:rPr>
            </w:pPr>
            <w:r w:rsidRPr="00677D1F">
              <w:rPr>
                <w:rFonts w:eastAsiaTheme="minorEastAsia" w:hint="eastAsia"/>
                <w:b/>
                <w:sz w:val="18"/>
                <w:szCs w:val="18"/>
              </w:rPr>
              <w:t>3</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供电系统</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D228BE" w:rsidP="00677D1F">
            <w:pPr>
              <w:pStyle w:val="TableParagraph"/>
              <w:contextualSpacing/>
              <w:jc w:val="center"/>
              <w:rPr>
                <w:rFonts w:ascii="Times New Roman"/>
                <w:b/>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lastRenderedPageBreak/>
              <w:t>3</w:t>
            </w:r>
            <w:r w:rsidRPr="00677D1F">
              <w:rPr>
                <w:sz w:val="18"/>
                <w:szCs w:val="18"/>
              </w:rPr>
              <w:t>.1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电源回路数</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回</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电源电压</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kV</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.3</w:t>
            </w:r>
          </w:p>
        </w:tc>
        <w:tc>
          <w:tcPr>
            <w:tcW w:w="2541" w:type="dxa"/>
            <w:vAlign w:val="center"/>
          </w:tcPr>
          <w:p w:rsidR="00D228BE" w:rsidRPr="00677D1F" w:rsidRDefault="00332EB6" w:rsidP="00677D1F">
            <w:pPr>
              <w:pStyle w:val="TableParagraph"/>
              <w:contextualSpacing/>
              <w:jc w:val="center"/>
              <w:rPr>
                <w:rFonts w:ascii="宋体" w:eastAsia="宋体"/>
                <w:sz w:val="18"/>
                <w:szCs w:val="18"/>
                <w:lang w:eastAsia="zh-CN"/>
              </w:rPr>
            </w:pPr>
            <w:r w:rsidRPr="00677D1F">
              <w:rPr>
                <w:rFonts w:ascii="宋体" w:eastAsia="宋体" w:hint="eastAsia"/>
                <w:sz w:val="18"/>
                <w:szCs w:val="18"/>
                <w:lang w:eastAsia="zh-CN"/>
              </w:rPr>
              <w:t>总变电所总降压变压器额</w:t>
            </w:r>
          </w:p>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定容量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MVA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150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.4</w:t>
            </w:r>
          </w:p>
        </w:tc>
        <w:tc>
          <w:tcPr>
            <w:tcW w:w="2541" w:type="dxa"/>
            <w:vAlign w:val="center"/>
          </w:tcPr>
          <w:p w:rsidR="00D228BE" w:rsidRPr="00677D1F" w:rsidRDefault="00332EB6" w:rsidP="00677D1F">
            <w:pPr>
              <w:pStyle w:val="TableParagraph"/>
              <w:contextualSpacing/>
              <w:jc w:val="center"/>
              <w:rPr>
                <w:rFonts w:ascii="宋体" w:eastAsia="宋体"/>
                <w:sz w:val="18"/>
                <w:szCs w:val="18"/>
                <w:lang w:eastAsia="zh-CN"/>
              </w:rPr>
            </w:pPr>
            <w:r w:rsidRPr="00677D1F">
              <w:rPr>
                <w:rFonts w:ascii="宋体" w:eastAsia="宋体" w:hint="eastAsia"/>
                <w:sz w:val="18"/>
                <w:szCs w:val="18"/>
                <w:lang w:eastAsia="zh-CN"/>
              </w:rPr>
              <w:t>总变电所总降压变压器台</w:t>
            </w:r>
          </w:p>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数</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台</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全厂最大有功功率</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320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全厂平均有功功率</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307</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全厂年用电量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kWh</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22.29x10</w:t>
            </w:r>
            <w:r w:rsidRPr="00677D1F">
              <w:rPr>
                <w:sz w:val="18"/>
                <w:szCs w:val="18"/>
                <w:vertAlign w:val="superscript"/>
              </w:rPr>
              <w:t>8</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3</w:t>
            </w:r>
            <w:r w:rsidRPr="00677D1F">
              <w:rPr>
                <w:sz w:val="18"/>
                <w:szCs w:val="18"/>
              </w:rPr>
              <w:t>.8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功率因素</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0.95</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eastAsiaTheme="minorEastAsia"/>
                <w:b/>
                <w:sz w:val="18"/>
                <w:szCs w:val="18"/>
              </w:rPr>
            </w:pPr>
            <w:r w:rsidRPr="00677D1F">
              <w:rPr>
                <w:rFonts w:eastAsiaTheme="minorEastAsia" w:hint="eastAsia"/>
                <w:b/>
                <w:sz w:val="18"/>
                <w:szCs w:val="18"/>
              </w:rPr>
              <w:t>4</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给排水</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最高日</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生产新水量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21408</w:t>
            </w:r>
          </w:p>
        </w:tc>
        <w:tc>
          <w:tcPr>
            <w:tcW w:w="2663" w:type="dxa"/>
            <w:vAlign w:val="center"/>
          </w:tcPr>
          <w:p w:rsidR="00D228BE" w:rsidRPr="00677D1F" w:rsidRDefault="00332EB6" w:rsidP="00677D1F">
            <w:pPr>
              <w:pStyle w:val="TableParagraph"/>
              <w:contextualSpacing/>
              <w:jc w:val="center"/>
              <w:rPr>
                <w:rFonts w:ascii="宋体" w:eastAsia="宋体"/>
                <w:sz w:val="18"/>
                <w:szCs w:val="18"/>
                <w:lang w:eastAsia="zh-CN"/>
              </w:rPr>
            </w:pPr>
            <w:r w:rsidRPr="00677D1F">
              <w:rPr>
                <w:rFonts w:ascii="宋体" w:eastAsia="宋体" w:hint="eastAsia"/>
                <w:sz w:val="18"/>
                <w:szCs w:val="18"/>
                <w:lang w:eastAsia="zh-CN"/>
              </w:rPr>
              <w:t xml:space="preserve">不含 </w:t>
            </w:r>
            <w:r w:rsidRPr="00677D1F">
              <w:rPr>
                <w:sz w:val="18"/>
                <w:szCs w:val="18"/>
                <w:lang w:eastAsia="zh-CN"/>
              </w:rPr>
              <w:t>20%</w:t>
            </w:r>
            <w:r w:rsidRPr="00677D1F">
              <w:rPr>
                <w:rFonts w:ascii="宋体" w:eastAsia="宋体" w:hint="eastAsia"/>
                <w:sz w:val="18"/>
                <w:szCs w:val="18"/>
                <w:lang w:eastAsia="zh-CN"/>
              </w:rPr>
              <w:t>的未预见用水量及管网漏损水量</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生活新水量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434</w:t>
            </w:r>
          </w:p>
        </w:tc>
        <w:tc>
          <w:tcPr>
            <w:tcW w:w="2663" w:type="dxa"/>
            <w:vAlign w:val="center"/>
          </w:tcPr>
          <w:p w:rsidR="00D228BE" w:rsidRPr="00677D1F" w:rsidRDefault="00D228BE" w:rsidP="00677D1F">
            <w:pPr>
              <w:contextualSpacing/>
              <w:jc w:val="center"/>
              <w:rPr>
                <w:kern w:val="0"/>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二次利用给水量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3362</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循环给水量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938856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循环回水量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938856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生活排水量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297</w:t>
            </w:r>
          </w:p>
        </w:tc>
        <w:tc>
          <w:tcPr>
            <w:tcW w:w="2663" w:type="dxa"/>
            <w:vAlign w:val="center"/>
          </w:tcPr>
          <w:p w:rsidR="00D228BE" w:rsidRPr="00677D1F" w:rsidRDefault="00332EB6" w:rsidP="00677D1F">
            <w:pPr>
              <w:pStyle w:val="TableParagraph"/>
              <w:contextualSpacing/>
              <w:jc w:val="center"/>
              <w:rPr>
                <w:rFonts w:ascii="宋体" w:eastAsia="宋体"/>
                <w:sz w:val="18"/>
                <w:szCs w:val="18"/>
                <w:lang w:eastAsia="zh-CN"/>
              </w:rPr>
            </w:pPr>
            <w:r w:rsidRPr="00677D1F">
              <w:rPr>
                <w:rFonts w:ascii="宋体" w:eastAsia="宋体" w:hint="eastAsia"/>
                <w:sz w:val="18"/>
                <w:szCs w:val="18"/>
                <w:lang w:eastAsia="zh-CN"/>
              </w:rPr>
              <w:t>去厂区污水处理站处理后</w:t>
            </w:r>
          </w:p>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回用</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生产排水量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3065</w:t>
            </w:r>
          </w:p>
        </w:tc>
        <w:tc>
          <w:tcPr>
            <w:tcW w:w="2663" w:type="dxa"/>
            <w:vAlign w:val="center"/>
          </w:tcPr>
          <w:p w:rsidR="00D228BE" w:rsidRPr="00677D1F" w:rsidRDefault="00332EB6" w:rsidP="00677D1F">
            <w:pPr>
              <w:pStyle w:val="TableParagraph"/>
              <w:contextualSpacing/>
              <w:jc w:val="center"/>
              <w:rPr>
                <w:rFonts w:ascii="宋体" w:eastAsia="宋体"/>
                <w:sz w:val="18"/>
                <w:szCs w:val="18"/>
                <w:lang w:eastAsia="zh-CN"/>
              </w:rPr>
            </w:pPr>
            <w:r w:rsidRPr="00677D1F">
              <w:rPr>
                <w:rFonts w:ascii="宋体" w:eastAsia="宋体" w:hint="eastAsia"/>
                <w:sz w:val="18"/>
                <w:szCs w:val="18"/>
                <w:lang w:eastAsia="zh-CN"/>
              </w:rPr>
              <w:t>去厂区废水处理站处理后</w:t>
            </w:r>
          </w:p>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回用</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损耗水量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w:t>
            </w:r>
            <w:r w:rsidRPr="00677D1F">
              <w:rPr>
                <w:sz w:val="18"/>
                <w:szCs w:val="18"/>
                <w:vertAlign w:val="superscript"/>
              </w:rPr>
              <w:t>3</w:t>
            </w:r>
            <w:r w:rsidRPr="00677D1F">
              <w:rPr>
                <w:sz w:val="18"/>
                <w:szCs w:val="18"/>
              </w:rPr>
              <w:t>/d</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21842</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4</w:t>
            </w:r>
            <w:r w:rsidRPr="00677D1F">
              <w:rPr>
                <w:sz w:val="18"/>
                <w:szCs w:val="18"/>
              </w:rPr>
              <w:t>.9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生产水重复利用率</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97.80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eastAsiaTheme="minorEastAsia"/>
                <w:b/>
                <w:sz w:val="18"/>
                <w:szCs w:val="18"/>
              </w:rPr>
            </w:pPr>
            <w:r w:rsidRPr="00677D1F">
              <w:rPr>
                <w:rFonts w:eastAsiaTheme="minorEastAsia" w:hint="eastAsia"/>
                <w:b/>
                <w:sz w:val="18"/>
                <w:szCs w:val="18"/>
              </w:rPr>
              <w:t>5</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总图运输</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D228BE" w:rsidP="00677D1F">
            <w:pPr>
              <w:pStyle w:val="TableParagraph"/>
              <w:contextualSpacing/>
              <w:jc w:val="center"/>
              <w:rPr>
                <w:rFonts w:ascii="Times New Roman"/>
                <w:b/>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厂区占地面积</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m2</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1038750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建构筑物占地面积</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m2</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409136</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建筑系数</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39.39</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道路铺砌面积</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m2</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176500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土石方工程量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m3</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1530000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.5.1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其中：填方</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m3</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700000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.5.2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挖方</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m3</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830000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厂外货物运输量</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687487</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.6.1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运入</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吨</w:t>
            </w:r>
            <w:r w:rsidRPr="00677D1F">
              <w:rPr>
                <w:sz w:val="18"/>
                <w:szCs w:val="18"/>
              </w:rPr>
              <w:t>/</w:t>
            </w:r>
            <w:r w:rsidRPr="00677D1F">
              <w:rPr>
                <w:rFonts w:ascii="宋体" w:eastAsia="宋体" w:hint="eastAsia"/>
                <w:sz w:val="18"/>
                <w:szCs w:val="18"/>
              </w:rPr>
              <w:t>年</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385712</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eastAsiaTheme="minorEastAsia"/>
                <w:sz w:val="18"/>
                <w:szCs w:val="18"/>
              </w:rPr>
            </w:pPr>
            <w:r w:rsidRPr="00677D1F">
              <w:rPr>
                <w:rFonts w:eastAsiaTheme="minorEastAsia" w:hint="eastAsia"/>
                <w:sz w:val="18"/>
                <w:szCs w:val="18"/>
              </w:rPr>
              <w:t>5</w:t>
            </w:r>
            <w:r w:rsidRPr="00677D1F">
              <w:rPr>
                <w:sz w:val="18"/>
                <w:szCs w:val="18"/>
              </w:rPr>
              <w:t>.6</w:t>
            </w:r>
            <w:r w:rsidRPr="00677D1F">
              <w:rPr>
                <w:rFonts w:eastAsiaTheme="minorEastAsia" w:hint="eastAsia"/>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运出</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吨</w:t>
            </w:r>
            <w:r w:rsidRPr="00677D1F">
              <w:rPr>
                <w:sz w:val="18"/>
                <w:szCs w:val="18"/>
              </w:rPr>
              <w:t>/</w:t>
            </w:r>
            <w:r w:rsidRPr="00677D1F">
              <w:rPr>
                <w:rFonts w:ascii="宋体" w:eastAsia="宋体" w:hint="eastAsia"/>
                <w:sz w:val="18"/>
                <w:szCs w:val="18"/>
              </w:rPr>
              <w:t>年</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301775</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容积率</w:t>
            </w:r>
          </w:p>
        </w:tc>
        <w:tc>
          <w:tcPr>
            <w:tcW w:w="1116" w:type="dxa"/>
            <w:vAlign w:val="center"/>
          </w:tcPr>
          <w:p w:rsidR="00D228BE" w:rsidRPr="00677D1F" w:rsidRDefault="00D228BE" w:rsidP="00677D1F">
            <w:pPr>
              <w:pStyle w:val="TableParagraph"/>
              <w:contextualSpacing/>
              <w:jc w:val="center"/>
              <w:rPr>
                <w:rFonts w:ascii="Times New Roman"/>
                <w:sz w:val="18"/>
                <w:szCs w:val="18"/>
              </w:rPr>
            </w:pP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0.78</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5</w:t>
            </w:r>
            <w:r w:rsidRPr="00677D1F">
              <w:rPr>
                <w:sz w:val="18"/>
                <w:szCs w:val="18"/>
              </w:rPr>
              <w:t>.8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厂区绿地率</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12.00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eastAsiaTheme="minorEastAsia"/>
                <w:b/>
                <w:sz w:val="18"/>
                <w:szCs w:val="18"/>
              </w:rPr>
            </w:pPr>
            <w:r w:rsidRPr="00677D1F">
              <w:rPr>
                <w:rFonts w:eastAsiaTheme="minorEastAsia" w:hint="eastAsia"/>
                <w:b/>
                <w:sz w:val="18"/>
                <w:szCs w:val="18"/>
              </w:rPr>
              <w:t>6</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劳动指标</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D228BE" w:rsidP="00677D1F">
            <w:pPr>
              <w:pStyle w:val="TableParagraph"/>
              <w:contextualSpacing/>
              <w:jc w:val="center"/>
              <w:rPr>
                <w:rFonts w:ascii="Times New Roman"/>
                <w:b/>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6</w:t>
            </w:r>
            <w:r w:rsidRPr="00677D1F">
              <w:rPr>
                <w:sz w:val="18"/>
                <w:szCs w:val="18"/>
              </w:rPr>
              <w:t>.1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劳动定员</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人</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3210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6</w:t>
            </w:r>
            <w:r w:rsidRPr="00677D1F">
              <w:rPr>
                <w:sz w:val="18"/>
                <w:szCs w:val="18"/>
              </w:rPr>
              <w:t>.1.1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其中：生产人员</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人</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2759</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6</w:t>
            </w:r>
            <w:r w:rsidRPr="00677D1F">
              <w:rPr>
                <w:sz w:val="18"/>
                <w:szCs w:val="18"/>
              </w:rPr>
              <w:t>.1.2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管理及服务人员</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人</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451</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lastRenderedPageBreak/>
              <w:t>6</w:t>
            </w:r>
            <w:r w:rsidRPr="00677D1F">
              <w:rPr>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工资总额及福利费</w:t>
            </w:r>
          </w:p>
        </w:tc>
        <w:tc>
          <w:tcPr>
            <w:tcW w:w="1116"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万元</w:t>
            </w:r>
            <w:r w:rsidRPr="00677D1F">
              <w:rPr>
                <w:sz w:val="18"/>
                <w:szCs w:val="18"/>
              </w:rPr>
              <w:t>/a</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33930</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6</w:t>
            </w:r>
            <w:r w:rsidRPr="00677D1F">
              <w:rPr>
                <w:sz w:val="18"/>
                <w:szCs w:val="18"/>
              </w:rPr>
              <w:t>.3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全员实物劳动生产率</w:t>
            </w:r>
          </w:p>
        </w:tc>
        <w:tc>
          <w:tcPr>
            <w:tcW w:w="1116" w:type="dxa"/>
            <w:vAlign w:val="center"/>
          </w:tcPr>
          <w:p w:rsidR="00D228BE" w:rsidRPr="00677D1F" w:rsidRDefault="00332EB6" w:rsidP="00677D1F">
            <w:pPr>
              <w:pStyle w:val="TableParagraph"/>
              <w:contextualSpacing/>
              <w:jc w:val="center"/>
              <w:rPr>
                <w:rFonts w:ascii="宋体" w:eastAsia="宋体" w:hAnsi="宋体"/>
                <w:sz w:val="18"/>
                <w:szCs w:val="18"/>
              </w:rPr>
            </w:pPr>
            <w:r w:rsidRPr="00677D1F">
              <w:rPr>
                <w:sz w:val="18"/>
                <w:szCs w:val="18"/>
              </w:rPr>
              <w:t>t/</w:t>
            </w:r>
            <w:r w:rsidRPr="00677D1F">
              <w:rPr>
                <w:rFonts w:ascii="宋体" w:eastAsia="宋体" w:hAnsi="宋体" w:hint="eastAsia"/>
                <w:sz w:val="18"/>
                <w:szCs w:val="18"/>
              </w:rPr>
              <w:t>人</w:t>
            </w:r>
            <w:r w:rsidRPr="00677D1F">
              <w:rPr>
                <w:sz w:val="18"/>
                <w:szCs w:val="18"/>
              </w:rPr>
              <w:t>·</w:t>
            </w:r>
            <w:r w:rsidRPr="00677D1F">
              <w:rPr>
                <w:rFonts w:ascii="宋体" w:eastAsia="宋体" w:hAnsi="宋体" w:hint="eastAsia"/>
                <w:sz w:val="18"/>
                <w:szCs w:val="18"/>
              </w:rPr>
              <w:t>年</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44.11</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rFonts w:eastAsiaTheme="minorEastAsia"/>
                <w:b/>
                <w:sz w:val="18"/>
                <w:szCs w:val="18"/>
              </w:rPr>
            </w:pPr>
            <w:r w:rsidRPr="00677D1F">
              <w:rPr>
                <w:rFonts w:eastAsiaTheme="minorEastAsia" w:hint="eastAsia"/>
                <w:b/>
                <w:sz w:val="18"/>
                <w:szCs w:val="18"/>
              </w:rPr>
              <w:t>7</w:t>
            </w:r>
          </w:p>
        </w:tc>
        <w:tc>
          <w:tcPr>
            <w:tcW w:w="2541" w:type="dxa"/>
            <w:vAlign w:val="center"/>
          </w:tcPr>
          <w:p w:rsidR="00D228BE" w:rsidRPr="00677D1F" w:rsidRDefault="00332EB6" w:rsidP="00677D1F">
            <w:pPr>
              <w:pStyle w:val="TableParagraph"/>
              <w:contextualSpacing/>
              <w:jc w:val="center"/>
              <w:rPr>
                <w:rFonts w:ascii="宋体" w:eastAsia="宋体"/>
                <w:b/>
                <w:sz w:val="18"/>
                <w:szCs w:val="18"/>
              </w:rPr>
            </w:pPr>
            <w:r w:rsidRPr="00677D1F">
              <w:rPr>
                <w:rFonts w:ascii="宋体" w:eastAsia="宋体" w:hint="eastAsia"/>
                <w:b/>
                <w:sz w:val="18"/>
                <w:szCs w:val="18"/>
              </w:rPr>
              <w:t>经济指标</w:t>
            </w:r>
          </w:p>
        </w:tc>
        <w:tc>
          <w:tcPr>
            <w:tcW w:w="1116" w:type="dxa"/>
            <w:vAlign w:val="center"/>
          </w:tcPr>
          <w:p w:rsidR="00D228BE" w:rsidRPr="00677D1F" w:rsidRDefault="00D228BE" w:rsidP="00677D1F">
            <w:pPr>
              <w:pStyle w:val="TableParagraph"/>
              <w:contextualSpacing/>
              <w:jc w:val="center"/>
              <w:rPr>
                <w:rFonts w:ascii="Times New Roman"/>
                <w:b/>
                <w:sz w:val="18"/>
                <w:szCs w:val="18"/>
              </w:rPr>
            </w:pPr>
          </w:p>
        </w:tc>
        <w:tc>
          <w:tcPr>
            <w:tcW w:w="1923" w:type="dxa"/>
            <w:vAlign w:val="center"/>
          </w:tcPr>
          <w:p w:rsidR="00D228BE" w:rsidRPr="00677D1F" w:rsidRDefault="00D228BE" w:rsidP="00677D1F">
            <w:pPr>
              <w:pStyle w:val="TableParagraph"/>
              <w:contextualSpacing/>
              <w:jc w:val="center"/>
              <w:rPr>
                <w:rFonts w:ascii="Times New Roman"/>
                <w:b/>
                <w:sz w:val="18"/>
                <w:szCs w:val="18"/>
              </w:rPr>
            </w:pPr>
          </w:p>
        </w:tc>
        <w:tc>
          <w:tcPr>
            <w:tcW w:w="2663" w:type="dxa"/>
            <w:vAlign w:val="center"/>
          </w:tcPr>
          <w:p w:rsidR="00D228BE" w:rsidRPr="00677D1F" w:rsidRDefault="00D228BE" w:rsidP="00677D1F">
            <w:pPr>
              <w:pStyle w:val="TableParagraph"/>
              <w:contextualSpacing/>
              <w:jc w:val="center"/>
              <w:rPr>
                <w:rFonts w:ascii="Times New Roman"/>
                <w:b/>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财务内部收益率</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15.19%</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税前</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财务内部收益率</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12.26%</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税后</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财务内部收益率</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15.74%</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资本金</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投资回收期</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8.53 </w:t>
            </w:r>
            <w:r w:rsidRPr="00677D1F">
              <w:rPr>
                <w:rFonts w:ascii="宋体" w:eastAsia="宋体" w:hint="eastAsia"/>
                <w:sz w:val="18"/>
                <w:szCs w:val="18"/>
              </w:rPr>
              <w:t>年</w:t>
            </w:r>
          </w:p>
        </w:tc>
        <w:tc>
          <w:tcPr>
            <w:tcW w:w="2663"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税前</w:t>
            </w:r>
            <w:r w:rsidRPr="00677D1F">
              <w:rPr>
                <w:rFonts w:ascii="宋体" w:eastAsia="宋体" w:hAnsi="宋体" w:cs="宋体" w:hint="eastAsia"/>
                <w:sz w:val="18"/>
                <w:szCs w:val="18"/>
              </w:rPr>
              <w:t>（</w:t>
            </w:r>
            <w:r w:rsidRPr="00677D1F">
              <w:rPr>
                <w:rFonts w:ascii="宋体" w:eastAsia="宋体" w:hint="eastAsia"/>
                <w:sz w:val="18"/>
                <w:szCs w:val="18"/>
              </w:rPr>
              <w:t xml:space="preserve">含 </w:t>
            </w:r>
            <w:r w:rsidRPr="00677D1F">
              <w:rPr>
                <w:sz w:val="18"/>
                <w:szCs w:val="18"/>
              </w:rPr>
              <w:t xml:space="preserve">3 </w:t>
            </w:r>
            <w:r w:rsidRPr="00677D1F">
              <w:rPr>
                <w:rFonts w:ascii="宋体" w:eastAsia="宋体" w:hint="eastAsia"/>
                <w:sz w:val="18"/>
                <w:szCs w:val="18"/>
              </w:rPr>
              <w:t>年建设期</w:t>
            </w:r>
            <w:r w:rsidRPr="00677D1F">
              <w:rPr>
                <w:rFonts w:ascii="宋体" w:eastAsia="宋体" w:hAnsi="宋体" w:cs="宋体" w:hint="eastAsia"/>
                <w:sz w:val="18"/>
                <w:szCs w:val="18"/>
              </w:rPr>
              <w:t>）</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投资回收期</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9.67 </w:t>
            </w:r>
            <w:r w:rsidRPr="00677D1F">
              <w:rPr>
                <w:rFonts w:ascii="宋体" w:eastAsia="宋体" w:hint="eastAsia"/>
                <w:sz w:val="18"/>
                <w:szCs w:val="18"/>
              </w:rPr>
              <w:t>年</w:t>
            </w:r>
          </w:p>
        </w:tc>
        <w:tc>
          <w:tcPr>
            <w:tcW w:w="2663"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税后</w:t>
            </w:r>
            <w:r w:rsidRPr="00677D1F">
              <w:rPr>
                <w:rFonts w:ascii="宋体" w:eastAsia="宋体" w:hAnsi="宋体" w:cs="宋体" w:hint="eastAsia"/>
                <w:sz w:val="18"/>
                <w:szCs w:val="18"/>
              </w:rPr>
              <w:t>（</w:t>
            </w:r>
            <w:r w:rsidRPr="00677D1F">
              <w:rPr>
                <w:rFonts w:ascii="宋体" w:eastAsia="宋体" w:hint="eastAsia"/>
                <w:sz w:val="18"/>
                <w:szCs w:val="18"/>
              </w:rPr>
              <w:t xml:space="preserve">含 </w:t>
            </w:r>
            <w:r w:rsidRPr="00677D1F">
              <w:rPr>
                <w:sz w:val="18"/>
                <w:szCs w:val="18"/>
              </w:rPr>
              <w:t xml:space="preserve">3 </w:t>
            </w:r>
            <w:r w:rsidRPr="00677D1F">
              <w:rPr>
                <w:rFonts w:ascii="宋体" w:eastAsia="宋体" w:hint="eastAsia"/>
                <w:sz w:val="18"/>
                <w:szCs w:val="18"/>
              </w:rPr>
              <w:t>年建设期</w:t>
            </w:r>
            <w:r w:rsidRPr="00677D1F">
              <w:rPr>
                <w:rFonts w:ascii="宋体" w:eastAsia="宋体" w:hAnsi="宋体" w:cs="宋体" w:hint="eastAsia"/>
                <w:sz w:val="18"/>
                <w:szCs w:val="18"/>
              </w:rPr>
              <w:t>）</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.6</w:t>
            </w:r>
          </w:p>
        </w:tc>
        <w:tc>
          <w:tcPr>
            <w:tcW w:w="2541"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财务净现值</w:t>
            </w:r>
            <w:r w:rsidRPr="00677D1F">
              <w:rPr>
                <w:rFonts w:ascii="宋体" w:eastAsia="宋体" w:hAnsi="宋体" w:cs="宋体" w:hint="eastAsia"/>
                <w:sz w:val="18"/>
                <w:szCs w:val="18"/>
              </w:rPr>
              <w:t>（</w:t>
            </w:r>
            <w:r w:rsidRPr="00677D1F">
              <w:rPr>
                <w:sz w:val="18"/>
                <w:szCs w:val="18"/>
              </w:rPr>
              <w:t>I=12%</w:t>
            </w:r>
            <w:r w:rsidRPr="00677D1F">
              <w:rPr>
                <w:rFonts w:ascii="宋体" w:eastAsia="宋体" w:hAnsi="宋体" w:cs="宋体" w:hint="eastAsia"/>
                <w:sz w:val="18"/>
                <w:szCs w:val="18"/>
              </w:rPr>
              <w:t>）</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206707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税前</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.7</w:t>
            </w:r>
          </w:p>
        </w:tc>
        <w:tc>
          <w:tcPr>
            <w:tcW w:w="2541" w:type="dxa"/>
            <w:vAlign w:val="center"/>
          </w:tcPr>
          <w:p w:rsidR="00D228BE" w:rsidRPr="00677D1F" w:rsidRDefault="00332EB6" w:rsidP="00677D1F">
            <w:pPr>
              <w:pStyle w:val="TableParagraph"/>
              <w:contextualSpacing/>
              <w:jc w:val="center"/>
              <w:rPr>
                <w:sz w:val="18"/>
                <w:szCs w:val="18"/>
              </w:rPr>
            </w:pPr>
            <w:r w:rsidRPr="00677D1F">
              <w:rPr>
                <w:rFonts w:ascii="宋体" w:eastAsia="宋体" w:hint="eastAsia"/>
                <w:sz w:val="18"/>
                <w:szCs w:val="18"/>
              </w:rPr>
              <w:t>财务净现值</w:t>
            </w:r>
            <w:r w:rsidRPr="00677D1F">
              <w:rPr>
                <w:rFonts w:ascii="宋体" w:eastAsia="宋体" w:hAnsi="宋体" w:cs="宋体" w:hint="eastAsia"/>
                <w:sz w:val="18"/>
                <w:szCs w:val="18"/>
              </w:rPr>
              <w:t>（</w:t>
            </w:r>
            <w:r w:rsidRPr="00677D1F">
              <w:rPr>
                <w:sz w:val="18"/>
                <w:szCs w:val="18"/>
              </w:rPr>
              <w:t>I=12%</w:t>
            </w:r>
            <w:r w:rsidRPr="00677D1F">
              <w:rPr>
                <w:rFonts w:ascii="宋体" w:eastAsia="宋体" w:hAnsi="宋体" w:cs="宋体" w:hint="eastAsia"/>
                <w:sz w:val="18"/>
                <w:szCs w:val="18"/>
              </w:rPr>
              <w:t>）</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15757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税后</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资产负债率</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73.0%</w:t>
            </w:r>
            <w:r w:rsidRPr="00677D1F">
              <w:rPr>
                <w:rFonts w:ascii="宋体" w:eastAsia="宋体" w:hint="eastAsia"/>
                <w:sz w:val="18"/>
                <w:szCs w:val="18"/>
              </w:rPr>
              <w:t>～</w:t>
            </w:r>
            <w:r w:rsidRPr="00677D1F">
              <w:rPr>
                <w:sz w:val="18"/>
                <w:szCs w:val="18"/>
              </w:rPr>
              <w:t>11.7%</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年营业收入</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600302 </w:t>
            </w:r>
            <w:r w:rsidRPr="00677D1F">
              <w:rPr>
                <w:rFonts w:ascii="宋体" w:eastAsia="宋体" w:hint="eastAsia"/>
                <w:sz w:val="18"/>
                <w:szCs w:val="18"/>
              </w:rPr>
              <w:t>万元</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.10</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年应纳增值税</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42068 </w:t>
            </w:r>
            <w:r w:rsidRPr="00677D1F">
              <w:rPr>
                <w:rFonts w:ascii="宋体" w:eastAsia="宋体" w:hint="eastAsia"/>
                <w:sz w:val="18"/>
                <w:szCs w:val="18"/>
              </w:rPr>
              <w:t>万元</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.11</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年营业税金及附加</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5048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达产年平均</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.12</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年总成本费用</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482013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达产年平均</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.13</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年利润总额</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113241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达产年平均</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.14</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年缴纳所得税</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28310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税前</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.15</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资本金比例</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30.0%</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税后</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.16</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资本金</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293948 </w:t>
            </w:r>
            <w:r w:rsidRPr="00677D1F">
              <w:rPr>
                <w:rFonts w:ascii="宋体" w:eastAsia="宋体" w:hint="eastAsia"/>
                <w:sz w:val="18"/>
                <w:szCs w:val="18"/>
              </w:rPr>
              <w:t>万元</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.17</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总投资</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979768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lang w:eastAsia="zh-CN"/>
              </w:rPr>
            </w:pPr>
            <w:r w:rsidRPr="00677D1F">
              <w:rPr>
                <w:rFonts w:ascii="宋体" w:eastAsia="宋体" w:hint="eastAsia"/>
                <w:sz w:val="18"/>
                <w:szCs w:val="18"/>
                <w:lang w:eastAsia="zh-CN"/>
              </w:rPr>
              <w:t>计算资本金基数的总投资</w:t>
            </w:r>
          </w:p>
        </w:tc>
      </w:tr>
      <w:tr w:rsidR="00D228BE" w:rsidRPr="00677D1F">
        <w:trPr>
          <w:trHeight w:val="340"/>
          <w:jc w:val="center"/>
        </w:trPr>
        <w:tc>
          <w:tcPr>
            <w:tcW w:w="829" w:type="dxa"/>
            <w:vAlign w:val="center"/>
          </w:tcPr>
          <w:p w:rsidR="00D228BE" w:rsidRPr="00677D1F" w:rsidRDefault="00D228BE" w:rsidP="00677D1F">
            <w:pPr>
              <w:pStyle w:val="TableParagraph"/>
              <w:contextualSpacing/>
              <w:jc w:val="center"/>
              <w:rPr>
                <w:rFonts w:ascii="Times New Roman"/>
                <w:sz w:val="18"/>
                <w:szCs w:val="18"/>
                <w:lang w:eastAsia="zh-CN"/>
              </w:rPr>
            </w:pP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其中：建设投资</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年</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877020 </w:t>
            </w:r>
            <w:r w:rsidRPr="00677D1F">
              <w:rPr>
                <w:rFonts w:ascii="宋体" w:eastAsia="宋体" w:hint="eastAsia"/>
                <w:sz w:val="18"/>
                <w:szCs w:val="18"/>
              </w:rPr>
              <w:t>万元</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D228BE" w:rsidP="00677D1F">
            <w:pPr>
              <w:pStyle w:val="TableParagraph"/>
              <w:contextualSpacing/>
              <w:jc w:val="center"/>
              <w:rPr>
                <w:rFonts w:ascii="Times New Roman"/>
                <w:sz w:val="18"/>
                <w:szCs w:val="18"/>
              </w:rPr>
            </w:pP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建设期利息</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62961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 xml:space="preserve">建设期 </w:t>
            </w:r>
            <w:r w:rsidRPr="00677D1F">
              <w:rPr>
                <w:sz w:val="18"/>
                <w:szCs w:val="18"/>
              </w:rPr>
              <w:t xml:space="preserve">3 </w:t>
            </w:r>
            <w:r w:rsidRPr="00677D1F">
              <w:rPr>
                <w:rFonts w:ascii="宋体" w:eastAsia="宋体" w:hint="eastAsia"/>
                <w:sz w:val="18"/>
                <w:szCs w:val="18"/>
              </w:rPr>
              <w:t>年</w:t>
            </w:r>
          </w:p>
        </w:tc>
      </w:tr>
      <w:tr w:rsidR="00D228BE" w:rsidRPr="00677D1F">
        <w:trPr>
          <w:trHeight w:val="340"/>
          <w:jc w:val="center"/>
        </w:trPr>
        <w:tc>
          <w:tcPr>
            <w:tcW w:w="829" w:type="dxa"/>
            <w:vAlign w:val="center"/>
          </w:tcPr>
          <w:p w:rsidR="00D228BE" w:rsidRPr="00677D1F" w:rsidRDefault="00D228BE" w:rsidP="00677D1F">
            <w:pPr>
              <w:pStyle w:val="TableParagraph"/>
              <w:contextualSpacing/>
              <w:jc w:val="center"/>
              <w:rPr>
                <w:rFonts w:ascii="Times New Roman"/>
                <w:sz w:val="18"/>
                <w:szCs w:val="18"/>
              </w:rPr>
            </w:pP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铺底流动资金</w:t>
            </w:r>
          </w:p>
        </w:tc>
        <w:tc>
          <w:tcPr>
            <w:tcW w:w="1116"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万元</w:t>
            </w:r>
          </w:p>
        </w:tc>
        <w:tc>
          <w:tcPr>
            <w:tcW w:w="1923" w:type="dxa"/>
            <w:vAlign w:val="center"/>
          </w:tcPr>
          <w:p w:rsidR="00D228BE" w:rsidRPr="00677D1F" w:rsidRDefault="00332EB6" w:rsidP="00677D1F">
            <w:pPr>
              <w:pStyle w:val="TableParagraph"/>
              <w:contextualSpacing/>
              <w:jc w:val="center"/>
              <w:rPr>
                <w:rFonts w:ascii="宋体" w:eastAsia="宋体"/>
                <w:sz w:val="18"/>
                <w:szCs w:val="18"/>
              </w:rPr>
            </w:pPr>
            <w:r w:rsidRPr="00677D1F">
              <w:rPr>
                <w:sz w:val="18"/>
                <w:szCs w:val="18"/>
              </w:rPr>
              <w:t xml:space="preserve">39787 </w:t>
            </w:r>
            <w:r w:rsidRPr="00677D1F">
              <w:rPr>
                <w:rFonts w:ascii="宋体" w:eastAsia="宋体" w:hint="eastAsia"/>
                <w:sz w:val="18"/>
                <w:szCs w:val="18"/>
              </w:rPr>
              <w:t>万元</w:t>
            </w:r>
          </w:p>
        </w:tc>
        <w:tc>
          <w:tcPr>
            <w:tcW w:w="2663"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税后</w:t>
            </w: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.18</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总投资收益率</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12.9%</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r w:rsidR="00D228BE" w:rsidRPr="00677D1F">
        <w:trPr>
          <w:trHeight w:val="340"/>
          <w:jc w:val="center"/>
        </w:trPr>
        <w:tc>
          <w:tcPr>
            <w:tcW w:w="829" w:type="dxa"/>
            <w:vAlign w:val="center"/>
          </w:tcPr>
          <w:p w:rsidR="00D228BE" w:rsidRPr="00677D1F" w:rsidRDefault="00332EB6" w:rsidP="00677D1F">
            <w:pPr>
              <w:pStyle w:val="TableParagraph"/>
              <w:contextualSpacing/>
              <w:jc w:val="center"/>
              <w:rPr>
                <w:sz w:val="18"/>
                <w:szCs w:val="18"/>
              </w:rPr>
            </w:pPr>
            <w:r w:rsidRPr="00677D1F">
              <w:rPr>
                <w:rFonts w:eastAsiaTheme="minorEastAsia" w:hint="eastAsia"/>
                <w:sz w:val="18"/>
                <w:szCs w:val="18"/>
              </w:rPr>
              <w:t>7</w:t>
            </w:r>
            <w:r w:rsidRPr="00677D1F">
              <w:rPr>
                <w:sz w:val="18"/>
                <w:szCs w:val="18"/>
              </w:rPr>
              <w:t>.19</w:t>
            </w:r>
          </w:p>
        </w:tc>
        <w:tc>
          <w:tcPr>
            <w:tcW w:w="2541" w:type="dxa"/>
            <w:vAlign w:val="center"/>
          </w:tcPr>
          <w:p w:rsidR="00D228BE" w:rsidRPr="00677D1F" w:rsidRDefault="00332EB6" w:rsidP="00677D1F">
            <w:pPr>
              <w:pStyle w:val="TableParagraph"/>
              <w:contextualSpacing/>
              <w:jc w:val="center"/>
              <w:rPr>
                <w:rFonts w:ascii="宋体" w:eastAsia="宋体"/>
                <w:sz w:val="18"/>
                <w:szCs w:val="18"/>
              </w:rPr>
            </w:pPr>
            <w:r w:rsidRPr="00677D1F">
              <w:rPr>
                <w:rFonts w:ascii="宋体" w:eastAsia="宋体" w:hint="eastAsia"/>
                <w:sz w:val="18"/>
                <w:szCs w:val="18"/>
              </w:rPr>
              <w:t>资本金净利润率</w:t>
            </w:r>
          </w:p>
        </w:tc>
        <w:tc>
          <w:tcPr>
            <w:tcW w:w="1116" w:type="dxa"/>
            <w:vAlign w:val="center"/>
          </w:tcPr>
          <w:p w:rsidR="00D228BE" w:rsidRPr="00677D1F" w:rsidRDefault="00332EB6" w:rsidP="00677D1F">
            <w:pPr>
              <w:pStyle w:val="TableParagraph"/>
              <w:contextualSpacing/>
              <w:jc w:val="center"/>
              <w:rPr>
                <w:sz w:val="18"/>
                <w:szCs w:val="18"/>
              </w:rPr>
            </w:pPr>
            <w:r w:rsidRPr="00677D1F">
              <w:rPr>
                <w:sz w:val="18"/>
                <w:szCs w:val="18"/>
              </w:rPr>
              <w:t>%</w:t>
            </w:r>
          </w:p>
        </w:tc>
        <w:tc>
          <w:tcPr>
            <w:tcW w:w="1923" w:type="dxa"/>
            <w:vAlign w:val="center"/>
          </w:tcPr>
          <w:p w:rsidR="00D228BE" w:rsidRPr="00677D1F" w:rsidRDefault="00332EB6" w:rsidP="00677D1F">
            <w:pPr>
              <w:pStyle w:val="TableParagraph"/>
              <w:contextualSpacing/>
              <w:jc w:val="center"/>
              <w:rPr>
                <w:sz w:val="18"/>
                <w:szCs w:val="18"/>
              </w:rPr>
            </w:pPr>
            <w:r w:rsidRPr="00677D1F">
              <w:rPr>
                <w:sz w:val="18"/>
                <w:szCs w:val="18"/>
              </w:rPr>
              <w:t>28.9%</w:t>
            </w:r>
          </w:p>
        </w:tc>
        <w:tc>
          <w:tcPr>
            <w:tcW w:w="2663" w:type="dxa"/>
            <w:vAlign w:val="center"/>
          </w:tcPr>
          <w:p w:rsidR="00D228BE" w:rsidRPr="00677D1F" w:rsidRDefault="00D228BE" w:rsidP="00677D1F">
            <w:pPr>
              <w:pStyle w:val="TableParagraph"/>
              <w:contextualSpacing/>
              <w:jc w:val="center"/>
              <w:rPr>
                <w:rFonts w:ascii="Times New Roman"/>
                <w:sz w:val="18"/>
                <w:szCs w:val="18"/>
              </w:rPr>
            </w:pP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3.2</w:t>
      </w:r>
      <w:r w:rsidRPr="00677D1F">
        <w:rPr>
          <w:rFonts w:ascii="宋体" w:hAnsi="宋体" w:hint="eastAsia"/>
          <w:bCs w:val="0"/>
          <w:kern w:val="2"/>
          <w:sz w:val="30"/>
          <w:szCs w:val="30"/>
        </w:rPr>
        <w:t>公用工程及其它辅助设施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w:t>
      </w:r>
      <w:r w:rsidRPr="00677D1F">
        <w:rPr>
          <w:rFonts w:ascii="宋体" w:hAnsi="宋体" w:hint="eastAsia"/>
          <w:sz w:val="28"/>
          <w:szCs w:val="28"/>
        </w:rPr>
        <w:t xml:space="preserve"> </w:t>
      </w:r>
      <w:r w:rsidRPr="00677D1F">
        <w:rPr>
          <w:rFonts w:ascii="宋体" w:hAnsi="宋体"/>
          <w:sz w:val="28"/>
          <w:szCs w:val="28"/>
        </w:rPr>
        <w:t>1</w:t>
      </w:r>
      <w:r w:rsidRPr="00677D1F">
        <w:rPr>
          <w:rFonts w:ascii="宋体" w:hAnsi="宋体" w:hint="eastAsia"/>
          <w:sz w:val="28"/>
          <w:szCs w:val="28"/>
        </w:rPr>
        <w:t>给排水</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3.2.1.1</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给排水量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（1）用水定额</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生产用水量根据生产工艺要求确定，为节约新水用量，根据各车间用水特点和对水质、水压的不同要求，对全厂主要生产用水设备尽量采用循环水，其余用水定额为车间生活用水量</w:t>
      </w:r>
      <w:r w:rsidRPr="00677D1F">
        <w:rPr>
          <w:rFonts w:ascii="宋体" w:eastAsia="宋体" w:hAnsi="宋体" w:cs="宋体"/>
          <w:color w:val="000000"/>
          <w:kern w:val="0"/>
          <w:sz w:val="24"/>
          <w:szCs w:val="24"/>
        </w:rPr>
        <w:t>50L/</w:t>
      </w:r>
      <w:r w:rsidRPr="00677D1F">
        <w:rPr>
          <w:rFonts w:ascii="宋体" w:eastAsia="宋体" w:hAnsi="宋体" w:cs="宋体" w:hint="eastAsia"/>
          <w:color w:val="000000"/>
          <w:kern w:val="0"/>
          <w:sz w:val="24"/>
          <w:szCs w:val="24"/>
        </w:rPr>
        <w:t>人</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班，车间淋浴用水量</w:t>
      </w:r>
      <w:r w:rsidRPr="00677D1F">
        <w:rPr>
          <w:rFonts w:ascii="宋体" w:eastAsia="宋体" w:hAnsi="宋体" w:cs="宋体"/>
          <w:color w:val="000000"/>
          <w:kern w:val="0"/>
          <w:sz w:val="24"/>
          <w:szCs w:val="24"/>
        </w:rPr>
        <w:t>60L/</w:t>
      </w:r>
      <w:r w:rsidRPr="00677D1F">
        <w:rPr>
          <w:rFonts w:ascii="宋体" w:eastAsia="宋体" w:hAnsi="宋体" w:cs="宋体" w:hint="eastAsia"/>
          <w:color w:val="000000"/>
          <w:kern w:val="0"/>
          <w:sz w:val="24"/>
          <w:szCs w:val="24"/>
        </w:rPr>
        <w:t>人</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班，绿化用水量</w:t>
      </w:r>
      <w:r w:rsidRPr="00677D1F">
        <w:rPr>
          <w:rFonts w:ascii="宋体" w:eastAsia="宋体" w:hAnsi="宋体" w:cs="宋体"/>
          <w:color w:val="000000"/>
          <w:kern w:val="0"/>
          <w:sz w:val="24"/>
          <w:szCs w:val="24"/>
        </w:rPr>
        <w:t>3.0L/m2·d</w:t>
      </w:r>
      <w:r w:rsidRPr="00677D1F">
        <w:rPr>
          <w:rFonts w:ascii="宋体" w:eastAsia="宋体" w:hAnsi="宋体" w:cs="宋体" w:hint="eastAsia"/>
          <w:color w:val="000000"/>
          <w:kern w:val="0"/>
          <w:sz w:val="24"/>
          <w:szCs w:val="24"/>
        </w:rPr>
        <w:t>，浇洒道路用水量</w:t>
      </w:r>
      <w:r w:rsidRPr="00677D1F">
        <w:rPr>
          <w:rFonts w:ascii="宋体" w:eastAsia="宋体" w:hAnsi="宋体" w:cs="宋体"/>
          <w:color w:val="000000"/>
          <w:kern w:val="0"/>
          <w:sz w:val="24"/>
          <w:szCs w:val="24"/>
        </w:rPr>
        <w:t>3.0L/m2·d</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根据《建筑设计防火规范》</w:t>
      </w:r>
      <w:r w:rsidRPr="00677D1F">
        <w:rPr>
          <w:rFonts w:ascii="宋体" w:eastAsia="宋体" w:hAnsi="宋体" w:cs="宋体"/>
          <w:color w:val="000000"/>
          <w:kern w:val="0"/>
          <w:sz w:val="24"/>
          <w:szCs w:val="24"/>
        </w:rPr>
        <w:t>（GB50016-2006）</w:t>
      </w:r>
      <w:r w:rsidRPr="00677D1F">
        <w:rPr>
          <w:rFonts w:ascii="宋体" w:eastAsia="宋体" w:hAnsi="宋体" w:cs="宋体" w:hint="eastAsia"/>
          <w:color w:val="000000"/>
          <w:kern w:val="0"/>
          <w:sz w:val="24"/>
          <w:szCs w:val="24"/>
        </w:rPr>
        <w:t>的有关规定，本工程火灾次数按</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次考虑，控制性建筑物为原料库，消防用水量为：室外消火栓用水量为</w:t>
      </w:r>
      <w:r w:rsidRPr="00677D1F">
        <w:rPr>
          <w:rFonts w:ascii="宋体" w:eastAsia="宋体" w:hAnsi="宋体" w:cs="宋体"/>
          <w:color w:val="000000"/>
          <w:kern w:val="0"/>
          <w:sz w:val="24"/>
          <w:szCs w:val="24"/>
        </w:rPr>
        <w:t>35L/s</w:t>
      </w:r>
      <w:r w:rsidRPr="00677D1F">
        <w:rPr>
          <w:rFonts w:ascii="宋体" w:eastAsia="宋体" w:hAnsi="宋体" w:cs="宋体" w:hint="eastAsia"/>
          <w:color w:val="000000"/>
          <w:kern w:val="0"/>
          <w:sz w:val="24"/>
          <w:szCs w:val="24"/>
        </w:rPr>
        <w:t>；室内消火栓用水量为</w:t>
      </w:r>
      <w:r w:rsidRPr="00677D1F">
        <w:rPr>
          <w:rFonts w:ascii="宋体" w:eastAsia="宋体" w:hAnsi="宋体" w:cs="宋体"/>
          <w:color w:val="000000"/>
          <w:kern w:val="0"/>
          <w:sz w:val="24"/>
          <w:szCs w:val="24"/>
        </w:rPr>
        <w:t>10L/s</w:t>
      </w:r>
      <w:r w:rsidRPr="00677D1F">
        <w:rPr>
          <w:rFonts w:ascii="宋体" w:eastAsia="宋体" w:hAnsi="宋体" w:cs="宋体" w:hint="eastAsia"/>
          <w:color w:val="000000"/>
          <w:kern w:val="0"/>
          <w:sz w:val="24"/>
          <w:szCs w:val="24"/>
        </w:rPr>
        <w:t>，火灾延续时间为</w:t>
      </w:r>
      <w:r w:rsidRPr="00677D1F">
        <w:rPr>
          <w:rFonts w:ascii="宋体" w:eastAsia="宋体" w:hAnsi="宋体" w:cs="宋体"/>
          <w:color w:val="000000"/>
          <w:kern w:val="0"/>
          <w:sz w:val="24"/>
          <w:szCs w:val="24"/>
        </w:rPr>
        <w:t>3.0h</w:t>
      </w:r>
      <w:r w:rsidRPr="00677D1F">
        <w:rPr>
          <w:rFonts w:ascii="宋体" w:eastAsia="宋体" w:hAnsi="宋体" w:cs="宋体" w:hint="eastAsia"/>
          <w:color w:val="000000"/>
          <w:kern w:val="0"/>
          <w:sz w:val="24"/>
          <w:szCs w:val="24"/>
        </w:rPr>
        <w:t>，则一次消防用水总量为</w:t>
      </w:r>
      <w:r w:rsidRPr="00677D1F">
        <w:rPr>
          <w:rFonts w:ascii="宋体" w:eastAsia="宋体" w:hAnsi="宋体" w:cs="宋体"/>
          <w:color w:val="000000"/>
          <w:kern w:val="0"/>
          <w:sz w:val="24"/>
          <w:szCs w:val="24"/>
        </w:rPr>
        <w:t>486m3/</w:t>
      </w:r>
      <w:r w:rsidRPr="00677D1F">
        <w:rPr>
          <w:rFonts w:ascii="宋体" w:eastAsia="宋体" w:hAnsi="宋体" w:cs="宋体" w:hint="eastAsia"/>
          <w:color w:val="000000"/>
          <w:kern w:val="0"/>
          <w:sz w:val="24"/>
          <w:szCs w:val="24"/>
        </w:rPr>
        <w:t>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未预见水量及管网漏损水量按新水总量的</w:t>
      </w:r>
      <w:r w:rsidRPr="00677D1F">
        <w:rPr>
          <w:rFonts w:ascii="宋体" w:eastAsia="宋体" w:hAnsi="宋体" w:cs="宋体"/>
          <w:color w:val="000000"/>
          <w:kern w:val="0"/>
          <w:sz w:val="24"/>
          <w:szCs w:val="24"/>
        </w:rPr>
        <w:t>20%</w:t>
      </w:r>
      <w:r w:rsidRPr="00677D1F">
        <w:rPr>
          <w:rFonts w:ascii="宋体" w:eastAsia="宋体" w:hAnsi="宋体" w:cs="宋体" w:hint="eastAsia"/>
          <w:color w:val="000000"/>
          <w:kern w:val="0"/>
          <w:sz w:val="24"/>
          <w:szCs w:val="24"/>
        </w:rPr>
        <w:t>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给排水量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该工程生活新水量</w:t>
      </w:r>
      <w:r w:rsidRPr="00677D1F">
        <w:rPr>
          <w:rFonts w:ascii="宋体" w:eastAsia="宋体" w:hAnsi="宋体" w:cs="宋体"/>
          <w:color w:val="000000"/>
          <w:kern w:val="0"/>
          <w:sz w:val="24"/>
          <w:szCs w:val="24"/>
        </w:rPr>
        <w:t>181m3/d</w:t>
      </w:r>
      <w:r w:rsidRPr="00677D1F">
        <w:rPr>
          <w:rFonts w:ascii="宋体" w:eastAsia="宋体" w:hAnsi="宋体" w:cs="宋体" w:hint="eastAsia"/>
          <w:color w:val="000000"/>
          <w:kern w:val="0"/>
          <w:sz w:val="24"/>
          <w:szCs w:val="24"/>
        </w:rPr>
        <w:t>，生产新水量</w:t>
      </w:r>
      <w:r w:rsidRPr="00677D1F">
        <w:rPr>
          <w:rFonts w:ascii="宋体" w:eastAsia="宋体" w:hAnsi="宋体" w:cs="宋体"/>
          <w:color w:val="000000"/>
          <w:kern w:val="0"/>
          <w:sz w:val="24"/>
          <w:szCs w:val="24"/>
        </w:rPr>
        <w:t>4621m3/d</w:t>
      </w:r>
      <w:r w:rsidRPr="00677D1F">
        <w:rPr>
          <w:rFonts w:ascii="宋体" w:eastAsia="宋体" w:hAnsi="宋体" w:cs="宋体" w:hint="eastAsia"/>
          <w:color w:val="000000"/>
          <w:kern w:val="0"/>
          <w:sz w:val="24"/>
          <w:szCs w:val="24"/>
        </w:rPr>
        <w:t>，二次利用给水</w:t>
      </w:r>
      <w:r w:rsidRPr="00677D1F">
        <w:rPr>
          <w:rFonts w:ascii="宋体" w:eastAsia="宋体" w:hAnsi="宋体" w:cs="宋体"/>
          <w:color w:val="000000"/>
          <w:kern w:val="0"/>
          <w:sz w:val="24"/>
          <w:szCs w:val="24"/>
        </w:rPr>
        <w:t>1978m3/d</w:t>
      </w:r>
      <w:r w:rsidRPr="00677D1F">
        <w:rPr>
          <w:rFonts w:ascii="宋体" w:eastAsia="宋体" w:hAnsi="宋体" w:cs="宋体" w:hint="eastAsia"/>
          <w:color w:val="000000"/>
          <w:kern w:val="0"/>
          <w:sz w:val="24"/>
          <w:szCs w:val="24"/>
        </w:rPr>
        <w:t>，循环给水量</w:t>
      </w:r>
      <w:r w:rsidRPr="00677D1F">
        <w:rPr>
          <w:rFonts w:ascii="宋体" w:eastAsia="宋体" w:hAnsi="宋体" w:cs="宋体"/>
          <w:color w:val="000000"/>
          <w:kern w:val="0"/>
          <w:sz w:val="24"/>
          <w:szCs w:val="24"/>
        </w:rPr>
        <w:t>211392m3/d</w:t>
      </w:r>
      <w:r w:rsidRPr="00677D1F">
        <w:rPr>
          <w:rFonts w:ascii="宋体" w:eastAsia="宋体" w:hAnsi="宋体" w:cs="宋体" w:hint="eastAsia"/>
          <w:color w:val="000000"/>
          <w:kern w:val="0"/>
          <w:sz w:val="24"/>
          <w:szCs w:val="24"/>
        </w:rPr>
        <w:t>，循环回水量</w:t>
      </w:r>
      <w:r w:rsidRPr="00677D1F">
        <w:rPr>
          <w:rFonts w:ascii="宋体" w:eastAsia="宋体" w:hAnsi="宋体" w:cs="宋体"/>
          <w:color w:val="000000"/>
          <w:kern w:val="0"/>
          <w:sz w:val="24"/>
          <w:szCs w:val="24"/>
        </w:rPr>
        <w:t>211392m3/d</w:t>
      </w:r>
      <w:r w:rsidRPr="00677D1F">
        <w:rPr>
          <w:rFonts w:ascii="宋体" w:eastAsia="宋体" w:hAnsi="宋体" w:cs="宋体" w:hint="eastAsia"/>
          <w:color w:val="000000"/>
          <w:kern w:val="0"/>
          <w:sz w:val="24"/>
          <w:szCs w:val="24"/>
        </w:rPr>
        <w:t>，二次利用回水</w:t>
      </w:r>
      <w:r w:rsidRPr="00677D1F">
        <w:rPr>
          <w:rFonts w:ascii="宋体" w:eastAsia="宋体" w:hAnsi="宋体" w:cs="宋体"/>
          <w:color w:val="000000"/>
          <w:kern w:val="0"/>
          <w:sz w:val="24"/>
          <w:szCs w:val="24"/>
        </w:rPr>
        <w:t>1978m3/d</w:t>
      </w:r>
      <w:r w:rsidRPr="00677D1F">
        <w:rPr>
          <w:rFonts w:ascii="宋体" w:eastAsia="宋体" w:hAnsi="宋体" w:cs="宋体" w:hint="eastAsia"/>
          <w:color w:val="000000"/>
          <w:kern w:val="0"/>
          <w:sz w:val="24"/>
          <w:szCs w:val="24"/>
        </w:rPr>
        <w:t>，损耗水量</w:t>
      </w:r>
      <w:r w:rsidRPr="00677D1F">
        <w:rPr>
          <w:rFonts w:ascii="宋体" w:eastAsia="宋体" w:hAnsi="宋体" w:cs="宋体"/>
          <w:color w:val="000000"/>
          <w:kern w:val="0"/>
          <w:sz w:val="24"/>
          <w:szCs w:val="24"/>
        </w:rPr>
        <w:t>4802m3/d</w:t>
      </w:r>
      <w:r w:rsidRPr="00677D1F">
        <w:rPr>
          <w:rFonts w:ascii="宋体" w:eastAsia="宋体" w:hAnsi="宋体" w:cs="宋体" w:hint="eastAsia"/>
          <w:color w:val="000000"/>
          <w:kern w:val="0"/>
          <w:sz w:val="24"/>
          <w:szCs w:val="24"/>
        </w:rPr>
        <w:t>，生产水重复利用率</w:t>
      </w:r>
      <w:r w:rsidRPr="00677D1F">
        <w:rPr>
          <w:rFonts w:ascii="宋体" w:eastAsia="宋体" w:hAnsi="宋体" w:cs="宋体"/>
          <w:color w:val="000000"/>
          <w:kern w:val="0"/>
          <w:sz w:val="24"/>
          <w:szCs w:val="24"/>
        </w:rPr>
        <w:t>97.88%</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本项目用水情况见表</w:t>
      </w:r>
      <w:r w:rsidRPr="00677D1F">
        <w:rPr>
          <w:rFonts w:ascii="宋体" w:eastAsia="宋体" w:hAnsi="宋体" w:cs="宋体"/>
          <w:color w:val="000000"/>
          <w:kern w:val="0"/>
          <w:sz w:val="24"/>
          <w:szCs w:val="24"/>
        </w:rPr>
        <w:t>3.2-1</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3.2.1.2</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水源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本项目用水由哈密工业园重工业加工区供水管网供给。重工业加工区水源由哈密鲁能煤电化基地电厂向大南湖煤矿的供水管道以及地区统筹调配地表水解决，水源为榆树沟水库地表水。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厂区所需生产、生活、消防用水由园区负责供到厂区界外，经加压泵房加压后向全厂给水管网供给。生产、消防用水水量为</w:t>
      </w:r>
      <w:r w:rsidRPr="00677D1F">
        <w:rPr>
          <w:rFonts w:ascii="宋体" w:eastAsia="宋体" w:hAnsi="宋体" w:cs="宋体"/>
          <w:color w:val="000000"/>
          <w:kern w:val="0"/>
          <w:sz w:val="24"/>
          <w:szCs w:val="24"/>
        </w:rPr>
        <w:t>6031m3/d</w:t>
      </w:r>
      <w:r w:rsidRPr="00677D1F">
        <w:rPr>
          <w:rFonts w:ascii="宋体" w:eastAsia="宋体" w:hAnsi="宋体" w:cs="宋体" w:hint="eastAsia"/>
          <w:color w:val="000000"/>
          <w:kern w:val="0"/>
          <w:sz w:val="24"/>
          <w:szCs w:val="24"/>
        </w:rPr>
        <w:t>。生活用水水量为</w:t>
      </w:r>
      <w:r w:rsidRPr="00677D1F">
        <w:rPr>
          <w:rFonts w:ascii="宋体" w:eastAsia="宋体" w:hAnsi="宋体" w:cs="宋体"/>
          <w:color w:val="000000"/>
          <w:kern w:val="0"/>
          <w:sz w:val="24"/>
          <w:szCs w:val="24"/>
        </w:rPr>
        <w:t>217m3/d</w:t>
      </w:r>
      <w:r w:rsidRPr="00677D1F">
        <w:rPr>
          <w:rFonts w:ascii="宋体" w:eastAsia="宋体" w:hAnsi="宋体" w:cs="宋体" w:hint="eastAsia"/>
          <w:color w:val="000000"/>
          <w:kern w:val="0"/>
          <w:sz w:val="24"/>
          <w:szCs w:val="24"/>
        </w:rPr>
        <w:t>（含</w:t>
      </w:r>
      <w:r w:rsidRPr="00677D1F">
        <w:rPr>
          <w:rFonts w:ascii="宋体" w:eastAsia="宋体" w:hAnsi="宋体" w:cs="宋体"/>
          <w:color w:val="000000"/>
          <w:kern w:val="0"/>
          <w:sz w:val="24"/>
          <w:szCs w:val="24"/>
        </w:rPr>
        <w:t>20%</w:t>
      </w:r>
      <w:r w:rsidRPr="00677D1F">
        <w:rPr>
          <w:rFonts w:ascii="宋体" w:eastAsia="宋体" w:hAnsi="宋体" w:cs="宋体" w:hint="eastAsia"/>
          <w:color w:val="000000"/>
          <w:kern w:val="0"/>
          <w:sz w:val="24"/>
          <w:szCs w:val="24"/>
        </w:rPr>
        <w:t>的未预见水量）。</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为了调节用水量的变化，贮存消防用水，在厂区内设置加压泵站。加压泵房采用半地下式泵房，加压泵房内的生产、生活水系统独立设置，分别加压。按生产、消防、生活最大时用水量进行设计。系统设有生产、消防加压水泵、生活加压水泵、起重设备等主要设备。生产贮水池的有效容积为</w:t>
      </w:r>
      <w:r w:rsidRPr="00677D1F">
        <w:rPr>
          <w:rFonts w:ascii="宋体" w:eastAsia="宋体" w:hAnsi="宋体" w:cs="宋体"/>
          <w:color w:val="000000"/>
          <w:kern w:val="0"/>
          <w:sz w:val="24"/>
          <w:szCs w:val="24"/>
        </w:rPr>
        <w:t>6000m3</w:t>
      </w:r>
      <w:r w:rsidRPr="00677D1F">
        <w:rPr>
          <w:rFonts w:ascii="宋体" w:eastAsia="宋体" w:hAnsi="宋体" w:cs="宋体" w:hint="eastAsia"/>
          <w:color w:val="000000"/>
          <w:kern w:val="0"/>
          <w:sz w:val="24"/>
          <w:szCs w:val="24"/>
        </w:rPr>
        <w:t>，其中生产容积为</w:t>
      </w:r>
      <w:r w:rsidRPr="00677D1F">
        <w:rPr>
          <w:rFonts w:ascii="宋体" w:eastAsia="宋体" w:hAnsi="宋体" w:cs="宋体"/>
          <w:color w:val="000000"/>
          <w:kern w:val="0"/>
          <w:sz w:val="24"/>
          <w:szCs w:val="24"/>
        </w:rPr>
        <w:t>5514m3</w:t>
      </w:r>
      <w:r w:rsidRPr="00677D1F">
        <w:rPr>
          <w:rFonts w:ascii="宋体" w:eastAsia="宋体" w:hAnsi="宋体" w:cs="宋体" w:hint="eastAsia"/>
          <w:color w:val="000000"/>
          <w:kern w:val="0"/>
          <w:sz w:val="24"/>
          <w:szCs w:val="24"/>
        </w:rPr>
        <w:t>，消防贮备水量为</w:t>
      </w:r>
      <w:r w:rsidRPr="00677D1F">
        <w:rPr>
          <w:rFonts w:ascii="宋体" w:eastAsia="宋体" w:hAnsi="宋体" w:cs="宋体"/>
          <w:color w:val="000000"/>
          <w:kern w:val="0"/>
          <w:sz w:val="24"/>
          <w:szCs w:val="24"/>
        </w:rPr>
        <w:t>486m3</w:t>
      </w:r>
      <w:r w:rsidRPr="00677D1F">
        <w:rPr>
          <w:rFonts w:ascii="宋体" w:eastAsia="宋体" w:hAnsi="宋体" w:cs="宋体" w:hint="eastAsia"/>
          <w:color w:val="000000"/>
          <w:kern w:val="0"/>
          <w:sz w:val="24"/>
          <w:szCs w:val="24"/>
        </w:rPr>
        <w:t>。生活贮水池的有效容积为</w:t>
      </w:r>
      <w:r w:rsidRPr="00677D1F">
        <w:rPr>
          <w:rFonts w:ascii="宋体" w:eastAsia="宋体" w:hAnsi="宋体" w:cs="宋体"/>
          <w:color w:val="000000"/>
          <w:kern w:val="0"/>
          <w:sz w:val="24"/>
          <w:szCs w:val="24"/>
        </w:rPr>
        <w:t>200m3</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表3.2-1本项目用水情况统计表</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3.2.1.3</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厂区给排水系统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（1）厂区生产、消防给水系统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厂区内设置一套生产、消防给水管网，最大小时供水量为</w:t>
      </w:r>
      <w:r w:rsidRPr="00677D1F">
        <w:rPr>
          <w:rFonts w:ascii="宋体" w:eastAsia="宋体" w:hAnsi="宋体" w:cs="宋体"/>
          <w:color w:val="000000"/>
          <w:kern w:val="0"/>
          <w:sz w:val="24"/>
          <w:szCs w:val="24"/>
        </w:rPr>
        <w:t>569m3/h</w:t>
      </w:r>
      <w:r w:rsidRPr="00677D1F">
        <w:rPr>
          <w:rFonts w:ascii="宋体" w:eastAsia="宋体" w:hAnsi="宋体" w:cs="宋体" w:hint="eastAsia"/>
          <w:color w:val="000000"/>
          <w:kern w:val="0"/>
          <w:sz w:val="24"/>
          <w:szCs w:val="24"/>
        </w:rPr>
        <w:t>（其中消防水量为</w:t>
      </w:r>
      <w:r w:rsidRPr="00677D1F">
        <w:rPr>
          <w:rFonts w:ascii="宋体" w:eastAsia="宋体" w:hAnsi="宋体" w:cs="宋体"/>
          <w:color w:val="000000"/>
          <w:kern w:val="0"/>
          <w:sz w:val="24"/>
          <w:szCs w:val="24"/>
        </w:rPr>
        <w:t>162m3/h</w:t>
      </w:r>
      <w:r w:rsidRPr="00677D1F">
        <w:rPr>
          <w:rFonts w:ascii="宋体" w:eastAsia="宋体" w:hAnsi="宋体" w:cs="宋体" w:hint="eastAsia"/>
          <w:color w:val="000000"/>
          <w:kern w:val="0"/>
          <w:sz w:val="24"/>
          <w:szCs w:val="24"/>
        </w:rPr>
        <w:t>），供水压力为</w:t>
      </w:r>
      <w:r w:rsidRPr="00677D1F">
        <w:rPr>
          <w:rFonts w:ascii="宋体" w:eastAsia="宋体" w:hAnsi="宋体" w:cs="宋体"/>
          <w:color w:val="000000"/>
          <w:kern w:val="0"/>
          <w:sz w:val="24"/>
          <w:szCs w:val="24"/>
        </w:rPr>
        <w:t>0.5MPa</w:t>
      </w:r>
      <w:r w:rsidRPr="00677D1F">
        <w:rPr>
          <w:rFonts w:ascii="宋体" w:eastAsia="宋体" w:hAnsi="宋体" w:cs="宋体" w:hint="eastAsia"/>
          <w:color w:val="000000"/>
          <w:kern w:val="0"/>
          <w:sz w:val="24"/>
          <w:szCs w:val="24"/>
        </w:rPr>
        <w:t>，管网布置成环状，以保证供水安全和消防用水的需要，给水主干管管径为</w:t>
      </w:r>
      <w:r w:rsidRPr="00677D1F">
        <w:rPr>
          <w:rFonts w:ascii="宋体" w:eastAsia="宋体" w:hAnsi="宋体" w:cs="宋体"/>
          <w:color w:val="000000"/>
          <w:kern w:val="0"/>
          <w:sz w:val="24"/>
          <w:szCs w:val="24"/>
        </w:rPr>
        <w:t>DN300</w:t>
      </w:r>
      <w:r w:rsidRPr="00677D1F">
        <w:rPr>
          <w:rFonts w:ascii="宋体" w:eastAsia="宋体" w:hAnsi="宋体" w:cs="宋体" w:hint="eastAsia"/>
          <w:color w:val="000000"/>
          <w:kern w:val="0"/>
          <w:sz w:val="24"/>
          <w:szCs w:val="24"/>
        </w:rPr>
        <w:t>，管材选用钢丝网骨架聚乙烯复合管，电熔连接。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（2）厂区生活给水系统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厂区内设置一套生活给水管网，最大小时供水量为</w:t>
      </w:r>
      <w:r w:rsidRPr="00677D1F">
        <w:rPr>
          <w:rFonts w:ascii="宋体" w:eastAsia="宋体" w:hAnsi="宋体" w:cs="宋体"/>
          <w:color w:val="000000"/>
          <w:kern w:val="0"/>
          <w:sz w:val="24"/>
          <w:szCs w:val="24"/>
        </w:rPr>
        <w:t>30m3/h</w:t>
      </w:r>
      <w:r w:rsidRPr="00677D1F">
        <w:rPr>
          <w:rFonts w:ascii="宋体" w:eastAsia="宋体" w:hAnsi="宋体" w:cs="宋体" w:hint="eastAsia"/>
          <w:color w:val="000000"/>
          <w:kern w:val="0"/>
          <w:sz w:val="24"/>
          <w:szCs w:val="24"/>
        </w:rPr>
        <w:t>，供水压力为</w:t>
      </w:r>
      <w:r w:rsidRPr="00677D1F">
        <w:rPr>
          <w:rFonts w:ascii="宋体" w:eastAsia="宋体" w:hAnsi="宋体" w:cs="宋体"/>
          <w:color w:val="000000"/>
          <w:kern w:val="0"/>
          <w:sz w:val="24"/>
          <w:szCs w:val="24"/>
        </w:rPr>
        <w:t>0.4MPa</w:t>
      </w:r>
      <w:r w:rsidRPr="00677D1F">
        <w:rPr>
          <w:rFonts w:ascii="宋体" w:eastAsia="宋体" w:hAnsi="宋体" w:cs="宋体" w:hint="eastAsia"/>
          <w:color w:val="000000"/>
          <w:kern w:val="0"/>
          <w:sz w:val="24"/>
          <w:szCs w:val="24"/>
        </w:rPr>
        <w:t>，管网布置成枝状，给水主干管管径为</w:t>
      </w:r>
      <w:r w:rsidRPr="00677D1F">
        <w:rPr>
          <w:rFonts w:ascii="宋体" w:eastAsia="宋体" w:hAnsi="宋体" w:cs="宋体"/>
          <w:color w:val="000000"/>
          <w:kern w:val="0"/>
          <w:sz w:val="24"/>
          <w:szCs w:val="24"/>
        </w:rPr>
        <w:t>DN100</w:t>
      </w:r>
      <w:r w:rsidRPr="00677D1F">
        <w:rPr>
          <w:rFonts w:ascii="宋体" w:eastAsia="宋体" w:hAnsi="宋体" w:cs="宋体" w:hint="eastAsia"/>
          <w:color w:val="000000"/>
          <w:kern w:val="0"/>
          <w:sz w:val="24"/>
          <w:szCs w:val="24"/>
        </w:rPr>
        <w:t>，管材选用钢丝网骨架聚乙烯复合管，电熔连接。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（3）二次利用给水系统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二次利用给水来自污水处理站对生活污水、生产废水处理后的废水，设计最大小时供水量为</w:t>
      </w:r>
      <w:r w:rsidRPr="00677D1F">
        <w:rPr>
          <w:rFonts w:ascii="宋体" w:eastAsia="宋体" w:hAnsi="宋体" w:cs="宋体"/>
          <w:color w:val="000000"/>
          <w:kern w:val="0"/>
          <w:sz w:val="24"/>
          <w:szCs w:val="24"/>
        </w:rPr>
        <w:t>83m3/h</w:t>
      </w:r>
      <w:r w:rsidRPr="00677D1F">
        <w:rPr>
          <w:rFonts w:ascii="宋体" w:eastAsia="宋体" w:hAnsi="宋体" w:cs="宋体" w:hint="eastAsia"/>
          <w:color w:val="000000"/>
          <w:kern w:val="0"/>
          <w:sz w:val="24"/>
          <w:szCs w:val="24"/>
        </w:rPr>
        <w:t>。经回用水泵房加压后供给厂区作为循环水补充水。管网设计为枝状管网，供水主管管径为</w:t>
      </w:r>
      <w:r w:rsidRPr="00677D1F">
        <w:rPr>
          <w:rFonts w:ascii="宋体" w:eastAsia="宋体" w:hAnsi="宋体" w:cs="宋体"/>
          <w:color w:val="000000"/>
          <w:kern w:val="0"/>
          <w:sz w:val="24"/>
          <w:szCs w:val="24"/>
        </w:rPr>
        <w:t>DN250</w:t>
      </w:r>
      <w:r w:rsidRPr="00677D1F">
        <w:rPr>
          <w:rFonts w:ascii="宋体" w:eastAsia="宋体" w:hAnsi="宋体" w:cs="宋体" w:hint="eastAsia"/>
          <w:color w:val="000000"/>
          <w:kern w:val="0"/>
          <w:sz w:val="24"/>
          <w:szCs w:val="24"/>
        </w:rPr>
        <w:t>，管材选用钢丝网骨架聚乙烯复合管，电熔连接。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（4）厂区生产废水、雨水排水系统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全厂设置一套生产、雨水排水管网，平时主要收集各车间生产废水、循环水系统排污和溢流水等。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本工程最大日生产废水量为</w:t>
      </w:r>
      <w:r w:rsidRPr="00677D1F">
        <w:rPr>
          <w:rFonts w:ascii="宋体" w:eastAsia="宋体" w:hAnsi="宋体" w:cs="宋体"/>
          <w:color w:val="000000"/>
          <w:kern w:val="0"/>
          <w:sz w:val="24"/>
          <w:szCs w:val="24"/>
        </w:rPr>
        <w:t>1797m3/d</w:t>
      </w:r>
      <w:r w:rsidRPr="00677D1F">
        <w:rPr>
          <w:rFonts w:ascii="宋体" w:eastAsia="宋体" w:hAnsi="宋体" w:cs="宋体" w:hint="eastAsia"/>
          <w:color w:val="000000"/>
          <w:kern w:val="0"/>
          <w:sz w:val="24"/>
          <w:szCs w:val="24"/>
        </w:rPr>
        <w:t>。生产废水排入生产废水、雨排水管网后，汇集到废水处理站附近，经分流井截流后进入废水处理站处理。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排水管材选用钢带缠绕</w:t>
      </w:r>
      <w:r w:rsidRPr="00677D1F">
        <w:rPr>
          <w:rFonts w:ascii="宋体" w:eastAsia="宋体" w:hAnsi="宋体" w:cs="宋体"/>
          <w:color w:val="000000"/>
          <w:kern w:val="0"/>
          <w:sz w:val="24"/>
          <w:szCs w:val="24"/>
        </w:rPr>
        <w:t>PE</w:t>
      </w:r>
      <w:r w:rsidRPr="00677D1F">
        <w:rPr>
          <w:rFonts w:ascii="宋体" w:eastAsia="宋体" w:hAnsi="宋体" w:cs="宋体" w:hint="eastAsia"/>
          <w:color w:val="000000"/>
          <w:kern w:val="0"/>
          <w:sz w:val="24"/>
          <w:szCs w:val="24"/>
        </w:rPr>
        <w:t>排水管。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初期雨水经分流井截流后进入废水处理站处理，后期雨水则就近排入园区下水管网。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（5）厂区生活污水系统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本工程的生活排水主要是职工的日常洗涤废水和粪便污水，最大日生活排水量为</w:t>
      </w:r>
      <w:r w:rsidRPr="00677D1F">
        <w:rPr>
          <w:rFonts w:ascii="宋体" w:eastAsia="宋体" w:hAnsi="宋体" w:cs="宋体"/>
          <w:color w:val="000000"/>
          <w:kern w:val="0"/>
          <w:sz w:val="24"/>
          <w:szCs w:val="24"/>
        </w:rPr>
        <w:t>181m3/d</w:t>
      </w:r>
      <w:r w:rsidRPr="00677D1F">
        <w:rPr>
          <w:rFonts w:ascii="宋体" w:eastAsia="宋体" w:hAnsi="宋体" w:cs="宋体" w:hint="eastAsia"/>
          <w:color w:val="000000"/>
          <w:kern w:val="0"/>
          <w:sz w:val="24"/>
          <w:szCs w:val="24"/>
        </w:rPr>
        <w:t>，经生活污水管网收集后，排入污水处理站进行处理，主排水管管径为</w:t>
      </w:r>
      <w:r w:rsidRPr="00677D1F">
        <w:rPr>
          <w:rFonts w:ascii="宋体" w:eastAsia="宋体" w:hAnsi="宋体" w:cs="宋体"/>
          <w:color w:val="000000"/>
          <w:kern w:val="0"/>
          <w:sz w:val="24"/>
          <w:szCs w:val="24"/>
        </w:rPr>
        <w:t>d300</w:t>
      </w:r>
      <w:r w:rsidRPr="00677D1F">
        <w:rPr>
          <w:rFonts w:ascii="宋体" w:eastAsia="宋体" w:hAnsi="宋体" w:cs="宋体" w:hint="eastAsia"/>
          <w:color w:val="000000"/>
          <w:kern w:val="0"/>
          <w:sz w:val="24"/>
          <w:szCs w:val="24"/>
        </w:rPr>
        <w:t>，排水管材选用钢带缠绕</w:t>
      </w:r>
      <w:r w:rsidRPr="00677D1F">
        <w:rPr>
          <w:rFonts w:ascii="宋体" w:eastAsia="宋体" w:hAnsi="宋体" w:cs="宋体"/>
          <w:color w:val="000000"/>
          <w:kern w:val="0"/>
          <w:sz w:val="24"/>
          <w:szCs w:val="24"/>
        </w:rPr>
        <w:t>PE</w:t>
      </w:r>
      <w:r w:rsidRPr="00677D1F">
        <w:rPr>
          <w:rFonts w:ascii="宋体" w:eastAsia="宋体" w:hAnsi="宋体" w:cs="宋体" w:hint="eastAsia"/>
          <w:color w:val="000000"/>
          <w:kern w:val="0"/>
          <w:sz w:val="24"/>
          <w:szCs w:val="24"/>
        </w:rPr>
        <w:t>排水管。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（6）循环水系统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本工程设置了整流循环水系统、</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循环水系统、</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循环水系统和</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循环水系统。整流循环水系统主要供给整流所整流柜的冷却用水，压力回水，最大小时循环水量</w:t>
      </w:r>
      <w:r w:rsidRPr="00677D1F">
        <w:rPr>
          <w:rFonts w:ascii="宋体" w:eastAsia="宋体" w:hAnsi="宋体" w:cs="宋体"/>
          <w:color w:val="000000"/>
          <w:kern w:val="0"/>
          <w:sz w:val="24"/>
          <w:szCs w:val="24"/>
        </w:rPr>
        <w:t>450m3/h</w:t>
      </w:r>
      <w:r w:rsidRPr="00677D1F">
        <w:rPr>
          <w:rFonts w:ascii="宋体" w:eastAsia="宋体" w:hAnsi="宋体" w:cs="宋体" w:hint="eastAsia"/>
          <w:color w:val="000000"/>
          <w:kern w:val="0"/>
          <w:sz w:val="24"/>
          <w:szCs w:val="24"/>
        </w:rPr>
        <w:t>。为了防止设备和管道结垢及改善水质，设置了循环水补充水的软化和循环水的旁滤等水处理设备。系统主要由冷水池、泵房、配电值班室、水处理间和加压设备、起重设备、冷却设备、补充水软化设备、循环水旁滤设备等组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循环水系统主要供给镁电解车间、镁精炼车间、钛渣熔炼及冷却车间、还蒸车间的设备冷却用水，无压回水，最大小时循环水量</w:t>
      </w:r>
      <w:r w:rsidRPr="00677D1F">
        <w:rPr>
          <w:rFonts w:ascii="宋体" w:eastAsia="宋体" w:hAnsi="宋体" w:cs="宋体"/>
          <w:color w:val="000000"/>
          <w:kern w:val="0"/>
          <w:sz w:val="24"/>
          <w:szCs w:val="24"/>
        </w:rPr>
        <w:t>3203m3/h</w:t>
      </w:r>
      <w:r w:rsidRPr="00677D1F">
        <w:rPr>
          <w:rFonts w:ascii="宋体" w:eastAsia="宋体" w:hAnsi="宋体" w:cs="宋体" w:hint="eastAsia"/>
          <w:color w:val="000000"/>
          <w:kern w:val="0"/>
          <w:sz w:val="24"/>
          <w:szCs w:val="24"/>
        </w:rPr>
        <w:t>。为了防止设备和管</w:t>
      </w:r>
      <w:r w:rsidRPr="00677D1F">
        <w:rPr>
          <w:rFonts w:ascii="宋体" w:eastAsia="宋体" w:hAnsi="宋体" w:cs="宋体" w:hint="eastAsia"/>
          <w:color w:val="000000"/>
          <w:kern w:val="0"/>
          <w:sz w:val="24"/>
          <w:szCs w:val="24"/>
        </w:rPr>
        <w:lastRenderedPageBreak/>
        <w:t>道结垢及改善水质，设置了循环水补充水的软化和循环水的旁滤等水处理设备。系统主要由冷水池、热水池、泵房、配电值班室、水处理间和加压设备、起重设备、冷却设备、补充水软化设备、循环水旁滤设备、泵房排水设备等组成。还蒸车间事故状态需要循环冷却水量为</w:t>
      </w:r>
      <w:r w:rsidRPr="00677D1F">
        <w:rPr>
          <w:rFonts w:ascii="宋体" w:eastAsia="宋体" w:hAnsi="宋体" w:cs="宋体"/>
          <w:color w:val="000000"/>
          <w:kern w:val="0"/>
          <w:sz w:val="24"/>
          <w:szCs w:val="24"/>
        </w:rPr>
        <w:t>1000m3/h</w:t>
      </w:r>
      <w:r w:rsidRPr="00677D1F">
        <w:rPr>
          <w:rFonts w:ascii="宋体" w:eastAsia="宋体" w:hAnsi="宋体" w:cs="宋体" w:hint="eastAsia"/>
          <w:color w:val="000000"/>
          <w:kern w:val="0"/>
          <w:sz w:val="24"/>
          <w:szCs w:val="24"/>
        </w:rPr>
        <w:t>，由柴油发电机供电的两台事故水泵供水，水泵电机功率为每台</w:t>
      </w:r>
      <w:r w:rsidRPr="00677D1F">
        <w:rPr>
          <w:rFonts w:ascii="宋体" w:eastAsia="宋体" w:hAnsi="宋体" w:cs="宋体"/>
          <w:color w:val="000000"/>
          <w:kern w:val="0"/>
          <w:sz w:val="24"/>
          <w:szCs w:val="24"/>
        </w:rPr>
        <w:t>110kW</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循环水主要供给氯压机室、成品破碎及包装、四氯化钛制备、破碎及成品库、液氯储库及蒸发、空压站、冷冻站等车间的设备冷却用水，压力回水，最大小时循环水量</w:t>
      </w:r>
      <w:r w:rsidRPr="00677D1F">
        <w:rPr>
          <w:rFonts w:ascii="宋体" w:eastAsia="宋体" w:hAnsi="宋体" w:cs="宋体"/>
          <w:color w:val="000000"/>
          <w:kern w:val="0"/>
          <w:sz w:val="24"/>
          <w:szCs w:val="24"/>
        </w:rPr>
        <w:t>3008m3/h</w:t>
      </w:r>
      <w:r w:rsidRPr="00677D1F">
        <w:rPr>
          <w:rFonts w:ascii="宋体" w:eastAsia="宋体" w:hAnsi="宋体" w:cs="宋体" w:hint="eastAsia"/>
          <w:color w:val="000000"/>
          <w:kern w:val="0"/>
          <w:sz w:val="24"/>
          <w:szCs w:val="24"/>
        </w:rPr>
        <w:t>。为了防止设备和管道结垢及改善水质，设置了循环水补充水的软化和循环水的旁滤等水处理设备。系统主要由冷水池、泵房、配电值班室、水处理间和加压设备、起重设备、冷却设备、补充水软化设备、循环水旁滤设备、泵房排水设备等组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循环水系统主要供给海绵钛熔铸车间、锻造车间、板带车间的设备冷却用水，无压回水，最大小时循环水量</w:t>
      </w:r>
      <w:r w:rsidRPr="00677D1F">
        <w:rPr>
          <w:rFonts w:ascii="宋体" w:eastAsia="宋体" w:hAnsi="宋体" w:cs="宋体"/>
          <w:color w:val="000000"/>
          <w:kern w:val="0"/>
          <w:sz w:val="24"/>
          <w:szCs w:val="24"/>
        </w:rPr>
        <w:t>2195m3/h</w:t>
      </w:r>
      <w:r w:rsidRPr="00677D1F">
        <w:rPr>
          <w:rFonts w:ascii="宋体" w:eastAsia="宋体" w:hAnsi="宋体" w:cs="宋体" w:hint="eastAsia"/>
          <w:color w:val="000000"/>
          <w:kern w:val="0"/>
          <w:sz w:val="24"/>
          <w:szCs w:val="24"/>
        </w:rPr>
        <w:t>。为了防止设备和管道结垢及改善水质，设置了循环水补充水的软化和循环水的旁滤等水处理设备。系统主要由冷水池、热水池、泵房、配电值班室、水处理间和加压设备、起重设备、冷却设备、补充水软化设备、循环水旁滤设备、泵房排水设备等组成。</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3.2.1.4</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污水处理站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全厂设置一座污水处理站。污水处理站设置两套独立的处理系统，分别处理全厂生活污水和生产废水及初期雨水。生活污水处理后回到生产废水调节池与生产废水一起处理，经处理后的生活污水、生产废水处理达标后回用于循环水补充用水。正常生产情况下无外排水。生活处理系统及生产处理系统产生的污泥经污泥脱水系统处理后汽车外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）生活污水处理系统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本工程最大日生活污水量为</w:t>
      </w:r>
      <w:r w:rsidRPr="00677D1F">
        <w:rPr>
          <w:rFonts w:ascii="宋体" w:eastAsia="宋体" w:hAnsi="宋体" w:cs="宋体"/>
          <w:color w:val="000000"/>
          <w:kern w:val="0"/>
          <w:sz w:val="24"/>
          <w:szCs w:val="24"/>
        </w:rPr>
        <w:t>181m3/d</w:t>
      </w:r>
      <w:r w:rsidRPr="00677D1F">
        <w:rPr>
          <w:rFonts w:ascii="宋体" w:eastAsia="宋体" w:hAnsi="宋体" w:cs="宋体" w:hint="eastAsia"/>
          <w:color w:val="000000"/>
          <w:kern w:val="0"/>
          <w:sz w:val="24"/>
          <w:szCs w:val="24"/>
        </w:rPr>
        <w:t>，生活污水设置一套处理水量为</w:t>
      </w:r>
      <w:r w:rsidRPr="00677D1F">
        <w:rPr>
          <w:rFonts w:ascii="宋体" w:eastAsia="宋体" w:hAnsi="宋体" w:cs="宋体"/>
          <w:color w:val="000000"/>
          <w:kern w:val="0"/>
          <w:sz w:val="24"/>
          <w:szCs w:val="24"/>
        </w:rPr>
        <w:t>30m3/h</w:t>
      </w:r>
      <w:r w:rsidRPr="00677D1F">
        <w:rPr>
          <w:rFonts w:ascii="宋体" w:eastAsia="宋体" w:hAnsi="宋体" w:cs="宋体" w:hint="eastAsia"/>
          <w:color w:val="000000"/>
          <w:kern w:val="0"/>
          <w:sz w:val="24"/>
          <w:szCs w:val="24"/>
        </w:rPr>
        <w:t>的</w:t>
      </w:r>
      <w:r w:rsidRPr="00677D1F">
        <w:rPr>
          <w:rFonts w:ascii="宋体" w:eastAsia="宋体" w:hAnsi="宋体" w:cs="宋体"/>
          <w:color w:val="000000"/>
          <w:kern w:val="0"/>
          <w:sz w:val="24"/>
          <w:szCs w:val="24"/>
        </w:rPr>
        <w:t>CSW</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30</w:t>
      </w:r>
      <w:r w:rsidRPr="00677D1F">
        <w:rPr>
          <w:rFonts w:ascii="宋体" w:eastAsia="宋体" w:hAnsi="宋体" w:cs="宋体" w:hint="eastAsia"/>
          <w:color w:val="000000"/>
          <w:kern w:val="0"/>
          <w:sz w:val="24"/>
          <w:szCs w:val="24"/>
        </w:rPr>
        <w:t>型一体化生活污水处理设备。</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生活污水处理设备采用生化处理技术接触氧化法，水质参数按一般生活污水水质设计，进水</w:t>
      </w:r>
      <w:r w:rsidRPr="00677D1F">
        <w:rPr>
          <w:rFonts w:ascii="宋体" w:eastAsia="宋体" w:hAnsi="宋体" w:cs="宋体"/>
          <w:color w:val="000000"/>
          <w:kern w:val="0"/>
          <w:sz w:val="24"/>
          <w:szCs w:val="24"/>
        </w:rPr>
        <w:t>BOD5=100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300mg/L</w:t>
      </w:r>
      <w:r w:rsidRPr="00677D1F">
        <w:rPr>
          <w:rFonts w:ascii="宋体" w:eastAsia="宋体" w:hAnsi="宋体" w:cs="宋体" w:hint="eastAsia"/>
          <w:color w:val="000000"/>
          <w:kern w:val="0"/>
          <w:sz w:val="24"/>
          <w:szCs w:val="24"/>
        </w:rPr>
        <w:t>，出水</w:t>
      </w:r>
      <w:r w:rsidRPr="00677D1F">
        <w:rPr>
          <w:rFonts w:ascii="宋体" w:eastAsia="宋体" w:hAnsi="宋体" w:cs="宋体"/>
          <w:color w:val="000000"/>
          <w:kern w:val="0"/>
          <w:sz w:val="24"/>
          <w:szCs w:val="24"/>
        </w:rPr>
        <w:t>BOD5≤20mg/L</w:t>
      </w:r>
      <w:r w:rsidRPr="00677D1F">
        <w:rPr>
          <w:rFonts w:ascii="宋体" w:eastAsia="宋体" w:hAnsi="宋体" w:cs="宋体" w:hint="eastAsia"/>
          <w:color w:val="000000"/>
          <w:kern w:val="0"/>
          <w:sz w:val="24"/>
          <w:szCs w:val="24"/>
        </w:rPr>
        <w:t>。接触氧化池分为三级，总停留时间为</w:t>
      </w:r>
      <w:r w:rsidRPr="00677D1F">
        <w:rPr>
          <w:rFonts w:ascii="宋体" w:eastAsia="宋体" w:hAnsi="宋体" w:cs="宋体"/>
          <w:color w:val="000000"/>
          <w:kern w:val="0"/>
          <w:sz w:val="24"/>
          <w:szCs w:val="24"/>
        </w:rPr>
        <w:t>4h</w:t>
      </w:r>
      <w:r w:rsidRPr="00677D1F">
        <w:rPr>
          <w:rFonts w:ascii="宋体" w:eastAsia="宋体" w:hAnsi="宋体" w:cs="宋体" w:hint="eastAsia"/>
          <w:color w:val="000000"/>
          <w:kern w:val="0"/>
          <w:sz w:val="24"/>
          <w:szCs w:val="24"/>
        </w:rPr>
        <w:t>以上，填料为新型梯形填料，易结膜，不堵塞，填料比表面积为</w:t>
      </w:r>
      <w:r w:rsidRPr="00677D1F">
        <w:rPr>
          <w:rFonts w:ascii="宋体" w:eastAsia="宋体" w:hAnsi="宋体" w:cs="宋体"/>
          <w:color w:val="000000"/>
          <w:kern w:val="0"/>
          <w:sz w:val="24"/>
          <w:szCs w:val="24"/>
        </w:rPr>
        <w:t>160m2/m3</w:t>
      </w:r>
      <w:r w:rsidRPr="00677D1F">
        <w:rPr>
          <w:rFonts w:ascii="宋体" w:eastAsia="宋体" w:hAnsi="宋体" w:cs="宋体" w:hint="eastAsia"/>
          <w:color w:val="000000"/>
          <w:kern w:val="0"/>
          <w:sz w:val="24"/>
          <w:szCs w:val="24"/>
        </w:rPr>
        <w:t>，接触氧化池气水比为</w:t>
      </w:r>
      <w:r w:rsidRPr="00677D1F">
        <w:rPr>
          <w:rFonts w:ascii="宋体" w:eastAsia="宋体" w:hAnsi="宋体" w:cs="宋体"/>
          <w:color w:val="000000"/>
          <w:kern w:val="0"/>
          <w:sz w:val="24"/>
          <w:szCs w:val="24"/>
        </w:rPr>
        <w:t>12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以上。生活污水处理工艺流程见图</w:t>
      </w:r>
      <w:r w:rsidRPr="00677D1F">
        <w:rPr>
          <w:rFonts w:ascii="宋体" w:eastAsia="宋体" w:hAnsi="宋体" w:cs="宋体"/>
          <w:color w:val="000000"/>
          <w:kern w:val="0"/>
          <w:sz w:val="24"/>
          <w:szCs w:val="24"/>
        </w:rPr>
        <w:t>3.2-1</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图3.2-1生活污水处理系统工艺流程图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）生产废水处理系统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本工程最大日生产排水量</w:t>
      </w:r>
      <w:r w:rsidRPr="00677D1F">
        <w:rPr>
          <w:rFonts w:ascii="宋体" w:eastAsia="宋体" w:hAnsi="宋体" w:cs="宋体"/>
          <w:color w:val="000000"/>
          <w:kern w:val="0"/>
          <w:sz w:val="24"/>
          <w:szCs w:val="24"/>
        </w:rPr>
        <w:t>1797m3/d</w:t>
      </w:r>
      <w:r w:rsidRPr="00677D1F">
        <w:rPr>
          <w:rFonts w:ascii="宋体" w:eastAsia="宋体" w:hAnsi="宋体" w:cs="宋体" w:hint="eastAsia"/>
          <w:color w:val="000000"/>
          <w:kern w:val="0"/>
          <w:sz w:val="24"/>
          <w:szCs w:val="24"/>
        </w:rPr>
        <w:t>，生活污水水量为</w:t>
      </w:r>
      <w:r w:rsidRPr="00677D1F">
        <w:rPr>
          <w:rFonts w:ascii="宋体" w:eastAsia="宋体" w:hAnsi="宋体" w:cs="宋体"/>
          <w:color w:val="000000"/>
          <w:kern w:val="0"/>
          <w:sz w:val="24"/>
          <w:szCs w:val="24"/>
        </w:rPr>
        <w:t>181m3/d</w:t>
      </w:r>
      <w:r w:rsidRPr="00677D1F">
        <w:rPr>
          <w:rFonts w:ascii="宋体" w:eastAsia="宋体" w:hAnsi="宋体" w:cs="宋体" w:hint="eastAsia"/>
          <w:color w:val="000000"/>
          <w:kern w:val="0"/>
          <w:sz w:val="24"/>
          <w:szCs w:val="24"/>
        </w:rPr>
        <w:t>，适当考虑少量初期雨水。生产废水设置两套电控一体化净水器</w:t>
      </w:r>
      <w:r w:rsidRPr="00677D1F">
        <w:rPr>
          <w:rFonts w:ascii="宋体" w:eastAsia="宋体" w:hAnsi="宋体" w:cs="宋体"/>
          <w:color w:val="000000"/>
          <w:kern w:val="0"/>
          <w:sz w:val="24"/>
          <w:szCs w:val="24"/>
        </w:rPr>
        <w:t>YZJ-</w:t>
      </w:r>
      <w:r w:rsidRPr="00677D1F">
        <w:rPr>
          <w:rFonts w:ascii="宋体" w:eastAsia="宋体" w:hAnsi="宋体" w:cs="宋体" w:hint="eastAsia"/>
          <w:color w:val="000000"/>
          <w:kern w:val="0"/>
          <w:sz w:val="24"/>
          <w:szCs w:val="24"/>
        </w:rPr>
        <w:t>Ⅱ</w:t>
      </w:r>
      <w:r w:rsidRPr="00677D1F">
        <w:rPr>
          <w:rFonts w:ascii="宋体" w:eastAsia="宋体" w:hAnsi="宋体" w:cs="宋体"/>
          <w:color w:val="000000"/>
          <w:kern w:val="0"/>
          <w:sz w:val="24"/>
          <w:szCs w:val="24"/>
        </w:rPr>
        <w:t>-100D</w:t>
      </w:r>
      <w:r w:rsidRPr="00677D1F">
        <w:rPr>
          <w:rFonts w:ascii="宋体" w:eastAsia="宋体" w:hAnsi="宋体" w:cs="宋体" w:hint="eastAsia"/>
          <w:color w:val="000000"/>
          <w:kern w:val="0"/>
          <w:sz w:val="24"/>
          <w:szCs w:val="24"/>
        </w:rPr>
        <w:t>型设备，设计处理能力</w:t>
      </w:r>
      <w:r w:rsidRPr="00677D1F">
        <w:rPr>
          <w:rFonts w:ascii="宋体" w:eastAsia="宋体" w:hAnsi="宋体" w:cs="宋体"/>
          <w:color w:val="000000"/>
          <w:kern w:val="0"/>
          <w:sz w:val="24"/>
          <w:szCs w:val="24"/>
        </w:rPr>
        <w:t>200m3/h，</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本项目生产废水具有微量酸性，</w:t>
      </w:r>
      <w:r w:rsidRPr="00677D1F">
        <w:rPr>
          <w:rFonts w:ascii="宋体" w:eastAsia="宋体" w:hAnsi="宋体" w:cs="宋体"/>
          <w:color w:val="000000"/>
          <w:kern w:val="0"/>
          <w:sz w:val="24"/>
          <w:szCs w:val="24"/>
        </w:rPr>
        <w:t>pH</w:t>
      </w:r>
      <w:r w:rsidRPr="00677D1F">
        <w:rPr>
          <w:rFonts w:ascii="宋体" w:eastAsia="宋体" w:hAnsi="宋体" w:cs="宋体" w:hint="eastAsia"/>
          <w:color w:val="000000"/>
          <w:kern w:val="0"/>
          <w:sz w:val="24"/>
          <w:szCs w:val="24"/>
        </w:rPr>
        <w:t>值约为</w:t>
      </w:r>
      <w:r w:rsidRPr="00677D1F">
        <w:rPr>
          <w:rFonts w:ascii="宋体" w:eastAsia="宋体" w:hAnsi="宋体" w:cs="宋体"/>
          <w:color w:val="000000"/>
          <w:kern w:val="0"/>
          <w:sz w:val="24"/>
          <w:szCs w:val="24"/>
        </w:rPr>
        <w:t>3-7</w:t>
      </w:r>
      <w:r w:rsidRPr="00677D1F">
        <w:rPr>
          <w:rFonts w:ascii="宋体" w:eastAsia="宋体" w:hAnsi="宋体" w:cs="宋体" w:hint="eastAsia"/>
          <w:color w:val="000000"/>
          <w:kern w:val="0"/>
          <w:sz w:val="24"/>
          <w:szCs w:val="24"/>
        </w:rPr>
        <w:t>，其中主要含悬浮物</w:t>
      </w:r>
      <w:r w:rsidRPr="00677D1F">
        <w:rPr>
          <w:rFonts w:ascii="宋体" w:eastAsia="宋体" w:hAnsi="宋体" w:cs="宋体"/>
          <w:color w:val="000000"/>
          <w:kern w:val="0"/>
          <w:sz w:val="24"/>
          <w:szCs w:val="24"/>
        </w:rPr>
        <w:t>SS=100-500mg/L</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COD=300-800mg/L</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NaCl0.02%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MgCl20.02%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KCl0.04%</w:t>
      </w:r>
      <w:r w:rsidRPr="00677D1F">
        <w:rPr>
          <w:rFonts w:ascii="宋体" w:eastAsia="宋体" w:hAnsi="宋体" w:cs="宋体" w:hint="eastAsia"/>
          <w:color w:val="000000"/>
          <w:kern w:val="0"/>
          <w:sz w:val="24"/>
          <w:szCs w:val="24"/>
        </w:rPr>
        <w:t>等。生产废水处理流程：生产废水</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调节池（中和）</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潜水排污泵</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生产废水净化设备（沉淀、过滤）</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循环水补充水回用，处理工艺流程见图</w:t>
      </w:r>
      <w:r w:rsidRPr="00677D1F">
        <w:rPr>
          <w:rFonts w:ascii="宋体" w:eastAsia="宋体" w:hAnsi="宋体" w:cs="宋体"/>
          <w:color w:val="000000"/>
          <w:kern w:val="0"/>
          <w:sz w:val="24"/>
          <w:szCs w:val="24"/>
        </w:rPr>
        <w:t>3.2-2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）污泥脱水系统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污泥脱水系统主要由污泥池、污泥搅拌机、螺杆泵、离心脱水机、污泥加药装置、螺旋输送机、起重设备等组成。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）回用水泵房</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回用水泵房主要由回用水池、泵房、配电值班室、加压设备、起重设生活污水</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3.2-2</w:t>
      </w:r>
      <w:r w:rsidRPr="00677D1F">
        <w:rPr>
          <w:rFonts w:ascii="黑体" w:eastAsia="黑体" w:hAnsi="黑体" w:cs="宋体" w:hint="eastAsia"/>
          <w:b/>
          <w:color w:val="000000"/>
          <w:kern w:val="0"/>
          <w:szCs w:val="21"/>
        </w:rPr>
        <w:t>生产废水处理系统工艺流程图</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3.2.2</w:t>
      </w:r>
      <w:r w:rsidRPr="00677D1F">
        <w:rPr>
          <w:rFonts w:ascii="宋体" w:hAnsi="宋体" w:hint="eastAsia"/>
          <w:sz w:val="28"/>
          <w:szCs w:val="28"/>
        </w:rPr>
        <w:t xml:space="preserve"> 储运工程</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3.2.2.1</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工厂运输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厂外运输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本项目厂外运输的主要货物有钛精矿、还原剂、电极、钢管及钢材、耐火材料、生铁、石油焦、金属镁锭、海绵钛、钛锭、钛材、生产废渣等。厂外货物运输量为</w:t>
      </w:r>
      <w:r w:rsidRPr="00677D1F">
        <w:rPr>
          <w:rFonts w:ascii="宋体" w:eastAsia="宋体" w:hAnsi="宋体" w:cs="宋体"/>
          <w:color w:val="000000"/>
          <w:kern w:val="0"/>
          <w:sz w:val="24"/>
          <w:szCs w:val="24"/>
        </w:rPr>
        <w:t>166515t/a</w:t>
      </w:r>
      <w:r w:rsidRPr="00677D1F">
        <w:rPr>
          <w:rFonts w:ascii="宋体" w:eastAsia="宋体" w:hAnsi="宋体" w:cs="宋体" w:hint="eastAsia"/>
          <w:color w:val="000000"/>
          <w:kern w:val="0"/>
          <w:sz w:val="24"/>
          <w:szCs w:val="24"/>
        </w:rPr>
        <w:t>，其中：运入</w:t>
      </w:r>
      <w:r w:rsidRPr="00677D1F">
        <w:rPr>
          <w:rFonts w:ascii="宋体" w:eastAsia="宋体" w:hAnsi="宋体" w:cs="宋体"/>
          <w:color w:val="000000"/>
          <w:kern w:val="0"/>
          <w:sz w:val="24"/>
          <w:szCs w:val="24"/>
        </w:rPr>
        <w:t>128660t/a</w:t>
      </w:r>
      <w:r w:rsidRPr="00677D1F">
        <w:rPr>
          <w:rFonts w:ascii="宋体" w:eastAsia="宋体" w:hAnsi="宋体" w:cs="宋体" w:hint="eastAsia"/>
          <w:color w:val="000000"/>
          <w:kern w:val="0"/>
          <w:sz w:val="24"/>
          <w:szCs w:val="24"/>
        </w:rPr>
        <w:t>，运出</w:t>
      </w:r>
      <w:r w:rsidRPr="00677D1F">
        <w:rPr>
          <w:rFonts w:ascii="宋体" w:eastAsia="宋体" w:hAnsi="宋体" w:cs="宋体"/>
          <w:color w:val="000000"/>
          <w:kern w:val="0"/>
          <w:sz w:val="24"/>
          <w:szCs w:val="24"/>
        </w:rPr>
        <w:t>37855t/a</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厂外货物运输采用火车运至花园乡转运站，然后汽车倒运到厂内仓库。为节省投资，减少劳动定员，提高劳动生产率，厂外大宗货物运输委托专业运输公司承担，厂内只备少量汽车，以解决临时用车的需要。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厂内运输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厂区内生产所需的原材料进厂后，有关生产车间之间的物料主要依靠管道和专用汽车运输，具体由工艺专业确定运输方式和运输设备。辅助原材料及耐火材料、备品备件等货物用汽车从仓库运到有关车间使用。</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3.2.2.2</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厂区储存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本项目库及中间产品贮存情况见表</w:t>
      </w:r>
      <w:r w:rsidRPr="00677D1F">
        <w:rPr>
          <w:rFonts w:ascii="宋体" w:eastAsia="宋体" w:hAnsi="宋体" w:cs="宋体"/>
          <w:color w:val="000000"/>
          <w:kern w:val="0"/>
          <w:sz w:val="24"/>
          <w:szCs w:val="24"/>
        </w:rPr>
        <w:t>3.2-2</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表3.2-2各原料仓库，成品仓库及中间贮仓容积、贮量、贮存情况</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58"/>
        <w:gridCol w:w="1822"/>
        <w:gridCol w:w="2033"/>
        <w:gridCol w:w="981"/>
        <w:gridCol w:w="770"/>
        <w:gridCol w:w="981"/>
        <w:gridCol w:w="1927"/>
      </w:tblGrid>
      <w:tr w:rsidR="00D228BE" w:rsidRPr="00677D1F">
        <w:trPr>
          <w:trHeight w:val="340"/>
          <w:jc w:val="center"/>
        </w:trPr>
        <w:tc>
          <w:tcPr>
            <w:tcW w:w="558" w:type="dxa"/>
            <w:tcBorders>
              <w:tl2br w:val="single" w:sz="6" w:space="0" w:color="000000"/>
            </w:tcBorders>
          </w:tcPr>
          <w:p w:rsidR="00D228BE" w:rsidRPr="00677D1F" w:rsidRDefault="00332EB6" w:rsidP="00677D1F">
            <w:pPr>
              <w:pStyle w:val="TableParagraph"/>
              <w:contextualSpacing/>
              <w:jc w:val="right"/>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项目</w:t>
            </w:r>
          </w:p>
          <w:p w:rsidR="00D228BE" w:rsidRPr="00677D1F" w:rsidRDefault="00D228BE" w:rsidP="00677D1F">
            <w:pPr>
              <w:pStyle w:val="TableParagraph"/>
              <w:contextualSpacing/>
              <w:jc w:val="right"/>
              <w:rPr>
                <w:rFonts w:asciiTheme="minorEastAsia" w:eastAsiaTheme="minorEastAsia" w:hAnsiTheme="minorEastAsia"/>
                <w:b/>
                <w:sz w:val="18"/>
                <w:szCs w:val="18"/>
              </w:rPr>
            </w:pPr>
          </w:p>
          <w:p w:rsidR="00D228BE" w:rsidRPr="00677D1F" w:rsidRDefault="00332EB6" w:rsidP="00677D1F">
            <w:pPr>
              <w:pStyle w:val="TableParagraph"/>
              <w:contextualSpacing/>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序号</w:t>
            </w:r>
          </w:p>
        </w:tc>
        <w:tc>
          <w:tcPr>
            <w:tcW w:w="182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仓库及料仓名称</w:t>
            </w:r>
          </w:p>
        </w:tc>
        <w:tc>
          <w:tcPr>
            <w:tcW w:w="2033"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贮存物料</w:t>
            </w:r>
          </w:p>
        </w:tc>
        <w:tc>
          <w:tcPr>
            <w:tcW w:w="98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b/>
                <w:sz w:val="18"/>
                <w:szCs w:val="18"/>
              </w:rPr>
              <w:t>有效容积</w:t>
            </w:r>
          </w:p>
        </w:tc>
        <w:tc>
          <w:tcPr>
            <w:tcW w:w="770"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贮存量</w:t>
            </w:r>
          </w:p>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（t）</w:t>
            </w:r>
          </w:p>
        </w:tc>
        <w:tc>
          <w:tcPr>
            <w:tcW w:w="98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贮存时间</w:t>
            </w:r>
          </w:p>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（d）</w:t>
            </w:r>
          </w:p>
        </w:tc>
        <w:tc>
          <w:tcPr>
            <w:tcW w:w="1927"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备注</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原料仓库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钛精矿</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16450m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34545</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60</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原料仓库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残焦</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5210m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3908</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60</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钛渣中转仓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钛渣</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1190m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2500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4</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氯化原料库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工业盐</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3000m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3000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38</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5</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氯化原料库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煅后焦</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4000m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2800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51</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6</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液氩贮库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液氩</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64m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7</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四氯化钛贮库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粗四氯化钛</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2400m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4152</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6.8</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8</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四氯化钛贮库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精四氯化钛</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2400m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4152</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6.8</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330</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9</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成品库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海绵钛</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200kg/</w:t>
            </w:r>
            <w:r w:rsidRPr="00677D1F">
              <w:rPr>
                <w:rFonts w:asciiTheme="minorEastAsia" w:eastAsiaTheme="minorEastAsia" w:hAnsiTheme="minorEastAsia" w:hint="eastAsia"/>
                <w:sz w:val="18"/>
                <w:szCs w:val="18"/>
              </w:rPr>
              <w:t>桶</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2000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18</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365</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w:t>
            </w:r>
            <w:r w:rsidRPr="00677D1F">
              <w:rPr>
                <w:rFonts w:asciiTheme="minorEastAsia" w:eastAsiaTheme="minorEastAsia" w:hAnsiTheme="minorEastAsia" w:hint="eastAsia"/>
                <w:sz w:val="18"/>
                <w:szCs w:val="18"/>
              </w:rPr>
              <w:t>0</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镁锭库及化学品库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固体镁锭、阳极、盐</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800m</w:t>
            </w:r>
            <w:r w:rsidRPr="00677D1F">
              <w:rPr>
                <w:rFonts w:asciiTheme="minorEastAsia" w:eastAsiaTheme="minorEastAsia" w:hAnsiTheme="minorEastAsia"/>
                <w:sz w:val="18"/>
                <w:szCs w:val="18"/>
                <w:vertAlign w:val="superscript"/>
              </w:rPr>
              <w:t>2</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30</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365</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11</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氯压机室硫酸储槽</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硫酸</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8m</w:t>
            </w:r>
            <w:r w:rsidRPr="00677D1F">
              <w:rPr>
                <w:rFonts w:asciiTheme="minorEastAsia" w:eastAsiaTheme="minorEastAsia" w:hAnsiTheme="minorEastAsia"/>
                <w:sz w:val="18"/>
                <w:szCs w:val="18"/>
                <w:vertAlign w:val="superscript"/>
              </w:rPr>
              <w:t>3</w:t>
            </w:r>
            <w:r w:rsidRPr="00677D1F">
              <w:rPr>
                <w:rFonts w:asciiTheme="minorEastAsia" w:eastAsiaTheme="minorEastAsia" w:hAnsiTheme="minorEastAsia"/>
                <w:sz w:val="18"/>
                <w:szCs w:val="18"/>
              </w:rPr>
              <w:t>×4</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32</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365</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w:t>
            </w:r>
            <w:r w:rsidRPr="00677D1F">
              <w:rPr>
                <w:rFonts w:asciiTheme="minorEastAsia" w:eastAsiaTheme="minorEastAsia" w:hAnsiTheme="minorEastAsia" w:hint="eastAsia"/>
                <w:sz w:val="18"/>
                <w:szCs w:val="18"/>
              </w:rPr>
              <w:t>2</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钠锭库</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固体钠锭</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1300m</w:t>
            </w:r>
            <w:r w:rsidRPr="00677D1F">
              <w:rPr>
                <w:rFonts w:asciiTheme="minorEastAsia" w:eastAsiaTheme="minorEastAsia" w:hAnsiTheme="minorEastAsia"/>
                <w:sz w:val="18"/>
                <w:szCs w:val="18"/>
                <w:vertAlign w:val="superscript"/>
              </w:rPr>
              <w:t>3</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1100</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365</w:t>
            </w:r>
            <w:r w:rsidRPr="00677D1F">
              <w:rPr>
                <w:rFonts w:asciiTheme="minorEastAsia" w:eastAsiaTheme="minorEastAsia" w:hAnsiTheme="minorEastAsia" w:hint="eastAsia"/>
                <w:sz w:val="18"/>
                <w:szCs w:val="18"/>
              </w:rPr>
              <w:t>天计</w:t>
            </w:r>
          </w:p>
        </w:tc>
      </w:tr>
      <w:tr w:rsidR="00D228BE" w:rsidRPr="00677D1F">
        <w:trPr>
          <w:trHeight w:val="340"/>
          <w:jc w:val="center"/>
        </w:trPr>
        <w:tc>
          <w:tcPr>
            <w:tcW w:w="55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13</w:t>
            </w:r>
          </w:p>
        </w:tc>
        <w:tc>
          <w:tcPr>
            <w:tcW w:w="182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氯压机室硫酸储槽</w:t>
            </w:r>
          </w:p>
        </w:tc>
        <w:tc>
          <w:tcPr>
            <w:tcW w:w="2033"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硫酸</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8m</w:t>
            </w:r>
            <w:r w:rsidRPr="00677D1F">
              <w:rPr>
                <w:rFonts w:asciiTheme="minorEastAsia" w:eastAsiaTheme="minorEastAsia" w:hAnsiTheme="minorEastAsia"/>
                <w:sz w:val="18"/>
                <w:szCs w:val="18"/>
                <w:vertAlign w:val="superscript"/>
              </w:rPr>
              <w:t>3</w:t>
            </w:r>
            <w:r w:rsidRPr="00677D1F">
              <w:rPr>
                <w:rFonts w:asciiTheme="minorEastAsia" w:eastAsiaTheme="minorEastAsia" w:hAnsiTheme="minorEastAsia"/>
                <w:sz w:val="18"/>
                <w:szCs w:val="18"/>
              </w:rPr>
              <w:t>×2</w:t>
            </w:r>
          </w:p>
        </w:tc>
        <w:tc>
          <w:tcPr>
            <w:tcW w:w="770"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16</w:t>
            </w:r>
          </w:p>
        </w:tc>
        <w:tc>
          <w:tcPr>
            <w:tcW w:w="981"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w:t>
            </w:r>
          </w:p>
        </w:tc>
        <w:tc>
          <w:tcPr>
            <w:tcW w:w="192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按每年工作</w:t>
            </w:r>
            <w:r w:rsidRPr="00677D1F">
              <w:rPr>
                <w:rFonts w:asciiTheme="minorEastAsia" w:eastAsiaTheme="minorEastAsia" w:hAnsiTheme="minorEastAsia"/>
                <w:sz w:val="18"/>
                <w:szCs w:val="18"/>
              </w:rPr>
              <w:t>365</w:t>
            </w:r>
            <w:r w:rsidRPr="00677D1F">
              <w:rPr>
                <w:rFonts w:asciiTheme="minorEastAsia" w:eastAsiaTheme="minorEastAsia" w:hAnsiTheme="minorEastAsia" w:hint="eastAsia"/>
                <w:sz w:val="18"/>
                <w:szCs w:val="18"/>
              </w:rPr>
              <w:t>天计</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3.2.3</w:t>
      </w:r>
      <w:r w:rsidRPr="00677D1F">
        <w:rPr>
          <w:rFonts w:ascii="宋体" w:hAnsi="宋体" w:hint="eastAsia"/>
          <w:sz w:val="28"/>
          <w:szCs w:val="28"/>
        </w:rPr>
        <w:t xml:space="preserve"> 供电工程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 电力负荷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本项目电力负荷见表</w:t>
      </w:r>
      <w:r w:rsidRPr="00677D1F">
        <w:rPr>
          <w:rFonts w:ascii="宋体" w:eastAsia="宋体" w:hAnsi="宋体" w:cs="宋体"/>
          <w:color w:val="000000"/>
          <w:kern w:val="0"/>
          <w:sz w:val="24"/>
          <w:szCs w:val="24"/>
        </w:rPr>
        <w:t>3.2-3</w:t>
      </w:r>
      <w:r w:rsidRPr="00677D1F">
        <w:rPr>
          <w:rFonts w:ascii="宋体" w:eastAsia="宋体" w:hAnsi="宋体" w:cs="宋体" w:hint="eastAsia"/>
          <w:color w:val="000000"/>
          <w:kern w:val="0"/>
          <w:sz w:val="24"/>
          <w:szCs w:val="24"/>
        </w:rPr>
        <w:t>。</w:t>
      </w: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表3.2-3电力负荷一览表</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603"/>
        <w:gridCol w:w="2196"/>
        <w:gridCol w:w="947"/>
        <w:gridCol w:w="1176"/>
        <w:gridCol w:w="1062"/>
        <w:gridCol w:w="1975"/>
        <w:gridCol w:w="1113"/>
      </w:tblGrid>
      <w:tr w:rsidR="00D228BE" w:rsidRPr="00677D1F">
        <w:trPr>
          <w:trHeight w:val="340"/>
          <w:jc w:val="center"/>
        </w:trPr>
        <w:tc>
          <w:tcPr>
            <w:tcW w:w="6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序号</w:t>
            </w:r>
          </w:p>
        </w:tc>
        <w:tc>
          <w:tcPr>
            <w:tcW w:w="2196"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用电项目名称</w:t>
            </w:r>
          </w:p>
        </w:tc>
        <w:tc>
          <w:tcPr>
            <w:tcW w:w="3185" w:type="dxa"/>
            <w:gridSpan w:val="3"/>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计算负荷</w:t>
            </w:r>
          </w:p>
        </w:tc>
        <w:tc>
          <w:tcPr>
            <w:tcW w:w="197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lang w:eastAsia="zh-CN"/>
              </w:rPr>
            </w:pPr>
            <w:r w:rsidRPr="00677D1F">
              <w:rPr>
                <w:rFonts w:asciiTheme="minorEastAsia" w:eastAsiaTheme="minorEastAsia" w:hAnsiTheme="minorEastAsia" w:hint="eastAsia"/>
                <w:b/>
                <w:sz w:val="18"/>
                <w:szCs w:val="18"/>
                <w:lang w:eastAsia="zh-CN"/>
              </w:rPr>
              <w:t>最大负荷利用小时</w:t>
            </w:r>
          </w:p>
          <w:p w:rsidR="00D228BE" w:rsidRPr="00677D1F" w:rsidRDefault="00332EB6" w:rsidP="00677D1F">
            <w:pPr>
              <w:pStyle w:val="TableParagraph"/>
              <w:contextualSpacing/>
              <w:jc w:val="center"/>
              <w:rPr>
                <w:rFonts w:asciiTheme="minorEastAsia" w:eastAsiaTheme="minorEastAsia" w:hAnsiTheme="minorEastAsia"/>
                <w:b/>
                <w:sz w:val="18"/>
                <w:szCs w:val="18"/>
                <w:lang w:eastAsia="zh-CN"/>
              </w:rPr>
            </w:pPr>
            <w:r w:rsidRPr="00677D1F">
              <w:rPr>
                <w:rFonts w:asciiTheme="minorEastAsia" w:eastAsiaTheme="minorEastAsia" w:hAnsiTheme="minorEastAsia"/>
                <w:b/>
                <w:sz w:val="18"/>
                <w:szCs w:val="18"/>
                <w:lang w:eastAsia="zh-CN"/>
              </w:rPr>
              <w:t>Tmax（h）</w:t>
            </w:r>
          </w:p>
        </w:tc>
        <w:tc>
          <w:tcPr>
            <w:tcW w:w="111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年耗电量</w:t>
            </w:r>
          </w:p>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（kWh）</w:t>
            </w:r>
          </w:p>
        </w:tc>
      </w:tr>
      <w:tr w:rsidR="00D228BE" w:rsidRPr="00677D1F">
        <w:trPr>
          <w:trHeight w:val="340"/>
          <w:jc w:val="center"/>
        </w:trPr>
        <w:tc>
          <w:tcPr>
            <w:tcW w:w="603"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2196"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P（kW）</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Q（Kvar）</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S（KVA）</w:t>
            </w:r>
          </w:p>
        </w:tc>
        <w:tc>
          <w:tcPr>
            <w:tcW w:w="1975"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113" w:type="dxa"/>
            <w:vMerge/>
            <w:vAlign w:val="center"/>
          </w:tcPr>
          <w:p w:rsidR="00D228BE" w:rsidRPr="00677D1F" w:rsidRDefault="00D228BE" w:rsidP="00677D1F">
            <w:pPr>
              <w:contextualSpacing/>
              <w:jc w:val="center"/>
              <w:rPr>
                <w:rFonts w:asciiTheme="minorEastAsia" w:hAnsiTheme="minorEastAsia"/>
                <w:kern w:val="0"/>
                <w:sz w:val="18"/>
                <w:szCs w:val="18"/>
              </w:rPr>
            </w:pP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钛渣熔炼系统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59140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19480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62250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6660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3.94x10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四氯化钛系统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14250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4700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15000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8000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1.14x10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海绵钛系统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41710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13760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43920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7000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2.92x10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镁电解系统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74250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24500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78190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8000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5.94x10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钠电解系统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32500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10720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34220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8000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2.60x10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钛及钛合金加工系统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94200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31100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99200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4.71x10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w:t>
            </w: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公用辅助系统</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16000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5280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16850</w:t>
            </w:r>
          </w:p>
        </w:tc>
        <w:tc>
          <w:tcPr>
            <w:tcW w:w="1975"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6500</w:t>
            </w: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1.04x10</w:t>
            </w:r>
            <w:r w:rsidRPr="00677D1F">
              <w:rPr>
                <w:rFonts w:asciiTheme="minorEastAsia" w:eastAsiaTheme="minorEastAsia" w:hAnsiTheme="minorEastAsia"/>
                <w:sz w:val="18"/>
                <w:szCs w:val="18"/>
                <w:vertAlign w:val="superscript"/>
              </w:rPr>
              <w:t>8</w:t>
            </w:r>
          </w:p>
        </w:tc>
      </w:tr>
      <w:tr w:rsidR="00D228BE" w:rsidRPr="00677D1F">
        <w:trPr>
          <w:trHeight w:val="340"/>
          <w:jc w:val="center"/>
        </w:trPr>
        <w:tc>
          <w:tcPr>
            <w:tcW w:w="603"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219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 xml:space="preserve">220kV </w:t>
            </w:r>
            <w:r w:rsidRPr="00677D1F">
              <w:rPr>
                <w:rFonts w:asciiTheme="minorEastAsia" w:eastAsiaTheme="minorEastAsia" w:hAnsiTheme="minorEastAsia" w:hint="eastAsia"/>
                <w:sz w:val="18"/>
                <w:szCs w:val="18"/>
              </w:rPr>
              <w:t>总计</w:t>
            </w:r>
          </w:p>
        </w:tc>
        <w:tc>
          <w:tcPr>
            <w:tcW w:w="94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332050</w:t>
            </w:r>
          </w:p>
        </w:tc>
        <w:tc>
          <w:tcPr>
            <w:tcW w:w="117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109540</w:t>
            </w:r>
          </w:p>
        </w:tc>
        <w:tc>
          <w:tcPr>
            <w:tcW w:w="106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349520</w:t>
            </w:r>
          </w:p>
        </w:tc>
        <w:tc>
          <w:tcPr>
            <w:tcW w:w="1975"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13"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22.29x10</w:t>
            </w:r>
            <w:r w:rsidRPr="00677D1F">
              <w:rPr>
                <w:rFonts w:asciiTheme="minorEastAsia" w:eastAsiaTheme="minorEastAsia" w:hAnsiTheme="minorEastAsia"/>
                <w:sz w:val="18"/>
                <w:szCs w:val="18"/>
                <w:vertAlign w:val="superscript"/>
              </w:rPr>
              <w:t>8</w:t>
            </w:r>
          </w:p>
        </w:tc>
      </w:tr>
    </w:tbl>
    <w:p w:rsidR="00D228BE" w:rsidRPr="00677D1F" w:rsidRDefault="00D228BE" w:rsidP="00677D1F">
      <w:pPr>
        <w:widowControl/>
        <w:spacing w:line="240" w:lineRule="exact"/>
        <w:contextualSpacing/>
        <w:rPr>
          <w:rFonts w:ascii="宋体" w:eastAsia="宋体" w:hAnsi="宋体" w:cs="宋体"/>
          <w:color w:val="000000"/>
          <w:kern w:val="0"/>
          <w:sz w:val="20"/>
          <w:szCs w:val="20"/>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钛渣熔炼，氯化，还蒸，镁电解，钠电解，钛加工及生产循环水等主要生产流程用电为二级负荷，约占总用电负荷的90%。</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仓库，渣场，食堂，宿舍及办公楼等公用辅助设施用电为三级负荷，约占总用电负荷的9%。</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220kV变电站自用电，熔炼车间冷却循环水及其煤气引风机用电，氯化尾气处理用电，还蒸炉，镁电解，钠电解及钛加工电弧炉冷却循环水，消防疏散照明用电为一级负荷，约占总用电负荷的1%。</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二回220kV外部电源引自项目附近电网线路，在厂内新建一座220/35/10kV总降压变电站。当其中一回220kV电源线路故障或检修时，另外一回220kV电源线路应能满足本项目一、二级负荷用电需要，即能保证工厂正常生产运行。</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（2）供配电方案</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在工厂靠近负荷中心，外部电源引入方便且环境较好区域设置一座220kV总降压变电站，其中包含：220kV GIS 户内开关站一座，220/35/10kV户外电力变压器共四台，35kV及10kV总配电所各两座，主控楼一座，室外设置35kV及10kV PFC装置和电容补偿装置。220kV供配电系统采用双母线接线方式，共有以下8个间隔：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2个220kV 电源进线间隔、1个母联间隔、2个PT布置在1个间隔、4个降压变压器馈出线间隔。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4台降压变压器：SFZ10-150/220±8X1.25%/37/10.5kV，150MVA/150MVA/75MVA。</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按工艺流程密切程度及负荷数量将35kV，10kV配电系统分为2套相对独立的配电系统，即钛渣熔炼、四氯化钛、海绵钛生产组成一个供配电系统，钠电解、钛加工生产及公用辅助设施组成一个供配电系统。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1#35kV总配电室向以下设备提供电源：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钛渣熔炼车间2台钛渣电炉变压器；镁电解车间4台整流机组。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2#35kV总配电室向以下设备提供电源：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钛加工2台电炉变压器；钠电解车间 4 台整流机组。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1#，2#10kV 总配电室向以下设备提供电源：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工厂内部10kV分配，10kV高压电动机，10/0.4kV车间电力变压器。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10kV，35kV 配电系统均采用单母线分段接线方式，放射式配电方式。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各10kV分配及10/0.4kV车间变配电所尽量布置在负荷中心且环境较好位置。</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3.2.4</w:t>
      </w:r>
      <w:r w:rsidRPr="00677D1F">
        <w:rPr>
          <w:rFonts w:ascii="宋体" w:hAnsi="宋体" w:hint="eastAsia"/>
          <w:sz w:val="28"/>
          <w:szCs w:val="28"/>
        </w:rPr>
        <w:t xml:space="preserve"> 采暖工程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（1）采暖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本工程全厂采暖建筑面积231000m</w:t>
      </w:r>
      <w:r w:rsidRPr="00677D1F">
        <w:rPr>
          <w:rFonts w:ascii="宋体" w:eastAsia="宋体" w:hAnsi="宋体" w:cs="宋体" w:hint="eastAsia"/>
          <w:color w:val="000000"/>
          <w:kern w:val="0"/>
          <w:sz w:val="24"/>
          <w:szCs w:val="24"/>
          <w:vertAlign w:val="superscript"/>
        </w:rPr>
        <w:t>2</w:t>
      </w:r>
      <w:r w:rsidRPr="00677D1F">
        <w:rPr>
          <w:rFonts w:ascii="宋体" w:eastAsia="宋体" w:hAnsi="宋体" w:cs="宋体" w:hint="eastAsia"/>
          <w:color w:val="000000"/>
          <w:kern w:val="0"/>
          <w:sz w:val="24"/>
          <w:szCs w:val="24"/>
        </w:rPr>
        <w:t>，总耗热量约46200kW，各生产工段热量消耗情况详见表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表  全厂采暖消耗情况一览表</w:t>
      </w:r>
    </w:p>
    <w:tbl>
      <w:tblPr>
        <w:tblStyle w:val="aa"/>
        <w:tblW w:w="9072" w:type="dxa"/>
        <w:jc w:val="center"/>
        <w:tblLayout w:type="fixed"/>
        <w:tblLook w:val="04A0" w:firstRow="1" w:lastRow="0" w:firstColumn="1" w:lastColumn="0" w:noHBand="0" w:noVBand="1"/>
      </w:tblPr>
      <w:tblGrid>
        <w:gridCol w:w="1136"/>
        <w:gridCol w:w="3398"/>
        <w:gridCol w:w="2269"/>
        <w:gridCol w:w="2269"/>
      </w:tblGrid>
      <w:tr w:rsidR="00D228BE" w:rsidRPr="00677D1F">
        <w:trPr>
          <w:trHeight w:val="340"/>
          <w:jc w:val="center"/>
        </w:trPr>
        <w:tc>
          <w:tcPr>
            <w:tcW w:w="1136"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序号</w:t>
            </w:r>
          </w:p>
        </w:tc>
        <w:tc>
          <w:tcPr>
            <w:tcW w:w="3398"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生产工段</w:t>
            </w:r>
          </w:p>
        </w:tc>
        <w:tc>
          <w:tcPr>
            <w:tcW w:w="226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采暖面积（m</w:t>
            </w:r>
            <w:r w:rsidRPr="00677D1F">
              <w:rPr>
                <w:rFonts w:ascii="宋体" w:eastAsia="宋体" w:hAnsi="宋体" w:cs="宋体" w:hint="eastAsia"/>
                <w:b/>
                <w:color w:val="000000"/>
                <w:kern w:val="0"/>
                <w:sz w:val="18"/>
                <w:szCs w:val="18"/>
                <w:vertAlign w:val="superscript"/>
              </w:rPr>
              <w:t>2</w:t>
            </w:r>
            <w:r w:rsidRPr="00677D1F">
              <w:rPr>
                <w:rFonts w:ascii="宋体" w:eastAsia="宋体" w:hAnsi="宋体" w:cs="宋体" w:hint="eastAsia"/>
                <w:b/>
                <w:color w:val="000000"/>
                <w:kern w:val="0"/>
                <w:sz w:val="18"/>
                <w:szCs w:val="18"/>
              </w:rPr>
              <w:t>）</w:t>
            </w:r>
          </w:p>
        </w:tc>
        <w:tc>
          <w:tcPr>
            <w:tcW w:w="226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总消耗热量（kW）</w:t>
            </w:r>
          </w:p>
        </w:tc>
      </w:tr>
      <w:tr w:rsidR="00D228BE" w:rsidRPr="00677D1F">
        <w:trPr>
          <w:trHeight w:val="340"/>
          <w:jc w:val="center"/>
        </w:trPr>
        <w:tc>
          <w:tcPr>
            <w:tcW w:w="113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339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钛渣生产系统</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19800</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3960</w:t>
            </w:r>
          </w:p>
        </w:tc>
      </w:tr>
      <w:tr w:rsidR="00D228BE" w:rsidRPr="00677D1F">
        <w:trPr>
          <w:trHeight w:val="340"/>
          <w:jc w:val="center"/>
        </w:trPr>
        <w:tc>
          <w:tcPr>
            <w:tcW w:w="113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339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四氯化钛及海绵钛生产系统</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26400</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5280</w:t>
            </w:r>
          </w:p>
        </w:tc>
      </w:tr>
      <w:tr w:rsidR="00D228BE" w:rsidRPr="00677D1F">
        <w:trPr>
          <w:trHeight w:val="340"/>
          <w:jc w:val="center"/>
        </w:trPr>
        <w:tc>
          <w:tcPr>
            <w:tcW w:w="113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339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钠电解生产系统</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19800</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3960</w:t>
            </w:r>
          </w:p>
        </w:tc>
      </w:tr>
      <w:tr w:rsidR="00D228BE" w:rsidRPr="00677D1F">
        <w:trPr>
          <w:trHeight w:val="340"/>
          <w:jc w:val="center"/>
        </w:trPr>
        <w:tc>
          <w:tcPr>
            <w:tcW w:w="113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339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钛加工生产系统</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165000</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33000</w:t>
            </w:r>
          </w:p>
        </w:tc>
      </w:tr>
      <w:tr w:rsidR="00D228BE" w:rsidRPr="00677D1F">
        <w:trPr>
          <w:trHeight w:val="340"/>
          <w:jc w:val="center"/>
        </w:trPr>
        <w:tc>
          <w:tcPr>
            <w:tcW w:w="113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3398"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总计</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231000</w:t>
            </w:r>
          </w:p>
        </w:tc>
        <w:tc>
          <w:tcPr>
            <w:tcW w:w="226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46200</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散热器采用钢制柱形散热器或高压铸铝散热器，在有腐蚀性气体散发的车间采用防腐型散热器，散热器中心距以600mm、900mm高为主，散热器采用挂装或落地安装。</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采暖管网采用直埋敷设方式，对于没条件直埋敷设的地段局部架空敷设。架空敷设采暖管网管道采用无缝钢管，保温材料采用复合硅酸盐管壳，外包镀锌钢板；直埋敷设采暖管采用无补偿预支直埋管。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热交换站采用一组整体式热力机组。机组由板式换热器、调节设备、除污设备、显示仪表、循环泵、补水泵和电气控制柜等组成一个完整的汽－水换热设备。定压方式采用补水泵定压，利用机组所带的变频控制柜来控制补水量，以达到定压目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本工程共设4个换热站，分别为：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钛渣生产系统换热站，供暖负荷3960kW，循环水量137t/h，系统资用压力0.30MPa；</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四氯化钛及海绵钛生产系统换热站，供暖负荷5280kW，循环水量182t/h，系统资用压力0.30MPa；</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 钠电解生产系统换热站，供暖负荷3960kW，循环水量137t/h，系统资用压力0.30MPa；</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钛及钛加工生产系统换热站，供暖负荷33000kW，循环水量1138t/h，系统资用压力0.30MPa。</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w:t>
      </w:r>
      <w:r w:rsidRPr="00677D1F">
        <w:rPr>
          <w:rFonts w:ascii="宋体" w:hAnsi="宋体" w:hint="eastAsia"/>
          <w:sz w:val="28"/>
          <w:szCs w:val="28"/>
        </w:rPr>
        <w:t>5 通风工程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（1）钛渣原料转运站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本工段主要有害物是生产原料在输送、转运过程中散发的粉尘。根据工艺流程本工段共设 1 套收尘系统，系统风量50000m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（2）钛渣熔炼车间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本工段主要有害物是在往熔炼炉中加料过程散发的粉尘，根据工艺流程，每台熔炼炉设置1套收尘系统，收集加料过程散发的粉尘，每套系统风量均为60000m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（3）生铁处理机加工铸件车间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本工段主要有害物是炼钢炉及LF 炉生产过程散发的烟气，本工程共设有2台炼钢炉及1台LF炉，分别对应设置1套烟气净化系统，系统风量均为90000m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/h，收尘粉收集后运渣场堆存。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（4）钛渣冷却及初碎</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本工段主要有害物是钛渣在输送及破碎过程中散发的粉尘，根据工艺流程共设置2套收尘系统，每套收尘系统风量均为30000m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（5）钛渣破碎及成品转运站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本工段主要有害物是成品钛渣在进入钛渣储仓前破碎、输送过程中散发的粉尘，设置1套收尘系统，收尘系统风量为90000m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/h，收尘粉返回工艺流程。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（6）电炉烟气净化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本工段共设有2台钛渣电炉，密闭钛渣电炉产生的荒煤气正常温度在800～1100℃（密闭钛渣电炉炉盖处），每台炉排烟量6000Nm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/h，每台炉对应设置一套电炉烟气净化系统。烟气经水冷烟道后（温度≤500℃） 进入重力除尘器进行粗除尘、然后进入精除尘器进行精除尘，除尘后的 净煤气经空冷器冷却后温度≤200℃，再通过煤气引风机输送至后端净煤 气冷却器，净煤气冷却至≤70℃后输送至煤气柜或点火放散，钛渣电炉 所产生的净煤气不回收时，通过放散装置自动点火放散。</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（7）出炉口烟气净化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出炉口烟气净化系统是用来收集钛渣电炉出炉时炉口散发的烟气，本工段共设有2台钛渣电炉，每台电炉对应设置1套出炉口烟气净化系统，每套风量均为 150000m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/h，收尘粉收集后运至渣场堆存。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（8）氯化原料库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本工段主要有害物是富钛料及石油焦输送过程散发的粉尘，共设置3套收尘系统，每套风量均为35000m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/h，收尘粉返回各工艺流程中。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（9）氯化车间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本工段主要有害物是石油焦及高钛渣输送及配料过程中散发的粉尘，共设置6个收尘系统，每套风量均为15000m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有害气体有可能泄漏的区域，设置事故通风系统，事故区域内换气次数不小于 12 次/时，通风系统与室内有害物浓度超标报警系统连锁开启。排除的有害气体接入工艺尾气处理系统净化处理后排空。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（10）还原蒸馏车间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本工段对车间内工艺设备散发的大量余热及车间内少量无组织排放的TiCl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等，一楼四周开敞，采用自然通风。为加强室内通风效果，二楼采用机械排风和自然通风相结合的通风措施，土建专业在厂房顶设置天窗，消除厂房内的余热及少量 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。对还原蒸馏反应器散发的热量，采用局部强制通风换气措施。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（11）海绵钛破碎车间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本工段在海绵钛的输送、破碎及筛分过程中散发的微量钛粉尘，设置移动式轴流风机进行局部强制通风换气。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（12）镁电解/钠电解车间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本工段对镁电解槽及渣分离槽少量散至车间内无组织排放的HCl、Cl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，在厂房顶设置天窗自然通风。对镁、钠电解槽及精炼炉散发的热量，采用局部强制通风换气措施。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（13）氯压机室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本工段在氯气过滤器室、氯压机室可能泄漏Cl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的区域设置事故通风，事故区域内换气次数不小于12次/h，排除的有害气体接入工艺尾气处理系统净化处理后排空。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（14）液氯储库及液氯蒸发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本工段对可能散发HCl、Cl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等有害气体的区域设置事故通风，换气次数不小于 12次/h，通风系统与室内有害物浓度超标报警系统连锁开启， 排除的有害气体接入工艺尾气处理系统净化处理后排空。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（15）镁、钠系统尾气及事故氯气处理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钛风机可能散发的微量HCl、Cl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等有害气体，采用强制通风措施，全室换气。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（16）精盐干燥工段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本工段对精盐干燥过程散发的粉尘设置收尘系统，每个精盐干燥工段各设1套收尘系统，每套风量均为10000m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/h，收尘粉返回工艺流程中。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（17）熔铸车间、板带车间、焊管车间、无缝管车间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熔铸车间、板带车间、焊管车间、无缝管车间等车间各工段废气处理方式：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板材加热炉产生的烟气，随机带有净化装置进行净化处理； 板材冷轧机产生的油雾，随机带有净化装置进行净化处理； 卷材冷轧机产生的油雾，随机带有净化装置进行净化处理；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表面处理槽组产生的微量酸气，随机带有净化装置进行净化处理； 脱脂机组产生的微量碱气，随机带有净化装置进行净化处理；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酸洗机组产生的微量酸气，随机带有净化装置进行净化处理； 喷丸机组产生的微量粉尘，随机带有净化装置进行净化处理；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板材砂光机组产生的微量粉尘，随机带有净化装置进行净化处理。对剩余工艺设备产生的微量有害气体，采用局部排风措施，设置玻璃钢屋顶风机进行通风换气。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（18）配电室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本工段对各设备间均采取机械排风全室换气措施消除室内设备散发的余热。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（19）泵房</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对循环水、加压泵房废水处理站等工段泵房设机械排风用于消除室内设备散发的余热。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（20）质检/化验中心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本工段对化验通风柜产生的酸性气体，采用玻璃钢屋顶风机机械排风。</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对化验有局部排气要求的工作点或操作台，采用在排气点设置排气罩进行局部排风。</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制样室操作台有几个产尘点，设单机除尘器收尘，收尘粉定期由人工外排。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（21）全厂空调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对车间办公楼及全厂主控楼、计控室等工段的会议室设舒适性空调，选用冷暖式空调机以达到控温目的。其余工段的控制室选用机房专用空调以达到控温目的。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3.2.5</w:t>
      </w:r>
      <w:r w:rsidRPr="00677D1F">
        <w:rPr>
          <w:rFonts w:ascii="宋体" w:hAnsi="宋体" w:hint="eastAsia"/>
          <w:sz w:val="28"/>
          <w:szCs w:val="28"/>
        </w:rPr>
        <w:t xml:space="preserve"> 热力工程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为满足工艺的正常生产，需供应低温水、压缩空气、氮气、氧气、蒸汽、天然气，相应配套建设的热力设施包括空压站、氮气站、氧气站、冷冻站、天然气调压站、电炉煤气存储与加压系统、锅炉房（含软水站）、脱硫脱硝净化处理、热力管网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（1）空压站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压缩空气主要供全厂收尘、钛渣熔炼、氯压机室、熔铸、四氯化钛生产、氧气站等用户使用，其平均负荷为798m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/min，压力0.6MPa，压力露点-40℃。</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根据压缩空气负荷统计，分别选用离心式空压机、余热再生干燥机各4台。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（2）氮气站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根据工艺需要，本工程需提供两种参数氮气，其中钠电解工段所需氮气纯度为 99.999%,平均负荷为280Nm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/h，压力0.6MPa;其他工段所需氮气纯度为99.5%,平均负荷为1180Nm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/h，压力0.6MPa。</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根据氮气负荷，分别选用离心式空压机、余热再生干燥机各3台。制氮机（氮气纯度99.5%）3台，制氮机（氮气纯度99.999%）2台。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（3）制氧站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氧气主要供钛渣熔炼、氯化、精制工段使用，氧气纯度为93%,平均负荷为615Nm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/h，压力0.6MPa。</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根据氧气负荷，选用制氧机（氧气纯度93%）5台，4台运行，1台备用。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（4）冷冻站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工艺生产中精制、氯化等工段需提供低温水（55%乙二醇），平均冷负荷为2912kW,供回水温度分别为-30℃/-25℃。</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根据负荷情况，分别选用高效螺杆式低温机组5台。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（5）天然气调压站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天然气主要锅炉房、残钛回收、锻造、板带工段使用，平均负荷为6829Nm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本工程设计中天然气外网进厂区供气压力为2.4MPa，厂内设天然气调压站，经过调压器调压，将出口压力调节到0.1～0.3MPa，然后通过管网输送到各个用户。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w:t>
      </w:r>
      <w:r w:rsidRPr="00677D1F">
        <w:rPr>
          <w:rFonts w:ascii="宋体" w:eastAsia="宋体" w:hAnsi="宋体" w:cs="宋体"/>
          <w:color w:val="000000"/>
          <w:kern w:val="0"/>
          <w:sz w:val="24"/>
          <w:szCs w:val="24"/>
        </w:rPr>
        <w:t>电炉煤气存储与加压</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本工程在钛渣工段会生产电炉煤气，该电炉煤气可供锅炉房作为燃料使用，因此需设置电炉煤气存储与加压系统。电炉煤气平均负荷：9000Nm</w:t>
      </w:r>
      <w:r w:rsidRPr="00677D1F">
        <w:rPr>
          <w:rFonts w:asciiTheme="minorEastAsia" w:eastAsiaTheme="minorEastAsia" w:hAnsiTheme="minorEastAsia"/>
          <w:sz w:val="24"/>
          <w:szCs w:val="24"/>
          <w:vertAlign w:val="superscript"/>
        </w:rPr>
        <w:t>3</w:t>
      </w:r>
      <w:r w:rsidRPr="00677D1F">
        <w:rPr>
          <w:rFonts w:asciiTheme="minorEastAsia" w:eastAsiaTheme="minorEastAsia" w:hAnsiTheme="minorEastAsia"/>
          <w:sz w:val="24"/>
          <w:szCs w:val="24"/>
        </w:rPr>
        <w:t>/h</w:t>
      </w:r>
      <w:r w:rsidRPr="00677D1F">
        <w:rPr>
          <w:rFonts w:asciiTheme="minorEastAsia" w:eastAsiaTheme="minorEastAsia" w:hAnsiTheme="minorEastAsia" w:hint="eastAsia"/>
          <w:sz w:val="24"/>
          <w:szCs w:val="24"/>
        </w:rPr>
        <w:t>。</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电炉煤气成分见表 14.6-1：</w:t>
      </w:r>
    </w:p>
    <w:p w:rsidR="00D228BE" w:rsidRPr="00677D1F" w:rsidRDefault="00332EB6" w:rsidP="00677D1F">
      <w:pPr>
        <w:tabs>
          <w:tab w:val="left" w:pos="1511"/>
        </w:tabs>
        <w:spacing w:before="188"/>
        <w:ind w:left="251"/>
        <w:contextualSpacing/>
        <w:rPr>
          <w:rFonts w:ascii="黑体" w:eastAsia="黑体"/>
          <w:sz w:val="24"/>
        </w:rPr>
      </w:pPr>
      <w:r w:rsidRPr="00677D1F">
        <w:rPr>
          <w:rFonts w:ascii="黑体" w:eastAsia="黑体" w:hint="eastAsia"/>
          <w:sz w:val="24"/>
        </w:rPr>
        <w:t>表 14.6-1</w:t>
      </w:r>
      <w:r w:rsidRPr="00677D1F">
        <w:rPr>
          <w:rFonts w:ascii="黑体" w:eastAsia="黑体" w:hint="eastAsia"/>
          <w:sz w:val="24"/>
        </w:rPr>
        <w:tab/>
        <w:t>电炉煤气成分表</w:t>
      </w:r>
    </w:p>
    <w:p w:rsidR="00D228BE" w:rsidRPr="00677D1F" w:rsidRDefault="00D228BE" w:rsidP="00677D1F">
      <w:pPr>
        <w:pStyle w:val="a4"/>
        <w:spacing w:before="3"/>
        <w:contextualSpacing/>
        <w:rPr>
          <w:rFonts w:ascii="黑体"/>
          <w:sz w:val="5"/>
        </w:rPr>
      </w:pPr>
    </w:p>
    <w:tbl>
      <w:tblPr>
        <w:tblStyle w:val="TableNormal"/>
        <w:tblW w:w="8779" w:type="dxa"/>
        <w:tblInd w:w="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84"/>
        <w:gridCol w:w="1200"/>
        <w:gridCol w:w="1090"/>
        <w:gridCol w:w="1203"/>
        <w:gridCol w:w="1090"/>
        <w:gridCol w:w="1068"/>
        <w:gridCol w:w="1090"/>
        <w:gridCol w:w="1054"/>
      </w:tblGrid>
      <w:tr w:rsidR="00D228BE" w:rsidRPr="00677D1F">
        <w:trPr>
          <w:trHeight w:val="311"/>
        </w:trPr>
        <w:tc>
          <w:tcPr>
            <w:tcW w:w="984"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成分</w:t>
            </w:r>
          </w:p>
        </w:tc>
        <w:tc>
          <w:tcPr>
            <w:tcW w:w="120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CO</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CO</w:t>
            </w:r>
            <w:r w:rsidRPr="00677D1F">
              <w:rPr>
                <w:rFonts w:asciiTheme="minorEastAsia" w:eastAsiaTheme="minorEastAsia" w:hAnsiTheme="minorEastAsia"/>
                <w:b/>
                <w:sz w:val="21"/>
                <w:vertAlign w:val="subscript"/>
              </w:rPr>
              <w:t>2</w:t>
            </w:r>
          </w:p>
        </w:tc>
        <w:tc>
          <w:tcPr>
            <w:tcW w:w="1203"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N</w:t>
            </w:r>
            <w:r w:rsidRPr="00677D1F">
              <w:rPr>
                <w:rFonts w:asciiTheme="minorEastAsia" w:eastAsiaTheme="minorEastAsia" w:hAnsiTheme="minorEastAsia"/>
                <w:b/>
                <w:sz w:val="21"/>
                <w:vertAlign w:val="subscript"/>
              </w:rPr>
              <w:t>2</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b/>
                <w:sz w:val="21"/>
                <w:vertAlign w:val="subscript"/>
              </w:rPr>
              <w:t>2</w:t>
            </w:r>
          </w:p>
        </w:tc>
        <w:tc>
          <w:tcPr>
            <w:tcW w:w="1068"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O</w:t>
            </w:r>
            <w:r w:rsidRPr="00677D1F">
              <w:rPr>
                <w:rFonts w:asciiTheme="minorEastAsia" w:eastAsiaTheme="minorEastAsia" w:hAnsiTheme="minorEastAsia"/>
                <w:b/>
                <w:sz w:val="21"/>
                <w:vertAlign w:val="subscript"/>
              </w:rPr>
              <w:t>2</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SO</w:t>
            </w:r>
            <w:r w:rsidRPr="00677D1F">
              <w:rPr>
                <w:rFonts w:asciiTheme="minorEastAsia" w:eastAsiaTheme="minorEastAsia" w:hAnsiTheme="minorEastAsia"/>
                <w:b/>
                <w:sz w:val="21"/>
                <w:vertAlign w:val="subscript"/>
              </w:rPr>
              <w:t>2</w:t>
            </w:r>
          </w:p>
        </w:tc>
        <w:tc>
          <w:tcPr>
            <w:tcW w:w="1054" w:type="dxa"/>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b/>
                <w:sz w:val="21"/>
                <w:vertAlign w:val="subscript"/>
              </w:rPr>
              <w:t>2</w:t>
            </w:r>
            <w:r w:rsidRPr="00677D1F">
              <w:rPr>
                <w:rFonts w:asciiTheme="minorEastAsia" w:eastAsiaTheme="minorEastAsia" w:hAnsiTheme="minorEastAsia"/>
                <w:b/>
                <w:sz w:val="21"/>
              </w:rPr>
              <w:t>O</w:t>
            </w:r>
          </w:p>
        </w:tc>
      </w:tr>
      <w:tr w:rsidR="00D228BE" w:rsidRPr="00677D1F">
        <w:trPr>
          <w:trHeight w:val="313"/>
        </w:trPr>
        <w:tc>
          <w:tcPr>
            <w:tcW w:w="984"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含量</w:t>
            </w:r>
          </w:p>
        </w:tc>
        <w:tc>
          <w:tcPr>
            <w:tcW w:w="120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65</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70</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3.5</w:t>
            </w:r>
          </w:p>
        </w:tc>
        <w:tc>
          <w:tcPr>
            <w:tcW w:w="1203"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20</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25</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5</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7</w:t>
            </w:r>
          </w:p>
        </w:tc>
        <w:tc>
          <w:tcPr>
            <w:tcW w:w="1068"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&lt;0.1</w:t>
            </w:r>
          </w:p>
        </w:tc>
        <w:tc>
          <w:tcPr>
            <w:tcW w:w="1090"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0.15</w:t>
            </w:r>
          </w:p>
        </w:tc>
        <w:tc>
          <w:tcPr>
            <w:tcW w:w="1054" w:type="dxa"/>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1.5</w:t>
            </w:r>
          </w:p>
        </w:tc>
      </w:tr>
    </w:tbl>
    <w:p w:rsidR="00D228BE" w:rsidRPr="00677D1F" w:rsidRDefault="00D228BE" w:rsidP="00677D1F">
      <w:pPr>
        <w:pStyle w:val="a4"/>
        <w:spacing w:line="240" w:lineRule="exact"/>
        <w:contextualSpacing/>
        <w:rPr>
          <w:rFonts w:ascii="黑体"/>
          <w:sz w:val="29"/>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（7）锅炉房</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由于本工程可以提供9000Nm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/h电炉煤气作为燃料，本次设计选用电炉煤气锅炉30t/h一台，可以满足常年生产负荷需要。另选天然气锅炉35t/h两台，供采暖期采暖负荷。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（8）热力管网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厂区热力管网有蒸汽、压缩空气、氮气、氧气、低温水、天然气、电炉煤气管道，管网布置采用枝状布置方式，管网敷设采用中、高支架架空敷设。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蒸汽管道保温材料采用复合硅酸盐毡，外壳采用镀锌铁皮。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低温水管道保冷材料采用聚氨酯泡沫塑料，外壳采用镀锌铁皮。管道热膨胀采用自然补偿和伸缩节相结合的方式。</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3.2.6</w:t>
      </w:r>
      <w:r w:rsidRPr="00677D1F">
        <w:rPr>
          <w:rFonts w:ascii="宋体" w:hAnsi="宋体" w:hint="eastAsia"/>
          <w:sz w:val="28"/>
          <w:szCs w:val="28"/>
        </w:rPr>
        <w:t xml:space="preserve"> 理化检测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依据本项目的生产规模，设立质检中心来承担全厂的理化检测及技术质量检查工作。</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质检中心由中心实验室、技术质量检查站组成，具体如下：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（1）中心实验室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中心实验室负责所有的分析检验工作。其中，高钛渣生产部分：包括对高钛渣生产原料钛精矿的成分进行批样抽检，对作为还原剂的石油焦进行分析检测，对成品高钛渣和副产品生铁进行分析检测；海绵钛生产部分：包括钛生产系统每班进行的控制分析工作，生产各环节物料的化学成分分析、纯度分析、气体分析，成品海</w:t>
      </w:r>
      <w:r w:rsidRPr="00677D1F">
        <w:rPr>
          <w:rFonts w:ascii="宋体" w:eastAsia="宋体" w:hAnsi="宋体" w:cs="宋体" w:hint="eastAsia"/>
          <w:color w:val="000000"/>
          <w:kern w:val="0"/>
          <w:sz w:val="24"/>
          <w:szCs w:val="24"/>
        </w:rPr>
        <w:lastRenderedPageBreak/>
        <w:t>绵钛的粒度及堆比重分析， 以及将海绵钛在真空自耗电弧炉中成锭后作布氏硬度检测和常见杂质元素的分析检验；镁生产部分：包括对镁电解车间的电解质和电解槽渣进行成分分析，对镁精炼车间的精镁、镁精炼熔剂、镁锭及各种原料进行成分分析；钠电解部分：对作为原料的氯化盐进行成分分析，对产生的氯气、金属钠进行成分分析，对生产环节的其他相关物料进行分析检测；钛加工部分：对加工过程的原料、辅料、毛坯和成品进行成分分析、金相分析、物料性能检测；杂项分析部分：根据需要对厂区范围内的废水、废气排放进行的日常项目监测，对生产所涉及的各自气体进行成分分析；水分析部分：负责厂区的常规水质、全厂生产中循环水和生产污水的水质控制分析任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中心化验室本部承担主要的理化检测项目，为便于生产配合，车间生产所需的日常快速分析，由下设在车间现场的快速分析室承担。</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（2）技术质量检查站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技术质量检查站根据技术规程对进厂原材料、中间生产过程和出厂成品等相应的环节进行技术质量检查、监督，由技术质量检查站本部、原料检查站、综合检查站、海绵钛检查站、加工检查站组成。按照设计分工，原料检查站负责进厂原材料的质量检查和取样、送分析、判级工作；综合检查站负责生产过程的技术质量检查和取样、送分析工作；海绵钛检查站负责还蒸工段和海绵钛破碎工段的技术质量检查、判级、发放合格标志和取样送分析工作，并负责将海绵钛进一步破碎，然后在质检制样站中压制成电极、在真空自耗电弧炉中制锭，将制成的钛锭送中心实验室作布氏硬度检测；加工检查站负责各个钛加工生产片区的技术质量检查和取样、送分析，以及成品钛材的分等判级、发放合格标志等工作。</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技术质量检查站根据技术规程对进厂原材料、中间生产过程和出厂成品等相应的环节进行技术质量检查、监督和取送样，由技术质量检查站本部、原料检查站、综合检查站、海绵钛检查站和钛加工部分车间检查站组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中心化验室</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含质检</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为一单独建筑，生产面积约</w:t>
      </w:r>
      <w:r w:rsidRPr="00677D1F">
        <w:rPr>
          <w:rFonts w:ascii="宋体" w:eastAsia="宋体" w:hAnsi="宋体" w:cs="宋体"/>
          <w:color w:val="000000"/>
          <w:kern w:val="0"/>
          <w:sz w:val="24"/>
          <w:szCs w:val="24"/>
        </w:rPr>
        <w:t>2020m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。化学试剂库为一单独建筑，面积约</w:t>
      </w:r>
      <w:r w:rsidRPr="00677D1F">
        <w:rPr>
          <w:rFonts w:ascii="宋体" w:eastAsia="宋体" w:hAnsi="宋体" w:cs="宋体"/>
          <w:color w:val="000000"/>
          <w:kern w:val="0"/>
          <w:sz w:val="24"/>
          <w:szCs w:val="24"/>
        </w:rPr>
        <w:t>130m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。原料取制样站设在原料库（钛精矿、还原剂）范围内，面积约</w:t>
      </w:r>
      <w:r w:rsidRPr="00677D1F">
        <w:rPr>
          <w:rFonts w:ascii="宋体" w:eastAsia="宋体" w:hAnsi="宋体" w:cs="宋体"/>
          <w:color w:val="000000"/>
          <w:kern w:val="0"/>
          <w:sz w:val="24"/>
          <w:szCs w:val="24"/>
        </w:rPr>
        <w:t>65m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。海绵钛检查站设在海绵钛破碎及成品库工段的边跨内，面积约</w:t>
      </w:r>
      <w:r w:rsidRPr="00677D1F">
        <w:rPr>
          <w:rFonts w:ascii="宋体" w:eastAsia="宋体" w:hAnsi="宋体" w:cs="宋体"/>
          <w:color w:val="000000"/>
          <w:kern w:val="0"/>
          <w:sz w:val="24"/>
          <w:szCs w:val="24"/>
        </w:rPr>
        <w:t>76m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。车间检查站在熔铸、锻造、板带、残钛回收车间各设一个，面积约</w:t>
      </w:r>
      <w:r w:rsidRPr="00677D1F">
        <w:rPr>
          <w:rFonts w:ascii="宋体" w:eastAsia="宋体" w:hAnsi="宋体" w:cs="宋体"/>
          <w:color w:val="000000"/>
          <w:kern w:val="0"/>
          <w:sz w:val="24"/>
          <w:szCs w:val="24"/>
        </w:rPr>
        <w:t>44</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3.2.7</w:t>
      </w:r>
      <w:r w:rsidRPr="00677D1F">
        <w:rPr>
          <w:rFonts w:ascii="宋体" w:hAnsi="宋体" w:hint="eastAsia"/>
          <w:sz w:val="28"/>
          <w:szCs w:val="28"/>
        </w:rPr>
        <w:t xml:space="preserve"> 消防</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3.2.7.1</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厂区消防</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本项目不单独设置消防站，消防车</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站</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的设置由园区统一解决。</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3.2.7.2</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消防给水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水源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本工程的生产消防供水由业主负责供给到厂区内，本工程生产总用水量为</w:t>
      </w:r>
      <w:r w:rsidRPr="00677D1F">
        <w:rPr>
          <w:rFonts w:ascii="宋体" w:eastAsia="宋体" w:hAnsi="宋体" w:cs="宋体"/>
          <w:color w:val="000000"/>
          <w:kern w:val="0"/>
          <w:sz w:val="24"/>
          <w:szCs w:val="24"/>
        </w:rPr>
        <w:t>4621m3/d</w:t>
      </w:r>
      <w:r w:rsidRPr="00677D1F">
        <w:rPr>
          <w:rFonts w:ascii="宋体" w:eastAsia="宋体" w:hAnsi="宋体" w:cs="宋体" w:hint="eastAsia"/>
          <w:color w:val="000000"/>
          <w:kern w:val="0"/>
          <w:sz w:val="24"/>
          <w:szCs w:val="24"/>
        </w:rPr>
        <w:t>（考虑</w:t>
      </w:r>
      <w:r w:rsidRPr="00677D1F">
        <w:rPr>
          <w:rFonts w:ascii="宋体" w:eastAsia="宋体" w:hAnsi="宋体" w:cs="宋体"/>
          <w:color w:val="000000"/>
          <w:kern w:val="0"/>
          <w:sz w:val="24"/>
          <w:szCs w:val="24"/>
        </w:rPr>
        <w:t>20%</w:t>
      </w:r>
      <w:r w:rsidRPr="00677D1F">
        <w:rPr>
          <w:rFonts w:ascii="宋体" w:eastAsia="宋体" w:hAnsi="宋体" w:cs="宋体" w:hint="eastAsia"/>
          <w:color w:val="000000"/>
          <w:kern w:val="0"/>
          <w:sz w:val="24"/>
          <w:szCs w:val="24"/>
        </w:rPr>
        <w:t>未预见水量为</w:t>
      </w:r>
      <w:r w:rsidRPr="00677D1F">
        <w:rPr>
          <w:rFonts w:ascii="宋体" w:eastAsia="宋体" w:hAnsi="宋体" w:cs="宋体"/>
          <w:color w:val="000000"/>
          <w:kern w:val="0"/>
          <w:sz w:val="24"/>
          <w:szCs w:val="24"/>
        </w:rPr>
        <w:t>5545m3/d</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消防用水量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根据《建筑设计防火规范》（</w:t>
      </w:r>
      <w:r w:rsidRPr="00677D1F">
        <w:rPr>
          <w:rFonts w:ascii="宋体" w:eastAsia="宋体" w:hAnsi="宋体" w:cs="宋体"/>
          <w:color w:val="000000"/>
          <w:kern w:val="0"/>
          <w:sz w:val="24"/>
          <w:szCs w:val="24"/>
        </w:rPr>
        <w:t>GB50016-2006</w:t>
      </w:r>
      <w:r w:rsidRPr="00677D1F">
        <w:rPr>
          <w:rFonts w:ascii="宋体" w:eastAsia="宋体" w:hAnsi="宋体" w:cs="宋体" w:hint="eastAsia"/>
          <w:color w:val="000000"/>
          <w:kern w:val="0"/>
          <w:sz w:val="24"/>
          <w:szCs w:val="24"/>
        </w:rPr>
        <w:t>）的有关规定，厂区同一时间内的火灾次数为</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次。消防用水量最大的建筑单体为原料库。原料</w:t>
      </w:r>
      <w:r w:rsidRPr="00677D1F">
        <w:rPr>
          <w:rFonts w:ascii="宋体" w:eastAsia="宋体" w:hAnsi="宋体" w:cs="宋体" w:hint="eastAsia"/>
          <w:color w:val="000000"/>
          <w:kern w:val="0"/>
          <w:sz w:val="26"/>
          <w:szCs w:val="26"/>
        </w:rPr>
        <w:t>库</w:t>
      </w:r>
      <w:r w:rsidRPr="00677D1F">
        <w:rPr>
          <w:rFonts w:ascii="宋体" w:eastAsia="宋体" w:hAnsi="宋体" w:cs="宋体" w:hint="eastAsia"/>
          <w:color w:val="000000"/>
          <w:kern w:val="0"/>
          <w:sz w:val="24"/>
          <w:szCs w:val="24"/>
        </w:rPr>
        <w:t>室外消火栓用水量为</w:t>
      </w:r>
      <w:r w:rsidRPr="00677D1F">
        <w:rPr>
          <w:rFonts w:ascii="宋体" w:eastAsia="宋体" w:hAnsi="宋体" w:cs="宋体"/>
          <w:color w:val="000000"/>
          <w:kern w:val="0"/>
          <w:sz w:val="24"/>
          <w:szCs w:val="24"/>
        </w:rPr>
        <w:t>35L/s</w:t>
      </w:r>
      <w:r w:rsidRPr="00677D1F">
        <w:rPr>
          <w:rFonts w:ascii="宋体" w:eastAsia="宋体" w:hAnsi="宋体" w:cs="宋体" w:hint="eastAsia"/>
          <w:color w:val="000000"/>
          <w:kern w:val="0"/>
          <w:sz w:val="24"/>
          <w:szCs w:val="24"/>
        </w:rPr>
        <w:t>；室内消火栓用水量为</w:t>
      </w:r>
      <w:r w:rsidRPr="00677D1F">
        <w:rPr>
          <w:rFonts w:ascii="宋体" w:eastAsia="宋体" w:hAnsi="宋体" w:cs="宋体"/>
          <w:color w:val="000000"/>
          <w:kern w:val="0"/>
          <w:sz w:val="24"/>
          <w:szCs w:val="24"/>
        </w:rPr>
        <w:t>10L/s</w:t>
      </w:r>
      <w:r w:rsidRPr="00677D1F">
        <w:rPr>
          <w:rFonts w:ascii="宋体" w:eastAsia="宋体" w:hAnsi="宋体" w:cs="宋体" w:hint="eastAsia"/>
          <w:color w:val="000000"/>
          <w:kern w:val="0"/>
          <w:sz w:val="24"/>
          <w:szCs w:val="24"/>
        </w:rPr>
        <w:t>，火灾延续时间为</w:t>
      </w:r>
      <w:r w:rsidRPr="00677D1F">
        <w:rPr>
          <w:rFonts w:ascii="宋体" w:eastAsia="宋体" w:hAnsi="宋体" w:cs="宋体"/>
          <w:color w:val="000000"/>
          <w:kern w:val="0"/>
          <w:sz w:val="24"/>
          <w:szCs w:val="24"/>
        </w:rPr>
        <w:t>3.0h</w:t>
      </w:r>
      <w:r w:rsidRPr="00677D1F">
        <w:rPr>
          <w:rFonts w:ascii="宋体" w:eastAsia="宋体" w:hAnsi="宋体" w:cs="宋体" w:hint="eastAsia"/>
          <w:color w:val="000000"/>
          <w:kern w:val="0"/>
          <w:sz w:val="24"/>
          <w:szCs w:val="24"/>
        </w:rPr>
        <w:t>，则一次消防用水总量为</w:t>
      </w:r>
      <w:r w:rsidRPr="00677D1F">
        <w:rPr>
          <w:rFonts w:ascii="宋体" w:eastAsia="宋体" w:hAnsi="宋体" w:cs="宋体"/>
          <w:color w:val="000000"/>
          <w:kern w:val="0"/>
          <w:sz w:val="24"/>
          <w:szCs w:val="24"/>
        </w:rPr>
        <w:t>486m3/</w:t>
      </w:r>
      <w:r w:rsidRPr="00677D1F">
        <w:rPr>
          <w:rFonts w:ascii="宋体" w:eastAsia="宋体" w:hAnsi="宋体" w:cs="宋体" w:hint="eastAsia"/>
          <w:color w:val="000000"/>
          <w:kern w:val="0"/>
          <w:sz w:val="24"/>
          <w:szCs w:val="24"/>
        </w:rPr>
        <w:t>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为了调节用水量的变化，并贮存消防用水，在厂区内设置加压泵站。加压泵房采用地面式泵房，按生产生活消防最大时用水总量进行设计，系统设有加压水泵，起重设备等主要设备，贮水池的有效容积为</w:t>
      </w:r>
      <w:r w:rsidRPr="00677D1F">
        <w:rPr>
          <w:rFonts w:ascii="宋体" w:eastAsia="宋体" w:hAnsi="宋体" w:cs="宋体"/>
          <w:color w:val="000000"/>
          <w:kern w:val="0"/>
          <w:sz w:val="24"/>
          <w:szCs w:val="24"/>
        </w:rPr>
        <w:t>6000m3</w:t>
      </w:r>
      <w:r w:rsidRPr="00677D1F">
        <w:rPr>
          <w:rFonts w:ascii="宋体" w:eastAsia="宋体" w:hAnsi="宋体" w:cs="宋体" w:hint="eastAsia"/>
          <w:color w:val="000000"/>
          <w:kern w:val="0"/>
          <w:sz w:val="24"/>
          <w:szCs w:val="24"/>
        </w:rPr>
        <w:t>，其中消防贮备水量为</w:t>
      </w:r>
      <w:r w:rsidRPr="00677D1F">
        <w:rPr>
          <w:rFonts w:ascii="宋体" w:eastAsia="宋体" w:hAnsi="宋体" w:cs="宋体"/>
          <w:color w:val="000000"/>
          <w:kern w:val="0"/>
          <w:sz w:val="24"/>
          <w:szCs w:val="24"/>
        </w:rPr>
        <w:t>486m3</w:t>
      </w:r>
      <w:r w:rsidRPr="00677D1F">
        <w:rPr>
          <w:rFonts w:ascii="宋体" w:eastAsia="宋体" w:hAnsi="宋体" w:cs="宋体" w:hint="eastAsia"/>
          <w:color w:val="000000"/>
          <w:kern w:val="0"/>
          <w:sz w:val="24"/>
          <w:szCs w:val="24"/>
        </w:rPr>
        <w:t>，事故及调节容积为</w:t>
      </w:r>
      <w:r w:rsidRPr="00677D1F">
        <w:rPr>
          <w:rFonts w:ascii="宋体" w:eastAsia="宋体" w:hAnsi="宋体" w:cs="宋体"/>
          <w:color w:val="000000"/>
          <w:kern w:val="0"/>
          <w:sz w:val="24"/>
          <w:szCs w:val="24"/>
        </w:rPr>
        <w:t>5514m3</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 xml:space="preserve"> （3）</w:t>
      </w:r>
      <w:r w:rsidRPr="00677D1F">
        <w:rPr>
          <w:rFonts w:ascii="宋体" w:eastAsia="宋体" w:hAnsi="宋体" w:cs="宋体" w:hint="eastAsia"/>
          <w:color w:val="000000"/>
          <w:kern w:val="0"/>
          <w:sz w:val="24"/>
          <w:szCs w:val="24"/>
        </w:rPr>
        <w:t>厂区消防给水系统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本工程厂区室外消防给水采用低压消防给水系统，厂区内设置一套生产消防给水管网，管网布置成环状，以保证供水安全和消防用水的需要，主干管管径为</w:t>
      </w:r>
      <w:r w:rsidRPr="00677D1F">
        <w:rPr>
          <w:rFonts w:ascii="宋体" w:eastAsia="宋体" w:hAnsi="宋体" w:cs="宋体"/>
          <w:color w:val="000000"/>
          <w:kern w:val="0"/>
          <w:sz w:val="24"/>
          <w:szCs w:val="24"/>
        </w:rPr>
        <w:t>DN300</w:t>
      </w:r>
      <w:r w:rsidRPr="00677D1F">
        <w:rPr>
          <w:rFonts w:ascii="宋体" w:eastAsia="宋体" w:hAnsi="宋体" w:cs="宋体" w:hint="eastAsia"/>
          <w:color w:val="000000"/>
          <w:kern w:val="0"/>
          <w:sz w:val="24"/>
          <w:szCs w:val="24"/>
        </w:rPr>
        <w:t>。按《建筑设计防火规范》（</w:t>
      </w:r>
      <w:r w:rsidRPr="00677D1F">
        <w:rPr>
          <w:rFonts w:ascii="宋体" w:eastAsia="宋体" w:hAnsi="宋体" w:cs="宋体"/>
          <w:color w:val="000000"/>
          <w:kern w:val="0"/>
          <w:sz w:val="24"/>
          <w:szCs w:val="24"/>
        </w:rPr>
        <w:t>GB50016-2006</w:t>
      </w:r>
      <w:r w:rsidRPr="00677D1F">
        <w:rPr>
          <w:rFonts w:ascii="宋体" w:eastAsia="宋体" w:hAnsi="宋体" w:cs="宋体" w:hint="eastAsia"/>
          <w:color w:val="000000"/>
          <w:kern w:val="0"/>
          <w:sz w:val="24"/>
          <w:szCs w:val="24"/>
        </w:rPr>
        <w:t>）设置建（构）筑物室外消防灭火装置，对整流变压器采用水喷雾灭火系统。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厂区室外消防给水采用低压消防给水系统，室外消火栓沿厂区环状管网布置，采用地上式消火栓，消火栓间距</w:t>
      </w:r>
      <w:r w:rsidRPr="00677D1F">
        <w:rPr>
          <w:rFonts w:ascii="宋体" w:eastAsia="宋体" w:hAnsi="宋体" w:cs="宋体"/>
          <w:color w:val="000000"/>
          <w:kern w:val="0"/>
          <w:sz w:val="24"/>
          <w:szCs w:val="24"/>
        </w:rPr>
        <w:t>80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120m</w:t>
      </w:r>
      <w:r w:rsidRPr="00677D1F">
        <w:rPr>
          <w:rFonts w:ascii="宋体" w:eastAsia="宋体" w:hAnsi="宋体" w:cs="宋体" w:hint="eastAsia"/>
          <w:color w:val="000000"/>
          <w:kern w:val="0"/>
          <w:sz w:val="24"/>
          <w:szCs w:val="24"/>
        </w:rPr>
        <w:t>，保护半径为</w:t>
      </w:r>
      <w:r w:rsidRPr="00677D1F">
        <w:rPr>
          <w:rFonts w:ascii="宋体" w:eastAsia="宋体" w:hAnsi="宋体" w:cs="宋体"/>
          <w:color w:val="000000"/>
          <w:kern w:val="0"/>
          <w:sz w:val="24"/>
          <w:szCs w:val="24"/>
        </w:rPr>
        <w:t>100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150m</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厂区工业建筑除生阳极制造车间属高层工业建筑外，其它均为一般性工业建筑，各建筑物按《建筑设计防火规范》（</w:t>
      </w:r>
      <w:r w:rsidRPr="00677D1F">
        <w:rPr>
          <w:rFonts w:ascii="宋体" w:eastAsia="宋体" w:hAnsi="宋体" w:cs="宋体"/>
          <w:color w:val="000000"/>
          <w:kern w:val="0"/>
          <w:sz w:val="24"/>
          <w:szCs w:val="24"/>
        </w:rPr>
        <w:t>GB50016-2006</w:t>
      </w:r>
      <w:r w:rsidRPr="00677D1F">
        <w:rPr>
          <w:rFonts w:ascii="宋体" w:eastAsia="宋体" w:hAnsi="宋体" w:cs="宋体" w:hint="eastAsia"/>
          <w:color w:val="000000"/>
          <w:kern w:val="0"/>
          <w:sz w:val="24"/>
          <w:szCs w:val="24"/>
        </w:rPr>
        <w:t>）设置室内消防给水系统和灭火装置。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四氯化钛制备车间属高层工业建筑，根据《建筑设计防火规范》（</w:t>
      </w:r>
      <w:r w:rsidRPr="00677D1F">
        <w:rPr>
          <w:rFonts w:ascii="宋体" w:eastAsia="宋体" w:hAnsi="宋体" w:cs="宋体"/>
          <w:color w:val="000000"/>
          <w:kern w:val="0"/>
          <w:sz w:val="24"/>
          <w:szCs w:val="24"/>
        </w:rPr>
        <w:t>GB50016-2006</w:t>
      </w:r>
      <w:r w:rsidRPr="00677D1F">
        <w:rPr>
          <w:rFonts w:ascii="宋体" w:eastAsia="宋体" w:hAnsi="宋体" w:cs="宋体" w:hint="eastAsia"/>
          <w:color w:val="000000"/>
          <w:kern w:val="0"/>
          <w:sz w:val="24"/>
          <w:szCs w:val="24"/>
        </w:rPr>
        <w:t>）的有关规定，室内消火栓用水量为</w:t>
      </w:r>
      <w:r w:rsidRPr="00677D1F">
        <w:rPr>
          <w:rFonts w:ascii="宋体" w:eastAsia="宋体" w:hAnsi="宋体" w:cs="宋体"/>
          <w:color w:val="000000"/>
          <w:kern w:val="0"/>
          <w:sz w:val="24"/>
          <w:szCs w:val="24"/>
        </w:rPr>
        <w:t>25L</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，其消防给水设置为临时高压消防给水系统。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在四氯化钛制备车间屋面上设有一座</w:t>
      </w:r>
      <w:r w:rsidRPr="00677D1F">
        <w:rPr>
          <w:rFonts w:ascii="宋体" w:eastAsia="宋体" w:hAnsi="宋体" w:cs="宋体"/>
          <w:color w:val="000000"/>
          <w:kern w:val="0"/>
          <w:sz w:val="24"/>
          <w:szCs w:val="24"/>
        </w:rPr>
        <w:t>15m3</w:t>
      </w:r>
      <w:r w:rsidRPr="00677D1F">
        <w:rPr>
          <w:rFonts w:ascii="宋体" w:eastAsia="宋体" w:hAnsi="宋体" w:cs="宋体" w:hint="eastAsia"/>
          <w:color w:val="000000"/>
          <w:kern w:val="0"/>
          <w:sz w:val="24"/>
          <w:szCs w:val="24"/>
        </w:rPr>
        <w:t>的高位水箱，储存</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分钟的消防用水量和生活用水量，以保证发生火灾初期的消防用水量。在建筑物底部设置一套</w:t>
      </w:r>
      <w:r w:rsidRPr="00677D1F">
        <w:rPr>
          <w:rFonts w:ascii="宋体" w:eastAsia="宋体" w:hAnsi="宋体" w:cs="宋体"/>
          <w:color w:val="000000"/>
          <w:kern w:val="0"/>
          <w:sz w:val="24"/>
          <w:szCs w:val="24"/>
        </w:rPr>
        <w:t>XQB4/25-0.3M</w:t>
      </w:r>
      <w:r w:rsidRPr="00677D1F">
        <w:rPr>
          <w:rFonts w:ascii="宋体" w:eastAsia="宋体" w:hAnsi="宋体" w:cs="宋体" w:hint="eastAsia"/>
          <w:color w:val="000000"/>
          <w:kern w:val="0"/>
          <w:sz w:val="24"/>
          <w:szCs w:val="24"/>
        </w:rPr>
        <w:t>型全自动气压消防供水设备（配套</w:t>
      </w:r>
      <w:r w:rsidRPr="00677D1F">
        <w:rPr>
          <w:rFonts w:ascii="宋体" w:eastAsia="宋体" w:hAnsi="宋体" w:cs="宋体"/>
          <w:color w:val="000000"/>
          <w:kern w:val="0"/>
          <w:sz w:val="24"/>
          <w:szCs w:val="24"/>
        </w:rPr>
        <w:t>XBDP32-4-8x5</w:t>
      </w:r>
      <w:r w:rsidRPr="00677D1F">
        <w:rPr>
          <w:rFonts w:ascii="宋体" w:eastAsia="宋体" w:hAnsi="宋体" w:cs="宋体" w:hint="eastAsia"/>
          <w:color w:val="000000"/>
          <w:kern w:val="0"/>
          <w:sz w:val="24"/>
          <w:szCs w:val="24"/>
        </w:rPr>
        <w:t>型稳压设备）。从室外环状给水管网上引入两条进水管，并设有两根消防竖管，在室内构成环状管网。建筑物各层安装室内消火栓，并保证有两支水枪的充实水柱同时到达室内任何部位，在各层消火栓处设置消防按钮，与全自动气压消防供水设备连锁运行。在室内消防给水管网的适当位置安装了两套消防水泵接合器。</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3.3</w:t>
      </w:r>
      <w:r w:rsidRPr="00677D1F">
        <w:rPr>
          <w:rFonts w:ascii="宋体" w:hAnsi="宋体" w:hint="eastAsia"/>
          <w:bCs w:val="0"/>
          <w:kern w:val="2"/>
          <w:sz w:val="30"/>
          <w:szCs w:val="30"/>
        </w:rPr>
        <w:t xml:space="preserve"> 环保工程</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3.3.1</w:t>
      </w:r>
      <w:r w:rsidRPr="00677D1F">
        <w:rPr>
          <w:rFonts w:ascii="宋体" w:hAnsi="宋体" w:hint="eastAsia"/>
          <w:sz w:val="28"/>
          <w:szCs w:val="28"/>
        </w:rPr>
        <w:t xml:space="preserve"> 厂区环保工程汇总</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本项目环保工程汇总见表</w:t>
      </w:r>
      <w:r w:rsidRPr="00677D1F">
        <w:rPr>
          <w:rFonts w:ascii="宋体" w:eastAsia="宋体" w:hAnsi="宋体" w:cs="宋体"/>
          <w:color w:val="000000"/>
          <w:kern w:val="0"/>
          <w:sz w:val="24"/>
          <w:szCs w:val="24"/>
        </w:rPr>
        <w:t>3.3-1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表3.3-1环保工程情况一览表</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3.3.2</w:t>
      </w:r>
      <w:r w:rsidRPr="00677D1F">
        <w:rPr>
          <w:rFonts w:ascii="宋体" w:hAnsi="宋体" w:hint="eastAsia"/>
          <w:sz w:val="28"/>
          <w:szCs w:val="28"/>
        </w:rPr>
        <w:t xml:space="preserve"> 厂外依托的环保工程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本项目产生的工业废渣到哈密市工业固体废弃物贮存、处置场堆放处理。哈密市工业固体废弃物贮存、处置场情况说明如下：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位置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位置距哈密市大南湖乡居民区以南</w:t>
      </w:r>
      <w:r w:rsidRPr="00677D1F">
        <w:rPr>
          <w:rFonts w:ascii="宋体" w:eastAsia="宋体" w:hAnsi="宋体" w:cs="宋体"/>
          <w:color w:val="000000"/>
          <w:kern w:val="0"/>
          <w:sz w:val="24"/>
          <w:szCs w:val="24"/>
        </w:rPr>
        <w:t>2685m</w:t>
      </w:r>
      <w:r w:rsidRPr="00677D1F">
        <w:rPr>
          <w:rFonts w:ascii="宋体" w:eastAsia="宋体" w:hAnsi="宋体" w:cs="宋体" w:hint="eastAsia"/>
          <w:color w:val="000000"/>
          <w:kern w:val="0"/>
          <w:sz w:val="24"/>
          <w:szCs w:val="24"/>
        </w:rPr>
        <w:t>，哈罗公路以东</w:t>
      </w:r>
      <w:r w:rsidRPr="00677D1F">
        <w:rPr>
          <w:rFonts w:ascii="宋体" w:eastAsia="宋体" w:hAnsi="宋体" w:cs="宋体"/>
          <w:color w:val="000000"/>
          <w:kern w:val="0"/>
          <w:sz w:val="24"/>
          <w:szCs w:val="24"/>
        </w:rPr>
        <w:t>2000m</w:t>
      </w:r>
      <w:r w:rsidRPr="00677D1F">
        <w:rPr>
          <w:rFonts w:ascii="宋体" w:eastAsia="宋体" w:hAnsi="宋体" w:cs="宋体" w:hint="eastAsia"/>
          <w:color w:val="000000"/>
          <w:kern w:val="0"/>
          <w:sz w:val="24"/>
          <w:szCs w:val="24"/>
        </w:rPr>
        <w:t>，哈密市生活垃圾处理场东侧</w:t>
      </w:r>
      <w:r w:rsidRPr="00677D1F">
        <w:rPr>
          <w:rFonts w:ascii="宋体" w:eastAsia="宋体" w:hAnsi="宋体" w:cs="宋体"/>
          <w:color w:val="000000"/>
          <w:kern w:val="0"/>
          <w:sz w:val="24"/>
          <w:szCs w:val="24"/>
        </w:rPr>
        <w:t>400m</w:t>
      </w:r>
      <w:r w:rsidRPr="00677D1F">
        <w:rPr>
          <w:rFonts w:ascii="宋体" w:eastAsia="宋体" w:hAnsi="宋体" w:cs="宋体" w:hint="eastAsia"/>
          <w:color w:val="000000"/>
          <w:kern w:val="0"/>
          <w:sz w:val="24"/>
          <w:szCs w:val="24"/>
        </w:rPr>
        <w:t>。哈密市工业固体废弃物贮存、处置场位置见地理位置图</w:t>
      </w:r>
      <w:r w:rsidRPr="00677D1F">
        <w:rPr>
          <w:rFonts w:ascii="宋体" w:eastAsia="宋体" w:hAnsi="宋体" w:cs="宋体"/>
          <w:color w:val="000000"/>
          <w:kern w:val="0"/>
          <w:sz w:val="24"/>
          <w:szCs w:val="24"/>
        </w:rPr>
        <w:t>3.3-1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占地及库容</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工业固体废物贮存、处置场占地面积</w:t>
      </w:r>
      <w:r w:rsidRPr="00677D1F">
        <w:rPr>
          <w:rFonts w:ascii="宋体" w:eastAsia="宋体" w:hAnsi="宋体" w:cs="宋体"/>
          <w:color w:val="000000"/>
          <w:kern w:val="0"/>
          <w:sz w:val="24"/>
          <w:szCs w:val="24"/>
        </w:rPr>
        <w:t>43</w:t>
      </w:r>
      <w:r w:rsidRPr="00677D1F">
        <w:rPr>
          <w:rFonts w:ascii="宋体" w:eastAsia="宋体" w:hAnsi="宋体" w:cs="宋体" w:hint="eastAsia"/>
          <w:color w:val="000000"/>
          <w:kern w:val="0"/>
          <w:sz w:val="24"/>
          <w:szCs w:val="24"/>
        </w:rPr>
        <w:t>万</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，其中固体废物贮存、处置场</w:t>
      </w:r>
      <w:r w:rsidRPr="00677D1F">
        <w:rPr>
          <w:rFonts w:ascii="宋体" w:eastAsia="宋体" w:hAnsi="宋体" w:cs="宋体"/>
          <w:color w:val="000000"/>
          <w:kern w:val="0"/>
          <w:sz w:val="24"/>
          <w:szCs w:val="24"/>
        </w:rPr>
        <w:t>35</w:t>
      </w:r>
      <w:r w:rsidRPr="00677D1F">
        <w:rPr>
          <w:rFonts w:ascii="宋体" w:eastAsia="宋体" w:hAnsi="宋体" w:cs="宋体" w:hint="eastAsia"/>
          <w:color w:val="000000"/>
          <w:kern w:val="0"/>
          <w:sz w:val="24"/>
          <w:szCs w:val="24"/>
        </w:rPr>
        <w:t>万</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。有效库容：</w:t>
      </w:r>
      <w:r w:rsidRPr="00677D1F">
        <w:rPr>
          <w:rFonts w:ascii="宋体" w:eastAsia="宋体" w:hAnsi="宋体" w:cs="宋体"/>
          <w:color w:val="000000"/>
          <w:kern w:val="0"/>
          <w:sz w:val="24"/>
          <w:szCs w:val="24"/>
        </w:rPr>
        <w:t>550×10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贮存、处置对象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哈密市区的工业废物主要是炉渣、尾矿、其它固废等；重工业园区工业废弃物主要是冶炼废渣、煤矸石、尾矿等，其固废主要为第Ⅰ类和第Ⅱ类一般工业固体废弃物，且为无有毒有害固体废弃物。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工程情况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四周修筑挡渣坝，为碾压土石坝。挡渣坝内设砂石滤液导流层和主、支盲沟，盲沟内敷设</w:t>
      </w:r>
      <w:r w:rsidRPr="00677D1F">
        <w:rPr>
          <w:rFonts w:ascii="宋体" w:eastAsia="宋体" w:hAnsi="宋体" w:cs="宋体"/>
          <w:color w:val="000000"/>
          <w:kern w:val="0"/>
          <w:sz w:val="24"/>
          <w:szCs w:val="24"/>
        </w:rPr>
        <w:t>HDPE</w:t>
      </w:r>
      <w:r w:rsidRPr="00677D1F">
        <w:rPr>
          <w:rFonts w:ascii="宋体" w:eastAsia="宋体" w:hAnsi="宋体" w:cs="宋体" w:hint="eastAsia"/>
          <w:color w:val="000000"/>
          <w:kern w:val="0"/>
          <w:sz w:val="24"/>
          <w:szCs w:val="24"/>
        </w:rPr>
        <w:t>集水管</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接入集水池。环场设置截洪沟。防渗层敷设三七灰土垫层，厚度不小于</w:t>
      </w:r>
      <w:r w:rsidRPr="00677D1F">
        <w:rPr>
          <w:rFonts w:ascii="宋体" w:eastAsia="宋体" w:hAnsi="宋体" w:cs="宋体"/>
          <w:color w:val="000000"/>
          <w:kern w:val="0"/>
          <w:sz w:val="24"/>
          <w:szCs w:val="24"/>
        </w:rPr>
        <w:t>1m</w:t>
      </w:r>
      <w:r w:rsidRPr="00677D1F">
        <w:rPr>
          <w:rFonts w:ascii="宋体" w:eastAsia="宋体" w:hAnsi="宋体" w:cs="宋体" w:hint="eastAsia"/>
          <w:color w:val="000000"/>
          <w:kern w:val="0"/>
          <w:sz w:val="24"/>
          <w:szCs w:val="24"/>
        </w:rPr>
        <w:t>，再敷设</w:t>
      </w:r>
      <w:r w:rsidRPr="00677D1F">
        <w:rPr>
          <w:rFonts w:ascii="宋体" w:eastAsia="宋体" w:hAnsi="宋体" w:cs="宋体"/>
          <w:color w:val="000000"/>
          <w:kern w:val="0"/>
          <w:sz w:val="24"/>
          <w:szCs w:val="24"/>
        </w:rPr>
        <w:t>GCL</w:t>
      </w:r>
      <w:r w:rsidRPr="00677D1F">
        <w:rPr>
          <w:rFonts w:ascii="宋体" w:eastAsia="宋体" w:hAnsi="宋体" w:cs="宋体" w:hint="eastAsia"/>
          <w:color w:val="000000"/>
          <w:kern w:val="0"/>
          <w:sz w:val="24"/>
          <w:szCs w:val="24"/>
        </w:rPr>
        <w:t>膨润土垫，其上敷设</w:t>
      </w:r>
      <w:r w:rsidRPr="00677D1F">
        <w:rPr>
          <w:rFonts w:ascii="宋体" w:eastAsia="宋体" w:hAnsi="宋体" w:cs="宋体"/>
          <w:color w:val="000000"/>
          <w:kern w:val="0"/>
          <w:sz w:val="24"/>
          <w:szCs w:val="24"/>
        </w:rPr>
        <w:t>1.5mm</w:t>
      </w:r>
      <w:r w:rsidRPr="00677D1F">
        <w:rPr>
          <w:rFonts w:ascii="宋体" w:eastAsia="宋体" w:hAnsi="宋体" w:cs="宋体" w:hint="eastAsia"/>
          <w:color w:val="000000"/>
          <w:kern w:val="0"/>
          <w:sz w:val="24"/>
          <w:szCs w:val="24"/>
        </w:rPr>
        <w:t>厚的</w:t>
      </w:r>
      <w:r w:rsidRPr="00677D1F">
        <w:rPr>
          <w:rFonts w:ascii="宋体" w:eastAsia="宋体" w:hAnsi="宋体" w:cs="宋体"/>
          <w:color w:val="000000"/>
          <w:kern w:val="0"/>
          <w:sz w:val="24"/>
          <w:szCs w:val="24"/>
        </w:rPr>
        <w:t>HDPE</w:t>
      </w:r>
      <w:r w:rsidRPr="00677D1F">
        <w:rPr>
          <w:rFonts w:ascii="宋体" w:eastAsia="宋体" w:hAnsi="宋体" w:cs="宋体" w:hint="eastAsia"/>
          <w:color w:val="000000"/>
          <w:kern w:val="0"/>
          <w:sz w:val="24"/>
          <w:szCs w:val="24"/>
        </w:rPr>
        <w:t>膜，膜上敷设一层</w:t>
      </w:r>
      <w:r w:rsidRPr="00677D1F">
        <w:rPr>
          <w:rFonts w:ascii="宋体" w:eastAsia="宋体" w:hAnsi="宋体" w:cs="宋体"/>
          <w:color w:val="000000"/>
          <w:kern w:val="0"/>
          <w:sz w:val="24"/>
          <w:szCs w:val="24"/>
        </w:rPr>
        <w:t>300g/m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的土工布。土工布采用短纤针刺非织造土工布。材质须符合</w:t>
      </w:r>
      <w:r w:rsidRPr="00677D1F">
        <w:rPr>
          <w:rFonts w:ascii="宋体" w:eastAsia="宋体" w:hAnsi="宋体" w:cs="宋体"/>
          <w:color w:val="000000"/>
          <w:kern w:val="0"/>
          <w:sz w:val="24"/>
          <w:szCs w:val="24"/>
        </w:rPr>
        <w:t>GB/T17638-1998</w:t>
      </w:r>
      <w:r w:rsidRPr="00677D1F">
        <w:rPr>
          <w:rFonts w:ascii="宋体" w:eastAsia="宋体" w:hAnsi="宋体" w:cs="宋体" w:hint="eastAsia"/>
          <w:color w:val="000000"/>
          <w:kern w:val="0"/>
          <w:sz w:val="24"/>
          <w:szCs w:val="24"/>
        </w:rPr>
        <w:t>《土工合成材料短纤针刺非织造土工布》要求。防渗膜采用</w:t>
      </w:r>
      <w:r w:rsidRPr="00677D1F">
        <w:rPr>
          <w:rFonts w:ascii="宋体" w:eastAsia="宋体" w:hAnsi="宋体" w:cs="宋体"/>
          <w:color w:val="000000"/>
          <w:kern w:val="0"/>
          <w:sz w:val="24"/>
          <w:szCs w:val="24"/>
        </w:rPr>
        <w:t>1.5mmHDPE</w:t>
      </w:r>
      <w:r w:rsidRPr="00677D1F">
        <w:rPr>
          <w:rFonts w:ascii="宋体" w:eastAsia="宋体" w:hAnsi="宋体" w:cs="宋体" w:hint="eastAsia"/>
          <w:color w:val="000000"/>
          <w:kern w:val="0"/>
          <w:sz w:val="24"/>
          <w:szCs w:val="24"/>
        </w:rPr>
        <w:t>膜，渗透系数</w:t>
      </w:r>
      <w:r w:rsidRPr="00677D1F">
        <w:rPr>
          <w:rFonts w:ascii="宋体" w:eastAsia="宋体" w:hAnsi="宋体" w:cs="宋体"/>
          <w:color w:val="000000"/>
          <w:kern w:val="0"/>
          <w:sz w:val="24"/>
          <w:szCs w:val="24"/>
        </w:rPr>
        <w:t>≤10-12cm/s</w:t>
      </w:r>
      <w:r w:rsidRPr="00677D1F">
        <w:rPr>
          <w:rFonts w:ascii="宋体" w:eastAsia="宋体" w:hAnsi="宋体" w:cs="宋体" w:hint="eastAsia"/>
          <w:color w:val="000000"/>
          <w:kern w:val="0"/>
          <w:sz w:val="24"/>
          <w:szCs w:val="24"/>
        </w:rPr>
        <w:t>。</w:t>
      </w: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p>
    <w:p w:rsidR="00332EB6" w:rsidRPr="00677D1F" w:rsidRDefault="00332EB6" w:rsidP="00677D1F">
      <w:pPr>
        <w:widowControl/>
        <w:spacing w:line="360" w:lineRule="auto"/>
        <w:ind w:firstLineChars="200" w:firstLine="400"/>
        <w:contextualSpacing/>
        <w:rPr>
          <w:rFonts w:ascii="宋体" w:eastAsia="宋体" w:hAnsi="宋体" w:cs="宋体"/>
          <w:color w:val="000000"/>
          <w:kern w:val="0"/>
          <w:sz w:val="24"/>
          <w:szCs w:val="24"/>
        </w:rPr>
      </w:pPr>
      <w:r w:rsidRPr="00677D1F">
        <w:rPr>
          <w:noProof/>
          <w:sz w:val="20"/>
        </w:rPr>
        <w:lastRenderedPageBreak/>
        <w:drawing>
          <wp:inline distT="0" distB="0" distL="0" distR="0" wp14:anchorId="09881912" wp14:editId="45366CDA">
            <wp:extent cx="5322223" cy="8319134"/>
            <wp:effectExtent l="0" t="0" r="0" b="0"/>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jpeg"/>
                    <pic:cNvPicPr/>
                  </pic:nvPicPr>
                  <pic:blipFill>
                    <a:blip r:embed="rId12" cstate="print"/>
                    <a:stretch>
                      <a:fillRect/>
                    </a:stretch>
                  </pic:blipFill>
                  <pic:spPr>
                    <a:xfrm>
                      <a:off x="0" y="0"/>
                      <a:ext cx="5322223" cy="8319134"/>
                    </a:xfrm>
                    <a:prstGeom prst="rect">
                      <a:avLst/>
                    </a:prstGeom>
                  </pic:spPr>
                </pic:pic>
              </a:graphicData>
            </a:graphic>
          </wp:inline>
        </w:drawing>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3.3-1</w:t>
      </w:r>
      <w:r w:rsidRPr="00677D1F">
        <w:rPr>
          <w:rFonts w:ascii="黑体" w:eastAsia="黑体" w:hAnsi="黑体" w:cs="宋体" w:hint="eastAsia"/>
          <w:b/>
          <w:color w:val="000000"/>
          <w:kern w:val="0"/>
          <w:szCs w:val="21"/>
        </w:rPr>
        <w:t>哈密市工业固体废弃物贮存、处置场地理位置图</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3.4</w:t>
      </w:r>
      <w:r w:rsidRPr="00677D1F">
        <w:rPr>
          <w:rFonts w:ascii="宋体" w:hAnsi="宋体" w:hint="eastAsia"/>
          <w:bCs w:val="0"/>
          <w:kern w:val="2"/>
          <w:sz w:val="30"/>
          <w:szCs w:val="30"/>
        </w:rPr>
        <w:t xml:space="preserve"> 工程分析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3.4.1</w:t>
      </w:r>
      <w:r w:rsidRPr="00677D1F">
        <w:rPr>
          <w:rFonts w:ascii="宋体" w:hAnsi="宋体" w:hint="eastAsia"/>
          <w:sz w:val="28"/>
          <w:szCs w:val="28"/>
        </w:rPr>
        <w:t xml:space="preserve"> 施工期工艺流程图及产污节点</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bookmarkStart w:id="1" w:name="_Toc23306"/>
      <w:bookmarkStart w:id="2" w:name="_Toc455473071"/>
      <w:bookmarkStart w:id="3" w:name="_Toc27580"/>
      <w:bookmarkStart w:id="4" w:name="_Toc4660"/>
      <w:r w:rsidRPr="00677D1F">
        <w:rPr>
          <w:rFonts w:asciiTheme="minorEastAsia" w:eastAsiaTheme="minorEastAsia" w:hAnsiTheme="minorEastAsia"/>
          <w:sz w:val="24"/>
          <w:szCs w:val="24"/>
        </w:rPr>
        <w:t xml:space="preserve">3.3.1.1 </w:t>
      </w:r>
      <w:r w:rsidRPr="00677D1F">
        <w:rPr>
          <w:rFonts w:asciiTheme="minorEastAsia" w:eastAsiaTheme="minorEastAsia" w:hAnsiTheme="minorEastAsia" w:hint="eastAsia"/>
          <w:sz w:val="24"/>
          <w:szCs w:val="24"/>
        </w:rPr>
        <w:t>施工期工艺流程图及产污节点</w:t>
      </w:r>
      <w:bookmarkEnd w:id="1"/>
      <w:bookmarkEnd w:id="2"/>
      <w:bookmarkEnd w:id="3"/>
    </w:p>
    <w:p w:rsidR="00D228BE" w:rsidRPr="00677D1F" w:rsidRDefault="00332EB6" w:rsidP="00677D1F">
      <w:pPr>
        <w:pStyle w:val="af4"/>
        <w:ind w:firstLine="480"/>
        <w:contextualSpacing/>
        <w:rPr>
          <w:rFonts w:cs="Times New Roman"/>
        </w:rPr>
      </w:pPr>
      <w:r w:rsidRPr="00677D1F">
        <w:rPr>
          <w:rFonts w:cs="Times New Roman" w:hint="eastAsia"/>
        </w:rPr>
        <w:t>施工期分场地平整地基开挖、建筑施工、设备安装三个部分，其基本工艺及污染工序见图</w:t>
      </w:r>
      <w:r w:rsidRPr="00677D1F">
        <w:rPr>
          <w:rFonts w:cs="Times New Roman"/>
        </w:rPr>
        <w:t>3.3-1</w:t>
      </w:r>
      <w:r w:rsidRPr="00677D1F">
        <w:rPr>
          <w:rFonts w:cs="Times New Roman" w:hint="eastAsia"/>
        </w:rPr>
        <w:t>。</w:t>
      </w:r>
    </w:p>
    <w:p w:rsidR="00D228BE" w:rsidRPr="00677D1F" w:rsidRDefault="00332EB6" w:rsidP="00677D1F">
      <w:pPr>
        <w:pStyle w:val="af4"/>
        <w:ind w:firstLine="480"/>
        <w:contextualSpacing/>
        <w:rPr>
          <w:rFonts w:cs="Times New Roman"/>
        </w:rPr>
      </w:pPr>
      <w:r w:rsidRPr="00677D1F">
        <w:rPr>
          <w:noProof/>
        </w:rPr>
        <w:drawing>
          <wp:anchor distT="0" distB="0" distL="114300" distR="114300" simplePos="0" relativeHeight="251658240" behindDoc="0" locked="0" layoutInCell="1" allowOverlap="1" wp14:anchorId="53FAD291" wp14:editId="586CE9AE">
            <wp:simplePos x="0" y="0"/>
            <wp:positionH relativeFrom="column">
              <wp:posOffset>-26035</wp:posOffset>
            </wp:positionH>
            <wp:positionV relativeFrom="paragraph">
              <wp:posOffset>94453</wp:posOffset>
            </wp:positionV>
            <wp:extent cx="5559425" cy="1669415"/>
            <wp:effectExtent l="19050" t="19050" r="22225" b="260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59425" cy="1669415"/>
                    </a:xfrm>
                    <a:prstGeom prst="rect">
                      <a:avLst/>
                    </a:prstGeom>
                    <a:noFill/>
                    <a:ln w="19050">
                      <a:solidFill>
                        <a:srgbClr val="000000"/>
                      </a:solidFill>
                      <a:miter lim="800000"/>
                      <a:headEnd/>
                      <a:tailEnd/>
                    </a:ln>
                  </pic:spPr>
                </pic:pic>
              </a:graphicData>
            </a:graphic>
          </wp:anchor>
        </w:drawing>
      </w:r>
    </w:p>
    <w:p w:rsidR="00D228BE" w:rsidRPr="00677D1F" w:rsidRDefault="00D228BE" w:rsidP="00677D1F">
      <w:pPr>
        <w:pStyle w:val="af4"/>
        <w:ind w:firstLine="480"/>
        <w:contextualSpacing/>
        <w:rPr>
          <w:rFonts w:cs="Times New Roman"/>
        </w:rPr>
      </w:pPr>
    </w:p>
    <w:p w:rsidR="00D228BE" w:rsidRPr="00677D1F" w:rsidRDefault="00D228BE" w:rsidP="00677D1F">
      <w:pPr>
        <w:pStyle w:val="af4"/>
        <w:ind w:firstLine="480"/>
        <w:contextualSpacing/>
        <w:rPr>
          <w:rFonts w:cs="Times New Roman"/>
        </w:rPr>
      </w:pPr>
    </w:p>
    <w:p w:rsidR="00D228BE" w:rsidRPr="00677D1F" w:rsidRDefault="00D228BE" w:rsidP="00677D1F">
      <w:pPr>
        <w:pStyle w:val="af4"/>
        <w:ind w:firstLine="480"/>
        <w:contextualSpacing/>
        <w:rPr>
          <w:rFonts w:cs="Times New Roman"/>
        </w:rPr>
      </w:pPr>
    </w:p>
    <w:p w:rsidR="00D228BE" w:rsidRPr="00677D1F" w:rsidRDefault="00D228BE" w:rsidP="00677D1F">
      <w:pPr>
        <w:pStyle w:val="af4"/>
        <w:ind w:firstLine="480"/>
        <w:contextualSpacing/>
        <w:rPr>
          <w:rFonts w:cs="Times New Roman"/>
        </w:rPr>
      </w:pPr>
    </w:p>
    <w:p w:rsidR="00D228BE" w:rsidRPr="00677D1F" w:rsidRDefault="00D228BE" w:rsidP="00677D1F">
      <w:pPr>
        <w:pStyle w:val="af4"/>
        <w:ind w:firstLine="480"/>
        <w:contextualSpacing/>
        <w:rPr>
          <w:rFonts w:cs="Times New Roman"/>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3.</w:t>
      </w:r>
      <w:r w:rsidRPr="00677D1F">
        <w:rPr>
          <w:rFonts w:ascii="黑体" w:eastAsia="黑体" w:hAnsi="黑体" w:cs="宋体" w:hint="eastAsia"/>
          <w:b/>
          <w:color w:val="000000"/>
          <w:kern w:val="0"/>
          <w:szCs w:val="21"/>
        </w:rPr>
        <w:t>4</w:t>
      </w:r>
      <w:r w:rsidRPr="00677D1F">
        <w:rPr>
          <w:rFonts w:ascii="黑体" w:eastAsia="黑体" w:hAnsi="黑体" w:cs="宋体"/>
          <w:b/>
          <w:color w:val="000000"/>
          <w:kern w:val="0"/>
          <w:szCs w:val="21"/>
        </w:rPr>
        <w:t xml:space="preserve">-1    </w:t>
      </w:r>
      <w:r w:rsidRPr="00677D1F">
        <w:rPr>
          <w:rFonts w:ascii="黑体" w:eastAsia="黑体" w:hAnsi="黑体" w:cs="宋体" w:hint="eastAsia"/>
          <w:b/>
          <w:color w:val="000000"/>
          <w:kern w:val="0"/>
          <w:szCs w:val="21"/>
        </w:rPr>
        <w:t>施工期工艺流程及产污环节图</w:t>
      </w:r>
    </w:p>
    <w:p w:rsidR="00D228BE" w:rsidRPr="00677D1F" w:rsidRDefault="00332EB6" w:rsidP="00677D1F">
      <w:pPr>
        <w:pStyle w:val="4"/>
        <w:spacing w:before="0" w:after="0" w:line="360" w:lineRule="auto"/>
        <w:contextualSpacing/>
        <w:rPr>
          <w:rFonts w:ascii="Times New Roman" w:eastAsia="宋体" w:hAnsi="Times New Roman"/>
          <w:sz w:val="24"/>
          <w:szCs w:val="24"/>
        </w:rPr>
      </w:pPr>
      <w:bookmarkStart w:id="5" w:name="_Toc455473073"/>
      <w:bookmarkStart w:id="6" w:name="_Toc30646"/>
      <w:bookmarkStart w:id="7" w:name="_Toc20070"/>
      <w:r w:rsidRPr="00677D1F">
        <w:rPr>
          <w:rFonts w:ascii="Times New Roman" w:eastAsia="宋体" w:hAnsi="Times New Roman"/>
          <w:sz w:val="24"/>
          <w:szCs w:val="24"/>
        </w:rPr>
        <w:t xml:space="preserve">3.3.1.2 </w:t>
      </w:r>
      <w:r w:rsidRPr="00677D1F">
        <w:rPr>
          <w:rFonts w:ascii="Times New Roman" w:eastAsia="宋体" w:hAnsi="Times New Roman" w:hint="eastAsia"/>
          <w:sz w:val="24"/>
          <w:szCs w:val="24"/>
        </w:rPr>
        <w:t>施工期项目污染源分析</w:t>
      </w:r>
      <w:bookmarkEnd w:id="5"/>
      <w:bookmarkEnd w:id="6"/>
      <w:bookmarkEnd w:id="7"/>
    </w:p>
    <w:p w:rsidR="00D228BE" w:rsidRPr="00677D1F" w:rsidRDefault="00332EB6" w:rsidP="00677D1F">
      <w:pPr>
        <w:spacing w:line="360" w:lineRule="auto"/>
        <w:ind w:firstLineChars="200" w:firstLine="480"/>
        <w:contextualSpacing/>
        <w:rPr>
          <w:rFonts w:ascii="Times New Roman" w:eastAsia="宋体" w:hAnsi="Times New Roman"/>
          <w:sz w:val="24"/>
          <w:szCs w:val="21"/>
        </w:rPr>
      </w:pPr>
      <w:bookmarkStart w:id="8" w:name="_Toc19394"/>
      <w:bookmarkStart w:id="9" w:name="_Toc14589"/>
      <w:bookmarkStart w:id="10" w:name="_Toc455473074"/>
      <w:bookmarkStart w:id="11" w:name="_Toc20747"/>
      <w:r w:rsidRPr="00677D1F">
        <w:rPr>
          <w:rFonts w:hint="eastAsia"/>
          <w:sz w:val="24"/>
        </w:rPr>
        <w:t>（</w:t>
      </w:r>
      <w:r w:rsidRPr="00677D1F">
        <w:rPr>
          <w:sz w:val="24"/>
        </w:rPr>
        <w:t>1</w:t>
      </w:r>
      <w:r w:rsidRPr="00677D1F">
        <w:rPr>
          <w:rFonts w:hint="eastAsia"/>
          <w:sz w:val="24"/>
        </w:rPr>
        <w:t>）废气污染源</w:t>
      </w:r>
      <w:bookmarkEnd w:id="8"/>
      <w:bookmarkEnd w:id="9"/>
      <w:bookmarkEnd w:id="10"/>
      <w:bookmarkEnd w:id="11"/>
    </w:p>
    <w:p w:rsidR="00D228BE" w:rsidRPr="00677D1F" w:rsidRDefault="00332EB6" w:rsidP="00677D1F">
      <w:pPr>
        <w:spacing w:line="360" w:lineRule="auto"/>
        <w:ind w:firstLineChars="200" w:firstLine="480"/>
        <w:contextualSpacing/>
        <w:rPr>
          <w:sz w:val="24"/>
        </w:rPr>
      </w:pPr>
      <w:r w:rsidRPr="00677D1F">
        <w:rPr>
          <w:rFonts w:hint="eastAsia"/>
          <w:sz w:val="24"/>
        </w:rPr>
        <w:t>对整个施工期而言，施工产生的扬尘主要集中在土建施工阶段，按起尘的原因可分为风力起尘和动力起尘。其中风力起尘主要由于露天堆放的建材（如黄沙、水泥等）、裸露的施工区表层浮尘，由于天气干燥及大风，产生风力扬尘；动力起尘，主要是在土方的挖掘及挖土机装载、建材包括白灰、水泥、沙子等搬运、装卸及搅拌的过程中，由于外力而产生的尘粒再悬浮而造成，其中施工及装卸车辆造成的扬尘最为严重。</w:t>
      </w:r>
    </w:p>
    <w:p w:rsidR="00D228BE" w:rsidRPr="00677D1F" w:rsidRDefault="00332EB6" w:rsidP="00677D1F">
      <w:pPr>
        <w:spacing w:line="360" w:lineRule="auto"/>
        <w:ind w:firstLineChars="200" w:firstLine="480"/>
        <w:contextualSpacing/>
        <w:rPr>
          <w:sz w:val="24"/>
        </w:rPr>
      </w:pPr>
      <w:r w:rsidRPr="00677D1F">
        <w:rPr>
          <w:sz w:val="24"/>
        </w:rPr>
        <w:fldChar w:fldCharType="begin"/>
      </w:r>
      <w:r w:rsidRPr="00677D1F">
        <w:rPr>
          <w:sz w:val="24"/>
        </w:rPr>
        <w:instrText xml:space="preserve"> = 1 \* GB3 \* MERGEFORMAT </w:instrText>
      </w:r>
      <w:r w:rsidRPr="00677D1F">
        <w:rPr>
          <w:sz w:val="24"/>
        </w:rPr>
        <w:fldChar w:fldCharType="separate"/>
      </w:r>
      <w:r w:rsidRPr="00677D1F">
        <w:rPr>
          <w:sz w:val="24"/>
        </w:rPr>
        <w:t>①</w:t>
      </w:r>
      <w:r w:rsidRPr="00677D1F">
        <w:rPr>
          <w:sz w:val="24"/>
        </w:rPr>
        <w:fldChar w:fldCharType="end"/>
      </w:r>
      <w:r w:rsidRPr="00677D1F">
        <w:rPr>
          <w:rFonts w:hint="eastAsia"/>
          <w:sz w:val="24"/>
        </w:rPr>
        <w:t>施工场地扬尘</w:t>
      </w:r>
    </w:p>
    <w:p w:rsidR="00D228BE" w:rsidRPr="00677D1F" w:rsidRDefault="00332EB6" w:rsidP="00677D1F">
      <w:pPr>
        <w:spacing w:line="360" w:lineRule="auto"/>
        <w:ind w:firstLineChars="200" w:firstLine="480"/>
        <w:contextualSpacing/>
        <w:rPr>
          <w:sz w:val="24"/>
        </w:rPr>
      </w:pPr>
      <w:r w:rsidRPr="00677D1F">
        <w:rPr>
          <w:rFonts w:hint="eastAsia"/>
          <w:sz w:val="24"/>
        </w:rPr>
        <w:t>施工场地扬尘主要来自建筑施工过程和建筑材料运输过程中所产生的大量含沙尘埃。据同类工程实际监测结果，施工作业场地近地面粉尘浓度可达</w:t>
      </w:r>
      <w:r w:rsidRPr="00677D1F">
        <w:rPr>
          <w:sz w:val="24"/>
        </w:rPr>
        <w:t>1.5~30mg/m</w:t>
      </w:r>
      <w:r w:rsidRPr="00677D1F">
        <w:rPr>
          <w:sz w:val="24"/>
          <w:vertAlign w:val="superscript"/>
        </w:rPr>
        <w:t>3</w:t>
      </w:r>
      <w:r w:rsidRPr="00677D1F">
        <w:rPr>
          <w:rFonts w:hint="eastAsia"/>
          <w:sz w:val="24"/>
        </w:rPr>
        <w:t>。</w:t>
      </w:r>
    </w:p>
    <w:p w:rsidR="00D228BE" w:rsidRPr="00677D1F" w:rsidRDefault="00332EB6" w:rsidP="00677D1F">
      <w:pPr>
        <w:spacing w:line="360" w:lineRule="auto"/>
        <w:ind w:firstLineChars="200" w:firstLine="480"/>
        <w:contextualSpacing/>
        <w:rPr>
          <w:sz w:val="24"/>
        </w:rPr>
      </w:pPr>
      <w:r w:rsidRPr="00677D1F">
        <w:rPr>
          <w:sz w:val="24"/>
        </w:rPr>
        <w:fldChar w:fldCharType="begin"/>
      </w:r>
      <w:r w:rsidRPr="00677D1F">
        <w:rPr>
          <w:sz w:val="24"/>
        </w:rPr>
        <w:instrText xml:space="preserve"> = 2 \* GB3 \* MERGEFORMAT </w:instrText>
      </w:r>
      <w:r w:rsidRPr="00677D1F">
        <w:rPr>
          <w:sz w:val="24"/>
        </w:rPr>
        <w:fldChar w:fldCharType="separate"/>
      </w:r>
      <w:r w:rsidRPr="00677D1F">
        <w:rPr>
          <w:sz w:val="24"/>
        </w:rPr>
        <w:t>②</w:t>
      </w:r>
      <w:r w:rsidRPr="00677D1F">
        <w:rPr>
          <w:sz w:val="24"/>
        </w:rPr>
        <w:fldChar w:fldCharType="end"/>
      </w:r>
      <w:r w:rsidRPr="00677D1F">
        <w:rPr>
          <w:rFonts w:hint="eastAsia"/>
          <w:sz w:val="24"/>
        </w:rPr>
        <w:t>其他废气</w:t>
      </w:r>
    </w:p>
    <w:p w:rsidR="00D228BE" w:rsidRPr="00677D1F" w:rsidRDefault="00332EB6" w:rsidP="00677D1F">
      <w:pPr>
        <w:spacing w:line="360" w:lineRule="auto"/>
        <w:ind w:firstLineChars="200" w:firstLine="480"/>
        <w:contextualSpacing/>
        <w:rPr>
          <w:sz w:val="24"/>
        </w:rPr>
      </w:pPr>
      <w:r w:rsidRPr="00677D1F">
        <w:rPr>
          <w:rFonts w:hint="eastAsia"/>
          <w:sz w:val="24"/>
        </w:rPr>
        <w:t>以柴油为燃料的挖掘机、装载机、推土机等施工机械和运输车辆会产生一定量废气，包括</w:t>
      </w:r>
      <w:r w:rsidRPr="00677D1F">
        <w:rPr>
          <w:sz w:val="24"/>
        </w:rPr>
        <w:t>CO</w:t>
      </w:r>
      <w:r w:rsidRPr="00677D1F">
        <w:rPr>
          <w:rFonts w:hint="eastAsia"/>
          <w:sz w:val="24"/>
        </w:rPr>
        <w:t>、</w:t>
      </w:r>
      <w:r w:rsidRPr="00677D1F">
        <w:rPr>
          <w:sz w:val="24"/>
        </w:rPr>
        <w:t>NO</w:t>
      </w:r>
      <w:r w:rsidRPr="00677D1F">
        <w:rPr>
          <w:sz w:val="24"/>
          <w:vertAlign w:val="subscript"/>
        </w:rPr>
        <w:t>X</w:t>
      </w:r>
      <w:r w:rsidRPr="00677D1F">
        <w:rPr>
          <w:rFonts w:hint="eastAsia"/>
          <w:sz w:val="24"/>
        </w:rPr>
        <w:t>、</w:t>
      </w:r>
      <w:r w:rsidRPr="00677D1F">
        <w:rPr>
          <w:sz w:val="24"/>
        </w:rPr>
        <w:t>SO</w:t>
      </w:r>
      <w:r w:rsidRPr="00677D1F">
        <w:rPr>
          <w:sz w:val="24"/>
          <w:vertAlign w:val="subscript"/>
        </w:rPr>
        <w:t>2</w:t>
      </w:r>
      <w:r w:rsidRPr="00677D1F">
        <w:rPr>
          <w:rFonts w:hint="eastAsia"/>
          <w:sz w:val="24"/>
        </w:rPr>
        <w:t>等，由于产生量不大，在此不作估算。</w:t>
      </w:r>
    </w:p>
    <w:p w:rsidR="00D228BE" w:rsidRPr="00677D1F" w:rsidRDefault="00332EB6" w:rsidP="00677D1F">
      <w:pPr>
        <w:spacing w:line="360" w:lineRule="auto"/>
        <w:ind w:firstLineChars="200" w:firstLine="480"/>
        <w:contextualSpacing/>
        <w:rPr>
          <w:sz w:val="24"/>
          <w:szCs w:val="21"/>
        </w:rPr>
      </w:pPr>
      <w:bookmarkStart w:id="12" w:name="_Toc3625"/>
      <w:bookmarkStart w:id="13" w:name="_Toc455473075"/>
      <w:bookmarkStart w:id="14" w:name="_Toc13348"/>
      <w:bookmarkStart w:id="15" w:name="_Toc14633"/>
      <w:r w:rsidRPr="00677D1F">
        <w:rPr>
          <w:rFonts w:hint="eastAsia"/>
          <w:sz w:val="24"/>
        </w:rPr>
        <w:t>（</w:t>
      </w:r>
      <w:r w:rsidRPr="00677D1F">
        <w:rPr>
          <w:sz w:val="24"/>
        </w:rPr>
        <w:t>2</w:t>
      </w:r>
      <w:r w:rsidRPr="00677D1F">
        <w:rPr>
          <w:rFonts w:hint="eastAsia"/>
          <w:sz w:val="24"/>
        </w:rPr>
        <w:t>）施工期废水污染源</w:t>
      </w:r>
      <w:bookmarkEnd w:id="12"/>
      <w:bookmarkEnd w:id="13"/>
      <w:bookmarkEnd w:id="14"/>
      <w:bookmarkEnd w:id="15"/>
    </w:p>
    <w:p w:rsidR="00D228BE" w:rsidRPr="00677D1F" w:rsidRDefault="00332EB6" w:rsidP="00677D1F">
      <w:pPr>
        <w:autoSpaceDE w:val="0"/>
        <w:autoSpaceDN w:val="0"/>
        <w:spacing w:line="360" w:lineRule="auto"/>
        <w:ind w:firstLineChars="200" w:firstLine="480"/>
        <w:contextualSpacing/>
        <w:rPr>
          <w:sz w:val="24"/>
        </w:rPr>
      </w:pPr>
      <w:r w:rsidRPr="00677D1F">
        <w:rPr>
          <w:rFonts w:hint="eastAsia"/>
          <w:sz w:val="24"/>
        </w:rPr>
        <w:lastRenderedPageBreak/>
        <w:t>本项目施工期间不再厂区设置施工营地，施工期间产生的少量的生活污水依托新疆神火煤电有限公司现有生活污水处理系统处理。</w:t>
      </w:r>
    </w:p>
    <w:p w:rsidR="00D228BE" w:rsidRPr="00677D1F" w:rsidRDefault="00332EB6" w:rsidP="00677D1F">
      <w:pPr>
        <w:autoSpaceDE w:val="0"/>
        <w:autoSpaceDN w:val="0"/>
        <w:spacing w:line="360" w:lineRule="auto"/>
        <w:ind w:firstLineChars="200" w:firstLine="480"/>
        <w:contextualSpacing/>
        <w:rPr>
          <w:sz w:val="24"/>
        </w:rPr>
      </w:pPr>
      <w:r w:rsidRPr="00677D1F">
        <w:rPr>
          <w:rFonts w:hint="eastAsia"/>
          <w:sz w:val="24"/>
        </w:rPr>
        <w:t>施工期生产废水主要为骨料冲洗废水、混凝土养护浇灌废水及基坑排水。</w:t>
      </w:r>
    </w:p>
    <w:p w:rsidR="00D228BE" w:rsidRPr="00677D1F" w:rsidRDefault="00332EB6" w:rsidP="00677D1F">
      <w:pPr>
        <w:autoSpaceDE w:val="0"/>
        <w:autoSpaceDN w:val="0"/>
        <w:spacing w:line="360" w:lineRule="auto"/>
        <w:ind w:firstLineChars="200" w:firstLine="480"/>
        <w:contextualSpacing/>
        <w:rPr>
          <w:sz w:val="24"/>
        </w:rPr>
      </w:pPr>
      <w:r w:rsidRPr="00677D1F">
        <w:rPr>
          <w:sz w:val="24"/>
        </w:rPr>
        <w:t>a.</w:t>
      </w:r>
      <w:r w:rsidRPr="00677D1F">
        <w:rPr>
          <w:rFonts w:hint="eastAsia"/>
          <w:sz w:val="24"/>
        </w:rPr>
        <w:t>骨料冲洗废水：主要污染物为</w:t>
      </w:r>
      <w:r w:rsidRPr="00677D1F">
        <w:rPr>
          <w:sz w:val="24"/>
        </w:rPr>
        <w:t>SS</w:t>
      </w:r>
      <w:r w:rsidRPr="00677D1F">
        <w:rPr>
          <w:rFonts w:hint="eastAsia"/>
          <w:sz w:val="24"/>
        </w:rPr>
        <w:t>，经沉淀处理后循环使用，不外排。</w:t>
      </w:r>
    </w:p>
    <w:p w:rsidR="00D228BE" w:rsidRPr="00677D1F" w:rsidRDefault="00332EB6" w:rsidP="00677D1F">
      <w:pPr>
        <w:autoSpaceDE w:val="0"/>
        <w:autoSpaceDN w:val="0"/>
        <w:spacing w:line="360" w:lineRule="auto"/>
        <w:ind w:firstLineChars="200" w:firstLine="480"/>
        <w:contextualSpacing/>
        <w:rPr>
          <w:sz w:val="24"/>
        </w:rPr>
      </w:pPr>
      <w:r w:rsidRPr="00677D1F">
        <w:rPr>
          <w:sz w:val="24"/>
        </w:rPr>
        <w:t>b.</w:t>
      </w:r>
      <w:r w:rsidRPr="00677D1F">
        <w:rPr>
          <w:rFonts w:hint="eastAsia"/>
          <w:sz w:val="24"/>
        </w:rPr>
        <w:t>混凝土浇灌养护废水：产生于混凝土浇筑、养护等过程，封闭混凝土中水分不蒸发外逸，水泥依靠混凝土中水分完成水化作用。施工期间生产废水还包括碱性混凝土养护废水，养护</w:t>
      </w:r>
      <w:r w:rsidRPr="00677D1F">
        <w:rPr>
          <w:sz w:val="24"/>
        </w:rPr>
        <w:t>1m</w:t>
      </w:r>
      <w:r w:rsidRPr="00677D1F">
        <w:rPr>
          <w:sz w:val="24"/>
          <w:vertAlign w:val="superscript"/>
        </w:rPr>
        <w:t>3</w:t>
      </w:r>
      <w:r w:rsidRPr="00677D1F">
        <w:rPr>
          <w:rFonts w:hint="eastAsia"/>
          <w:sz w:val="24"/>
        </w:rPr>
        <w:t>混凝土产生养护废水</w:t>
      </w:r>
      <w:r w:rsidRPr="00677D1F">
        <w:rPr>
          <w:sz w:val="24"/>
        </w:rPr>
        <w:t>0.35m</w:t>
      </w:r>
      <w:r w:rsidRPr="00677D1F">
        <w:rPr>
          <w:sz w:val="24"/>
          <w:vertAlign w:val="superscript"/>
        </w:rPr>
        <w:t>3</w:t>
      </w:r>
      <w:r w:rsidRPr="00677D1F">
        <w:rPr>
          <w:rFonts w:hint="eastAsia"/>
          <w:sz w:val="24"/>
        </w:rPr>
        <w:t>，采取中和沉淀处理后回用。混凝土养护废水应采用草帘喷洒浸湿方式养护，禁止采用漫灌，以控制废水产生量。</w:t>
      </w:r>
    </w:p>
    <w:p w:rsidR="00D228BE" w:rsidRPr="00677D1F" w:rsidRDefault="00332EB6" w:rsidP="00677D1F">
      <w:pPr>
        <w:autoSpaceDE w:val="0"/>
        <w:autoSpaceDN w:val="0"/>
        <w:spacing w:line="360" w:lineRule="auto"/>
        <w:ind w:firstLineChars="200" w:firstLine="480"/>
        <w:contextualSpacing/>
        <w:rPr>
          <w:sz w:val="24"/>
        </w:rPr>
      </w:pPr>
      <w:r w:rsidRPr="00677D1F">
        <w:rPr>
          <w:sz w:val="24"/>
        </w:rPr>
        <w:t>c.</w:t>
      </w:r>
      <w:r w:rsidRPr="00677D1F">
        <w:rPr>
          <w:rFonts w:hint="eastAsia"/>
          <w:sz w:val="24"/>
        </w:rPr>
        <w:t>基坑废水：工程施工中产生的基坑废水来自降水和施工用水（主要为混凝土养护水和冲洗水）等汇集的基坑水。基坑废水可经沉淀池处理后作为降尘用水回用。</w:t>
      </w:r>
    </w:p>
    <w:p w:rsidR="00D228BE" w:rsidRPr="00677D1F" w:rsidRDefault="00332EB6" w:rsidP="00677D1F">
      <w:pPr>
        <w:spacing w:line="360" w:lineRule="auto"/>
        <w:ind w:firstLineChars="200" w:firstLine="480"/>
        <w:contextualSpacing/>
        <w:rPr>
          <w:sz w:val="24"/>
        </w:rPr>
      </w:pPr>
      <w:r w:rsidRPr="00677D1F">
        <w:rPr>
          <w:rFonts w:hint="eastAsia"/>
          <w:sz w:val="24"/>
        </w:rPr>
        <w:t>（</w:t>
      </w:r>
      <w:r w:rsidRPr="00677D1F">
        <w:rPr>
          <w:sz w:val="24"/>
        </w:rPr>
        <w:t>3</w:t>
      </w:r>
      <w:r w:rsidRPr="00677D1F">
        <w:rPr>
          <w:rFonts w:hint="eastAsia"/>
          <w:sz w:val="24"/>
        </w:rPr>
        <w:t>）施工期噪声污染源</w:t>
      </w:r>
    </w:p>
    <w:p w:rsidR="00D228BE" w:rsidRPr="00677D1F" w:rsidRDefault="00332EB6" w:rsidP="00677D1F">
      <w:pPr>
        <w:pStyle w:val="Af5"/>
        <w:spacing w:line="360" w:lineRule="auto"/>
        <w:contextualSpacing/>
        <w:rPr>
          <w:rFonts w:ascii="Times New Roman" w:hAnsi="Times New Roman" w:cs="Times New Roman"/>
        </w:rPr>
      </w:pPr>
      <w:r w:rsidRPr="00677D1F">
        <w:rPr>
          <w:rFonts w:ascii="Times New Roman" w:hAnsi="Times New Roman" w:cs="Times New Roman" w:hint="eastAsia"/>
        </w:rPr>
        <w:t>施工期噪声污染源主要是施工机械和运输车辆，这些机械的单体声级一般均在</w:t>
      </w:r>
      <w:r w:rsidRPr="00677D1F">
        <w:rPr>
          <w:rFonts w:ascii="Times New Roman" w:hAnsi="Times New Roman" w:cs="Times New Roman"/>
        </w:rPr>
        <w:t>80dB(A)</w:t>
      </w:r>
      <w:r w:rsidRPr="00677D1F">
        <w:rPr>
          <w:rFonts w:ascii="Times New Roman" w:hAnsi="Times New Roman" w:cs="Times New Roman" w:hint="eastAsia"/>
        </w:rPr>
        <w:t>以上，这些设备的运转将影响施工场地周围区域声环境的质量。各施工阶段的主要噪声源及其声级（</w:t>
      </w:r>
      <w:r w:rsidRPr="00677D1F">
        <w:rPr>
          <w:rFonts w:ascii="Times New Roman" w:hAnsi="Times New Roman" w:cs="Times New Roman"/>
        </w:rPr>
        <w:t>1m</w:t>
      </w:r>
      <w:r w:rsidRPr="00677D1F">
        <w:rPr>
          <w:rFonts w:ascii="Times New Roman" w:hAnsi="Times New Roman" w:cs="Times New Roman" w:hint="eastAsia"/>
        </w:rPr>
        <w:t>处）见表</w:t>
      </w:r>
      <w:r w:rsidRPr="00677D1F">
        <w:rPr>
          <w:rFonts w:ascii="Times New Roman" w:hAnsi="Times New Roman" w:cs="Times New Roman"/>
        </w:rPr>
        <w:t>3.3-1</w:t>
      </w:r>
      <w:r w:rsidRPr="00677D1F">
        <w:rPr>
          <w:rFonts w:ascii="Times New Roman" w:hAnsi="Times New Roman" w:cs="Times New Roman" w:hint="eastAsia"/>
        </w:rPr>
        <w:t>，各交通运输车辆噪声见表</w:t>
      </w:r>
      <w:r w:rsidRPr="00677D1F">
        <w:rPr>
          <w:rFonts w:ascii="Times New Roman" w:hAnsi="Times New Roman" w:cs="Times New Roman"/>
        </w:rPr>
        <w:t>3.3-2</w:t>
      </w:r>
      <w:r w:rsidRPr="00677D1F">
        <w:rPr>
          <w:rFonts w:ascii="Times New Roman" w:hAnsi="Times New Roman" w:cs="Times New Roman" w:hint="eastAsia"/>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3.</w:t>
      </w:r>
      <w:r w:rsidRPr="00677D1F">
        <w:rPr>
          <w:rFonts w:ascii="黑体" w:eastAsia="黑体" w:hAnsi="黑体" w:cs="宋体" w:hint="eastAsia"/>
          <w:b/>
          <w:color w:val="000000"/>
          <w:kern w:val="0"/>
          <w:szCs w:val="21"/>
        </w:rPr>
        <w:t>4</w:t>
      </w:r>
      <w:r w:rsidRPr="00677D1F">
        <w:rPr>
          <w:rFonts w:ascii="黑体" w:eastAsia="黑体" w:hAnsi="黑体" w:cs="宋体"/>
          <w:b/>
          <w:color w:val="000000"/>
          <w:kern w:val="0"/>
          <w:szCs w:val="21"/>
        </w:rPr>
        <w:t xml:space="preserve">-1  </w:t>
      </w:r>
      <w:r w:rsidRPr="00677D1F">
        <w:rPr>
          <w:rFonts w:ascii="黑体" w:eastAsia="黑体" w:hAnsi="黑体" w:cs="宋体" w:hint="eastAsia"/>
          <w:b/>
          <w:color w:val="000000"/>
          <w:kern w:val="0"/>
          <w:szCs w:val="21"/>
        </w:rPr>
        <w:t>各施工阶段的噪声源统计</w:t>
      </w:r>
    </w:p>
    <w:tbl>
      <w:tblPr>
        <w:tblW w:w="89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037"/>
        <w:gridCol w:w="3223"/>
        <w:gridCol w:w="2687"/>
      </w:tblGrid>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
                <w:bCs/>
                <w:szCs w:val="21"/>
              </w:rPr>
            </w:pPr>
            <w:r w:rsidRPr="00677D1F">
              <w:rPr>
                <w:rFonts w:hint="eastAsia"/>
                <w:b/>
                <w:bCs/>
              </w:rPr>
              <w:t>设备名称</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
                <w:bCs/>
                <w:szCs w:val="21"/>
              </w:rPr>
            </w:pPr>
            <w:r w:rsidRPr="00677D1F">
              <w:rPr>
                <w:rFonts w:hint="eastAsia"/>
                <w:b/>
                <w:bCs/>
              </w:rPr>
              <w:t>源强</w:t>
            </w:r>
            <w:r w:rsidRPr="00677D1F">
              <w:rPr>
                <w:b/>
                <w:bCs/>
              </w:rPr>
              <w:t>dB</w:t>
            </w:r>
            <w:r w:rsidRPr="00677D1F">
              <w:rPr>
                <w:rFonts w:hint="eastAsia"/>
                <w:b/>
                <w:bCs/>
              </w:rPr>
              <w:t>（</w:t>
            </w:r>
            <w:r w:rsidRPr="00677D1F">
              <w:rPr>
                <w:b/>
                <w:bCs/>
              </w:rPr>
              <w:t>A</w:t>
            </w:r>
            <w:r w:rsidRPr="00677D1F">
              <w:rPr>
                <w:rFonts w:hint="eastAsia"/>
                <w:b/>
                <w:bCs/>
              </w:rPr>
              <w:t>）</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
                <w:bCs/>
                <w:szCs w:val="21"/>
              </w:rPr>
            </w:pPr>
            <w:r w:rsidRPr="00677D1F">
              <w:rPr>
                <w:rFonts w:hint="eastAsia"/>
                <w:b/>
                <w:bCs/>
              </w:rPr>
              <w:t>备注</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汽车吊</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90</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4m</w:t>
            </w:r>
            <w:r w:rsidRPr="00677D1F">
              <w:rPr>
                <w:rFonts w:hint="eastAsia"/>
                <w:bCs/>
              </w:rPr>
              <w:t>处</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翻斗车</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86-90</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1m</w:t>
            </w:r>
            <w:r w:rsidRPr="00677D1F">
              <w:rPr>
                <w:rFonts w:hint="eastAsia"/>
                <w:bCs/>
              </w:rPr>
              <w:t>处</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电焊机</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90</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1m</w:t>
            </w:r>
            <w:r w:rsidRPr="00677D1F">
              <w:rPr>
                <w:rFonts w:hint="eastAsia"/>
                <w:bCs/>
              </w:rPr>
              <w:t>处</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推土机</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82-90</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1m</w:t>
            </w:r>
            <w:r w:rsidRPr="00677D1F">
              <w:rPr>
                <w:rFonts w:hint="eastAsia"/>
                <w:bCs/>
              </w:rPr>
              <w:t>处</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混凝土振捣棒</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100</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1m</w:t>
            </w:r>
            <w:r w:rsidRPr="00677D1F">
              <w:rPr>
                <w:rFonts w:hint="eastAsia"/>
                <w:bCs/>
              </w:rPr>
              <w:t>处</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木工机械</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100-110</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1m</w:t>
            </w:r>
            <w:r w:rsidRPr="00677D1F">
              <w:rPr>
                <w:rFonts w:hint="eastAsia"/>
                <w:bCs/>
              </w:rPr>
              <w:t>处</w:t>
            </w:r>
          </w:p>
        </w:tc>
      </w:tr>
      <w:tr w:rsidR="00D228BE" w:rsidRPr="00677D1F">
        <w:trPr>
          <w:trHeight w:val="283"/>
          <w:jc w:val="center"/>
        </w:trPr>
        <w:tc>
          <w:tcPr>
            <w:tcW w:w="303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rFonts w:hint="eastAsia"/>
                <w:bCs/>
              </w:rPr>
              <w:t>载重车</w:t>
            </w:r>
          </w:p>
        </w:tc>
        <w:tc>
          <w:tcPr>
            <w:tcW w:w="3223"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89</w:t>
            </w:r>
          </w:p>
        </w:tc>
        <w:tc>
          <w:tcPr>
            <w:tcW w:w="2687"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contextualSpacing/>
              <w:jc w:val="center"/>
              <w:rPr>
                <w:bCs/>
                <w:szCs w:val="21"/>
              </w:rPr>
            </w:pPr>
            <w:r w:rsidRPr="00677D1F">
              <w:rPr>
                <w:bCs/>
              </w:rPr>
              <w:t>1m</w:t>
            </w:r>
            <w:r w:rsidRPr="00677D1F">
              <w:rPr>
                <w:rFonts w:hint="eastAsia"/>
                <w:bCs/>
              </w:rPr>
              <w:t>处</w:t>
            </w:r>
          </w:p>
        </w:tc>
      </w:tr>
    </w:tbl>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3.</w:t>
      </w:r>
      <w:r w:rsidRPr="00677D1F">
        <w:rPr>
          <w:rFonts w:ascii="黑体" w:eastAsia="黑体" w:hAnsi="黑体" w:cs="宋体" w:hint="eastAsia"/>
          <w:b/>
          <w:color w:val="000000"/>
          <w:kern w:val="0"/>
          <w:szCs w:val="21"/>
        </w:rPr>
        <w:t>4</w:t>
      </w:r>
      <w:r w:rsidRPr="00677D1F">
        <w:rPr>
          <w:rFonts w:ascii="黑体" w:eastAsia="黑体" w:hAnsi="黑体" w:cs="宋体"/>
          <w:b/>
          <w:color w:val="000000"/>
          <w:kern w:val="0"/>
          <w:szCs w:val="21"/>
        </w:rPr>
        <w:t xml:space="preserve">-2  </w:t>
      </w:r>
      <w:r w:rsidRPr="00677D1F">
        <w:rPr>
          <w:rFonts w:ascii="黑体" w:eastAsia="黑体" w:hAnsi="黑体" w:cs="宋体" w:hint="eastAsia"/>
          <w:b/>
          <w:color w:val="000000"/>
          <w:kern w:val="0"/>
          <w:szCs w:val="21"/>
        </w:rPr>
        <w:t>施工期各交通运输车辆噪声排放统计</w:t>
      </w:r>
    </w:p>
    <w:tbl>
      <w:tblPr>
        <w:tblW w:w="89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36"/>
        <w:gridCol w:w="2249"/>
        <w:gridCol w:w="2253"/>
        <w:gridCol w:w="2209"/>
      </w:tblGrid>
      <w:tr w:rsidR="00D228BE" w:rsidRPr="00677D1F">
        <w:trPr>
          <w:trHeight w:val="340"/>
          <w:jc w:val="center"/>
        </w:trPr>
        <w:tc>
          <w:tcPr>
            <w:tcW w:w="2236"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b/>
                <w:bCs/>
                <w:szCs w:val="21"/>
              </w:rPr>
            </w:pPr>
            <w:r w:rsidRPr="00677D1F">
              <w:rPr>
                <w:rFonts w:hint="eastAsia"/>
                <w:b/>
                <w:bCs/>
              </w:rPr>
              <w:t>施工阶段</w:t>
            </w:r>
          </w:p>
        </w:tc>
        <w:tc>
          <w:tcPr>
            <w:tcW w:w="224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b/>
                <w:bCs/>
                <w:szCs w:val="21"/>
              </w:rPr>
            </w:pPr>
            <w:r w:rsidRPr="00677D1F">
              <w:rPr>
                <w:rFonts w:hint="eastAsia"/>
                <w:b/>
                <w:bCs/>
              </w:rPr>
              <w:t>运输内容</w:t>
            </w:r>
          </w:p>
        </w:tc>
        <w:tc>
          <w:tcPr>
            <w:tcW w:w="2253"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b/>
                <w:bCs/>
                <w:szCs w:val="21"/>
              </w:rPr>
            </w:pPr>
            <w:r w:rsidRPr="00677D1F">
              <w:rPr>
                <w:rFonts w:hint="eastAsia"/>
                <w:b/>
                <w:bCs/>
              </w:rPr>
              <w:t>车辆类型</w:t>
            </w:r>
          </w:p>
        </w:tc>
        <w:tc>
          <w:tcPr>
            <w:tcW w:w="220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b/>
                <w:bCs/>
                <w:szCs w:val="21"/>
              </w:rPr>
            </w:pPr>
            <w:r w:rsidRPr="00677D1F">
              <w:rPr>
                <w:rFonts w:hint="eastAsia"/>
                <w:b/>
                <w:bCs/>
              </w:rPr>
              <w:t>声源强度</w:t>
            </w:r>
            <w:r w:rsidRPr="00677D1F">
              <w:rPr>
                <w:b/>
                <w:bCs/>
              </w:rPr>
              <w:t>[dB(A)]</w:t>
            </w:r>
          </w:p>
        </w:tc>
      </w:tr>
      <w:tr w:rsidR="00D228BE" w:rsidRPr="00677D1F">
        <w:trPr>
          <w:trHeight w:val="340"/>
          <w:jc w:val="center"/>
        </w:trPr>
        <w:tc>
          <w:tcPr>
            <w:tcW w:w="2236"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基础工程</w:t>
            </w:r>
          </w:p>
        </w:tc>
        <w:tc>
          <w:tcPr>
            <w:tcW w:w="224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弃土外运</w:t>
            </w:r>
          </w:p>
        </w:tc>
        <w:tc>
          <w:tcPr>
            <w:tcW w:w="2253"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大型载重车</w:t>
            </w:r>
          </w:p>
        </w:tc>
        <w:tc>
          <w:tcPr>
            <w:tcW w:w="220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t>84</w:t>
            </w:r>
            <w:r w:rsidRPr="00677D1F">
              <w:rPr>
                <w:rFonts w:hint="eastAsia"/>
              </w:rPr>
              <w:t>～</w:t>
            </w:r>
            <w:r w:rsidRPr="00677D1F">
              <w:t>89</w:t>
            </w:r>
          </w:p>
        </w:tc>
      </w:tr>
      <w:tr w:rsidR="00D228BE" w:rsidRPr="00677D1F">
        <w:trPr>
          <w:trHeight w:val="340"/>
          <w:jc w:val="center"/>
        </w:trPr>
        <w:tc>
          <w:tcPr>
            <w:tcW w:w="2236"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主体工程</w:t>
            </w:r>
          </w:p>
        </w:tc>
        <w:tc>
          <w:tcPr>
            <w:tcW w:w="224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钢筋、商品混凝土</w:t>
            </w:r>
          </w:p>
        </w:tc>
        <w:tc>
          <w:tcPr>
            <w:tcW w:w="2253"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混凝土罐车、载重车</w:t>
            </w:r>
          </w:p>
        </w:tc>
        <w:tc>
          <w:tcPr>
            <w:tcW w:w="220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t>80</w:t>
            </w:r>
            <w:r w:rsidRPr="00677D1F">
              <w:rPr>
                <w:rFonts w:hint="eastAsia"/>
              </w:rPr>
              <w:t>～</w:t>
            </w:r>
            <w:r w:rsidRPr="00677D1F">
              <w:t>85</w:t>
            </w:r>
          </w:p>
        </w:tc>
      </w:tr>
      <w:tr w:rsidR="00D228BE" w:rsidRPr="00677D1F">
        <w:trPr>
          <w:trHeight w:val="340"/>
          <w:jc w:val="center"/>
        </w:trPr>
        <w:tc>
          <w:tcPr>
            <w:tcW w:w="2236"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装饰工程</w:t>
            </w:r>
          </w:p>
        </w:tc>
        <w:tc>
          <w:tcPr>
            <w:tcW w:w="224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必备设备、材料</w:t>
            </w:r>
          </w:p>
        </w:tc>
        <w:tc>
          <w:tcPr>
            <w:tcW w:w="2253"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rPr>
                <w:rFonts w:hint="eastAsia"/>
              </w:rPr>
              <w:t>轻型载重卡车</w:t>
            </w:r>
          </w:p>
        </w:tc>
        <w:tc>
          <w:tcPr>
            <w:tcW w:w="2209" w:type="dxa"/>
            <w:tcBorders>
              <w:top w:val="single" w:sz="8" w:space="0" w:color="auto"/>
              <w:left w:val="single" w:sz="8" w:space="0" w:color="auto"/>
              <w:bottom w:val="single" w:sz="8" w:space="0" w:color="auto"/>
              <w:right w:val="single" w:sz="8" w:space="0" w:color="auto"/>
            </w:tcBorders>
            <w:vAlign w:val="center"/>
          </w:tcPr>
          <w:p w:rsidR="00D228BE" w:rsidRPr="00677D1F" w:rsidRDefault="00332EB6" w:rsidP="00677D1F">
            <w:pPr>
              <w:contextualSpacing/>
              <w:jc w:val="center"/>
              <w:rPr>
                <w:szCs w:val="21"/>
              </w:rPr>
            </w:pPr>
            <w:r w:rsidRPr="00677D1F">
              <w:t>75</w:t>
            </w:r>
            <w:r w:rsidRPr="00677D1F">
              <w:rPr>
                <w:rFonts w:hint="eastAsia"/>
              </w:rPr>
              <w:t>～</w:t>
            </w:r>
            <w:r w:rsidRPr="00677D1F">
              <w:t>80</w:t>
            </w:r>
          </w:p>
        </w:tc>
      </w:tr>
    </w:tbl>
    <w:p w:rsidR="00D228BE" w:rsidRPr="00677D1F" w:rsidRDefault="00332EB6" w:rsidP="00677D1F">
      <w:pPr>
        <w:pStyle w:val="Af5"/>
        <w:spacing w:beforeLines="50" w:before="156" w:line="360" w:lineRule="auto"/>
        <w:contextualSpacing/>
        <w:rPr>
          <w:rFonts w:ascii="Times New Roman" w:hAnsi="Times New Roman" w:cs="Times New Roman"/>
        </w:rPr>
      </w:pPr>
      <w:r w:rsidRPr="00677D1F">
        <w:rPr>
          <w:rFonts w:ascii="Times New Roman" w:hAnsi="Times New Roman" w:cs="Times New Roman" w:hint="eastAsia"/>
        </w:rPr>
        <w:t>另外在多台机械设备同时作业时，各台设备产生的噪声会产生叠加。根据类比调查，叠加后的噪声增值约</w:t>
      </w:r>
      <w:r w:rsidRPr="00677D1F">
        <w:rPr>
          <w:rFonts w:ascii="Times New Roman" w:hAnsi="Times New Roman" w:cs="Times New Roman"/>
        </w:rPr>
        <w:t>3-8dB(A)</w:t>
      </w:r>
      <w:r w:rsidRPr="00677D1F">
        <w:rPr>
          <w:rFonts w:ascii="Times New Roman" w:hAnsi="Times New Roman" w:cs="Times New Roman" w:hint="eastAsia"/>
        </w:rPr>
        <w:t>，一般不超过</w:t>
      </w:r>
      <w:r w:rsidRPr="00677D1F">
        <w:rPr>
          <w:rFonts w:ascii="Times New Roman" w:hAnsi="Times New Roman" w:cs="Times New Roman"/>
        </w:rPr>
        <w:t>10dB(A)</w:t>
      </w:r>
      <w:r w:rsidRPr="00677D1F">
        <w:rPr>
          <w:rFonts w:ascii="Times New Roman" w:hAnsi="Times New Roman" w:cs="Times New Roman" w:hint="eastAsia"/>
        </w:rPr>
        <w:t>。</w:t>
      </w:r>
    </w:p>
    <w:p w:rsidR="00D228BE" w:rsidRPr="00677D1F" w:rsidRDefault="00332EB6" w:rsidP="00677D1F">
      <w:pPr>
        <w:autoSpaceDE w:val="0"/>
        <w:autoSpaceDN w:val="0"/>
        <w:spacing w:line="360" w:lineRule="auto"/>
        <w:ind w:firstLineChars="200" w:firstLine="480"/>
        <w:contextualSpacing/>
        <w:rPr>
          <w:rFonts w:ascii="Times New Roman" w:hAnsi="Times New Roman" w:cs="Times New Roman"/>
          <w:sz w:val="24"/>
        </w:rPr>
      </w:pPr>
      <w:r w:rsidRPr="00677D1F">
        <w:rPr>
          <w:rFonts w:hint="eastAsia"/>
          <w:sz w:val="24"/>
        </w:rPr>
        <w:t>（</w:t>
      </w:r>
      <w:r w:rsidRPr="00677D1F">
        <w:rPr>
          <w:sz w:val="24"/>
        </w:rPr>
        <w:t>4</w:t>
      </w:r>
      <w:r w:rsidRPr="00677D1F">
        <w:rPr>
          <w:rFonts w:hint="eastAsia"/>
          <w:sz w:val="24"/>
        </w:rPr>
        <w:t>）施工期固体废弃物污染源</w:t>
      </w:r>
    </w:p>
    <w:p w:rsidR="00D228BE" w:rsidRPr="00677D1F" w:rsidRDefault="00332EB6" w:rsidP="00677D1F">
      <w:pPr>
        <w:spacing w:line="360" w:lineRule="auto"/>
        <w:ind w:firstLineChars="200" w:firstLine="480"/>
        <w:contextualSpacing/>
        <w:rPr>
          <w:sz w:val="24"/>
        </w:rPr>
      </w:pPr>
      <w:r w:rsidRPr="00677D1F">
        <w:rPr>
          <w:rFonts w:hint="eastAsia"/>
          <w:sz w:val="24"/>
        </w:rPr>
        <w:t>施工期的固体废物主要为施工过程中产生的土石方、施工建筑垃圾、废弃的包</w:t>
      </w:r>
      <w:r w:rsidRPr="00677D1F">
        <w:rPr>
          <w:rFonts w:hint="eastAsia"/>
          <w:sz w:val="24"/>
        </w:rPr>
        <w:lastRenderedPageBreak/>
        <w:t>装材料、工人产生的生活垃圾等。</w:t>
      </w:r>
    </w:p>
    <w:p w:rsidR="00D228BE" w:rsidRPr="00677D1F" w:rsidRDefault="00332EB6" w:rsidP="00677D1F">
      <w:pPr>
        <w:spacing w:line="360" w:lineRule="auto"/>
        <w:ind w:firstLineChars="200" w:firstLine="480"/>
        <w:contextualSpacing/>
        <w:rPr>
          <w:sz w:val="24"/>
        </w:rPr>
      </w:pPr>
      <w:r w:rsidRPr="00677D1F">
        <w:rPr>
          <w:rFonts w:hint="eastAsia"/>
          <w:sz w:val="24"/>
        </w:rPr>
        <w:t>土石方：项目区开挖产生的土石方量较少，可全部回用回填。</w:t>
      </w:r>
    </w:p>
    <w:p w:rsidR="00D228BE" w:rsidRPr="00677D1F" w:rsidRDefault="00332EB6" w:rsidP="00677D1F">
      <w:pPr>
        <w:spacing w:line="360" w:lineRule="auto"/>
        <w:ind w:firstLineChars="200" w:firstLine="480"/>
        <w:contextualSpacing/>
        <w:rPr>
          <w:sz w:val="24"/>
        </w:rPr>
      </w:pPr>
      <w:r w:rsidRPr="00677D1F">
        <w:rPr>
          <w:rFonts w:hint="eastAsia"/>
          <w:sz w:val="24"/>
        </w:rPr>
        <w:t>施工建筑垃圾：施工建筑垃圾按每平方米</w:t>
      </w:r>
      <w:r w:rsidRPr="00677D1F">
        <w:rPr>
          <w:sz w:val="24"/>
        </w:rPr>
        <w:t>0.05t</w:t>
      </w:r>
      <w:r w:rsidRPr="00677D1F">
        <w:rPr>
          <w:rFonts w:hint="eastAsia"/>
          <w:sz w:val="24"/>
        </w:rPr>
        <w:t>（每吨按</w:t>
      </w:r>
      <w:r w:rsidRPr="00677D1F">
        <w:rPr>
          <w:sz w:val="24"/>
        </w:rPr>
        <w:t>0.25</w:t>
      </w:r>
      <w:r w:rsidRPr="00677D1F">
        <w:rPr>
          <w:sz w:val="24"/>
          <w:szCs w:val="24"/>
        </w:rPr>
        <w:t>m</w:t>
      </w:r>
      <w:r w:rsidRPr="00677D1F">
        <w:rPr>
          <w:sz w:val="24"/>
          <w:szCs w:val="24"/>
          <w:vertAlign w:val="superscript"/>
        </w:rPr>
        <w:t>3</w:t>
      </w:r>
      <w:r w:rsidRPr="00677D1F">
        <w:rPr>
          <w:rFonts w:hint="eastAsia"/>
          <w:sz w:val="24"/>
        </w:rPr>
        <w:t>计），项目总建筑面积</w:t>
      </w:r>
      <w:r w:rsidRPr="00677D1F">
        <w:rPr>
          <w:sz w:val="24"/>
        </w:rPr>
        <w:t>2025</w:t>
      </w:r>
      <w:r w:rsidRPr="00677D1F">
        <w:rPr>
          <w:sz w:val="24"/>
          <w:szCs w:val="24"/>
        </w:rPr>
        <w:t>m</w:t>
      </w:r>
      <w:r w:rsidRPr="00677D1F">
        <w:rPr>
          <w:sz w:val="24"/>
          <w:szCs w:val="24"/>
          <w:vertAlign w:val="superscript"/>
        </w:rPr>
        <w:t>2</w:t>
      </w:r>
      <w:r w:rsidRPr="00677D1F">
        <w:rPr>
          <w:rFonts w:hint="eastAsia"/>
          <w:sz w:val="24"/>
        </w:rPr>
        <w:t>，则施工建筑垃圾量约为</w:t>
      </w:r>
      <w:r w:rsidRPr="00677D1F">
        <w:rPr>
          <w:sz w:val="24"/>
        </w:rPr>
        <w:t>25.31</w:t>
      </w:r>
      <w:r w:rsidRPr="00677D1F">
        <w:rPr>
          <w:sz w:val="24"/>
          <w:szCs w:val="24"/>
        </w:rPr>
        <w:t>m</w:t>
      </w:r>
      <w:r w:rsidRPr="00677D1F">
        <w:rPr>
          <w:sz w:val="24"/>
          <w:szCs w:val="24"/>
          <w:vertAlign w:val="superscript"/>
        </w:rPr>
        <w:t>3</w:t>
      </w:r>
      <w:r w:rsidRPr="00677D1F">
        <w:rPr>
          <w:rFonts w:hint="eastAsia"/>
          <w:sz w:val="24"/>
        </w:rPr>
        <w:t>。</w:t>
      </w:r>
    </w:p>
    <w:p w:rsidR="00D228BE" w:rsidRPr="00677D1F" w:rsidRDefault="00332EB6" w:rsidP="00677D1F">
      <w:pPr>
        <w:spacing w:line="360" w:lineRule="auto"/>
        <w:ind w:firstLineChars="200" w:firstLine="480"/>
        <w:contextualSpacing/>
        <w:rPr>
          <w:sz w:val="24"/>
        </w:rPr>
      </w:pPr>
      <w:r w:rsidRPr="00677D1F">
        <w:rPr>
          <w:rFonts w:hint="eastAsia"/>
          <w:sz w:val="24"/>
        </w:rPr>
        <w:t>施工建筑垃圾由施工单位或承建单位作为筑路材料或外运至建筑垃圾填埋点进行安全填埋。</w:t>
      </w:r>
    </w:p>
    <w:p w:rsidR="00D228BE" w:rsidRPr="00677D1F" w:rsidRDefault="00D228BE" w:rsidP="00677D1F">
      <w:pPr>
        <w:pStyle w:val="af4"/>
        <w:ind w:firstLine="480"/>
        <w:contextualSpacing/>
        <w:rPr>
          <w:rFonts w:cs="Times New Roman"/>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3.4.</w:t>
      </w:r>
      <w:r w:rsidRPr="00677D1F">
        <w:rPr>
          <w:rFonts w:ascii="宋体" w:hAnsi="宋体" w:hint="eastAsia"/>
          <w:sz w:val="28"/>
          <w:szCs w:val="28"/>
        </w:rPr>
        <w:t>2 运营期工程分析</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3.4.2.1 富钛料生产</w:t>
      </w:r>
    </w:p>
    <w:p w:rsidR="00D228BE" w:rsidRPr="00677D1F" w:rsidRDefault="00332EB6" w:rsidP="00677D1F">
      <w:pPr>
        <w:pStyle w:val="af4"/>
        <w:ind w:firstLine="480"/>
        <w:contextualSpacing/>
        <w:rPr>
          <w:rFonts w:cs="Times New Roman"/>
        </w:rPr>
      </w:pPr>
      <w:r w:rsidRPr="00677D1F">
        <w:rPr>
          <w:rFonts w:cs="Times New Roman" w:hint="eastAsia"/>
        </w:rPr>
        <w:t>富钛料分为金红石和钛渣，金红石分为天然金红石和人造金红石，天然金红石由天然金红石矿选矿得到，人造金红石是采用钛铁矿采用盐酸浸法、锈蚀法、选择氯化法等富集二氧化钛生产得到。钛渣分为氯化渣和酸溶性渣两种，酸溶渣供硫酸法钛白的原料，氯化渣主要氯化法钛白和海绵钛的原料。</w:t>
      </w:r>
    </w:p>
    <w:p w:rsidR="00D228BE" w:rsidRPr="00677D1F" w:rsidRDefault="00332EB6" w:rsidP="00677D1F">
      <w:pPr>
        <w:pStyle w:val="af4"/>
        <w:ind w:firstLine="480"/>
        <w:contextualSpacing/>
        <w:rPr>
          <w:rFonts w:cs="Times New Roman"/>
        </w:rPr>
      </w:pPr>
      <w:r w:rsidRPr="00677D1F">
        <w:rPr>
          <w:rFonts w:cs="Times New Roman" w:hint="eastAsia"/>
        </w:rPr>
        <w:t>根据本项目的原料为新疆哈密市生产钛精矿的特性，选择采用钛渣熔炼方式进行二氧化钛的富集，钛渣熔炼富集的特点是，流程短、三废量少，电炉煤气可回收、操作简单、占地面积小，产品质量满足生产四氯化钛的要求，因此拟采用钛渣电炉生产高钛渣的生产工艺。根据目前国内外钛渣电炉技术现状及结合本项目产能情况，拟选择25500kVA钛渣电炉工艺装备，生产采用 2 台可满足生产能力要求。</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3.4.2.2 四氯化钛生产</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钛渣氯化生产四氯化钛的方法主要有沸腾氯化法、熔盐氯化法和竖炉氯化法三种，每种方法主要技术特点列于表</w:t>
      </w:r>
      <w:r w:rsidRPr="00677D1F">
        <w:rPr>
          <w:rFonts w:asciiTheme="minorEastAsia" w:eastAsiaTheme="minorEastAsia" w:hAnsiTheme="minorEastAsia" w:hint="eastAsia"/>
          <w:sz w:val="24"/>
          <w:szCs w:val="24"/>
        </w:rPr>
        <w:t>3.4</w:t>
      </w:r>
      <w:r w:rsidRPr="00677D1F">
        <w:rPr>
          <w:rFonts w:asciiTheme="minorEastAsia" w:eastAsiaTheme="minorEastAsia" w:hAnsiTheme="minorEastAsia"/>
          <w:sz w:val="24"/>
          <w:szCs w:val="24"/>
        </w:rPr>
        <w:t>-</w:t>
      </w:r>
      <w:r w:rsidRPr="00677D1F">
        <w:rPr>
          <w:rFonts w:asciiTheme="minorEastAsia" w:eastAsiaTheme="minorEastAsia" w:hAnsiTheme="minorEastAsia" w:hint="eastAsia"/>
          <w:sz w:val="24"/>
          <w:szCs w:val="24"/>
        </w:rPr>
        <w:t>1</w:t>
      </w:r>
      <w:r w:rsidRPr="00677D1F">
        <w:rPr>
          <w:rFonts w:asciiTheme="minorEastAsia" w:eastAsiaTheme="minorEastAsia" w:hAnsiTheme="minorEastAsia"/>
          <w:sz w:val="24"/>
          <w:szCs w:val="24"/>
        </w:rPr>
        <w:t>中。</w:t>
      </w:r>
    </w:p>
    <w:p w:rsidR="00D228BE" w:rsidRPr="00677D1F" w:rsidRDefault="00332EB6" w:rsidP="00677D1F">
      <w:pPr>
        <w:widowControl/>
        <w:spacing w:line="360" w:lineRule="auto"/>
        <w:contextualSpacing/>
        <w:jc w:val="center"/>
        <w:outlineLvl w:val="8"/>
        <w:rPr>
          <w:rFonts w:ascii="黑体"/>
          <w:sz w:val="5"/>
        </w:rPr>
      </w:pPr>
      <w:r w:rsidRPr="00677D1F">
        <w:rPr>
          <w:rFonts w:ascii="黑体" w:eastAsia="黑体" w:hAnsi="黑体" w:cs="宋体" w:hint="eastAsia"/>
          <w:b/>
          <w:color w:val="000000"/>
          <w:kern w:val="0"/>
          <w:szCs w:val="21"/>
        </w:rPr>
        <w:t>表3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4</w:t>
      </w:r>
      <w:r w:rsidRPr="00677D1F">
        <w:rPr>
          <w:rFonts w:ascii="黑体" w:eastAsia="黑体" w:hAnsi="黑体" w:cs="宋体"/>
          <w:b/>
          <w:color w:val="000000"/>
          <w:kern w:val="0"/>
          <w:szCs w:val="21"/>
        </w:rPr>
        <w:t>-1</w:t>
      </w:r>
      <w:r w:rsidRPr="00677D1F">
        <w:rPr>
          <w:rFonts w:ascii="黑体" w:eastAsia="黑体" w:hAnsi="黑体" w:cs="宋体" w:hint="eastAsia"/>
          <w:b/>
          <w:color w:val="000000"/>
          <w:kern w:val="0"/>
          <w:szCs w:val="21"/>
        </w:rPr>
        <w:t xml:space="preserve"> </w:t>
      </w:r>
      <w:r w:rsidRPr="00677D1F">
        <w:rPr>
          <w:rFonts w:ascii="黑体" w:eastAsia="黑体" w:hAnsi="黑体" w:cs="宋体"/>
          <w:b/>
          <w:color w:val="000000"/>
          <w:kern w:val="0"/>
          <w:szCs w:val="21"/>
        </w:rPr>
        <w:t xml:space="preserve"> </w:t>
      </w:r>
      <w:r w:rsidRPr="00677D1F">
        <w:rPr>
          <w:rFonts w:ascii="黑体" w:eastAsia="黑体" w:hAnsi="黑体" w:cs="宋体" w:hint="eastAsia"/>
          <w:b/>
          <w:color w:val="000000"/>
          <w:kern w:val="0"/>
          <w:szCs w:val="21"/>
        </w:rPr>
        <w:t>三种粗四氯化钛Th产方法技术特点的综合比较表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65"/>
        <w:gridCol w:w="2478"/>
        <w:gridCol w:w="2081"/>
        <w:gridCol w:w="2448"/>
      </w:tblGrid>
      <w:tr w:rsidR="00D228BE" w:rsidRPr="00677D1F">
        <w:trPr>
          <w:trHeight w:val="340"/>
          <w:jc w:val="center"/>
        </w:trPr>
        <w:tc>
          <w:tcPr>
            <w:tcW w:w="2065" w:type="dxa"/>
            <w:vMerge w:val="restart"/>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比较项目</w:t>
            </w:r>
          </w:p>
        </w:tc>
        <w:tc>
          <w:tcPr>
            <w:tcW w:w="7007" w:type="dxa"/>
            <w:gridSpan w:val="3"/>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lang w:eastAsia="zh-CN"/>
              </w:rPr>
            </w:pPr>
            <w:r w:rsidRPr="00677D1F">
              <w:rPr>
                <w:rFonts w:asciiTheme="minorEastAsia" w:eastAsiaTheme="minorEastAsia" w:hAnsiTheme="minorEastAsia"/>
                <w:b/>
                <w:sz w:val="21"/>
                <w:szCs w:val="21"/>
                <w:lang w:eastAsia="zh-CN"/>
              </w:rPr>
              <w:t></w:t>
            </w:r>
            <w:r w:rsidRPr="00677D1F">
              <w:rPr>
                <w:rFonts w:asciiTheme="minorEastAsia" w:eastAsiaTheme="minorEastAsia" w:hAnsiTheme="minorEastAsia" w:hint="eastAsia"/>
                <w:b/>
                <w:sz w:val="21"/>
                <w:szCs w:val="21"/>
                <w:lang w:eastAsia="zh-CN"/>
              </w:rPr>
              <w:t>粗四氯化钛的Th产方法</w:t>
            </w:r>
          </w:p>
        </w:tc>
      </w:tr>
      <w:tr w:rsidR="00D228BE" w:rsidRPr="00677D1F">
        <w:trPr>
          <w:trHeight w:val="340"/>
          <w:jc w:val="center"/>
        </w:trPr>
        <w:tc>
          <w:tcPr>
            <w:tcW w:w="2065"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Cs w:val="21"/>
                <w:lang w:eastAsia="zh-CN"/>
              </w:rPr>
            </w:pP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流态化氯化法</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熔盐氯化法</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竖炉氯化法</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主体设备</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沸腾氯化炉</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熔盐氯化炉</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竖式氯化炉</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炉体结构</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简单</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较复杂</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复杂</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供热方式</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自热生产</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自热生产</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电热维持炉温</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单炉生产能力</w:t>
            </w:r>
          </w:p>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sz w:val="21"/>
                <w:szCs w:val="21"/>
                <w:lang w:eastAsia="zh-CN"/>
              </w:rPr>
              <w:t>(TiCl</w:t>
            </w:r>
            <w:r w:rsidRPr="00677D1F">
              <w:rPr>
                <w:rFonts w:asciiTheme="minorEastAsia" w:eastAsiaTheme="minorEastAsia" w:hAnsiTheme="minorEastAsia"/>
                <w:sz w:val="21"/>
                <w:szCs w:val="21"/>
                <w:vertAlign w:val="subscript"/>
                <w:lang w:eastAsia="zh-CN"/>
              </w:rPr>
              <w:t>4</w:t>
            </w:r>
            <w:r w:rsidRPr="00677D1F">
              <w:rPr>
                <w:rFonts w:asciiTheme="minorEastAsia" w:eastAsiaTheme="minorEastAsia" w:hAnsiTheme="minorEastAsia"/>
                <w:sz w:val="21"/>
                <w:szCs w:val="21"/>
                <w:lang w:eastAsia="zh-CN"/>
              </w:rPr>
              <w:t>)t/d</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70</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280</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100</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160</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炉子单位面积产能</w:t>
            </w:r>
          </w:p>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sz w:val="21"/>
                <w:szCs w:val="21"/>
                <w:lang w:eastAsia="zh-CN"/>
              </w:rPr>
              <w:lastRenderedPageBreak/>
              <w:t>(TiCl</w:t>
            </w:r>
            <w:r w:rsidRPr="00677D1F">
              <w:rPr>
                <w:rFonts w:asciiTheme="minorEastAsia" w:eastAsiaTheme="minorEastAsia" w:hAnsiTheme="minorEastAsia"/>
                <w:sz w:val="21"/>
                <w:szCs w:val="21"/>
                <w:vertAlign w:val="subscript"/>
                <w:lang w:eastAsia="zh-CN"/>
              </w:rPr>
              <w:t>4</w:t>
            </w:r>
            <w:r w:rsidRPr="00677D1F">
              <w:rPr>
                <w:rFonts w:asciiTheme="minorEastAsia" w:eastAsiaTheme="minorEastAsia" w:hAnsiTheme="minorEastAsia"/>
                <w:sz w:val="21"/>
                <w:szCs w:val="21"/>
                <w:lang w:eastAsia="zh-CN"/>
              </w:rPr>
              <w:t>)t·m</w:t>
            </w:r>
            <w:r w:rsidRPr="00677D1F">
              <w:rPr>
                <w:rFonts w:asciiTheme="minorEastAsia" w:eastAsiaTheme="minorEastAsia" w:hAnsiTheme="minorEastAsia"/>
                <w:sz w:val="21"/>
                <w:szCs w:val="21"/>
                <w:vertAlign w:val="superscript"/>
                <w:lang w:eastAsia="zh-CN"/>
              </w:rPr>
              <w:t>-2</w:t>
            </w:r>
            <w:r w:rsidRPr="00677D1F">
              <w:rPr>
                <w:rFonts w:asciiTheme="minorEastAsia" w:eastAsiaTheme="minorEastAsia" w:hAnsiTheme="minorEastAsia"/>
                <w:sz w:val="21"/>
                <w:szCs w:val="21"/>
                <w:lang w:eastAsia="zh-CN"/>
              </w:rPr>
              <w:t>·d</w:t>
            </w:r>
            <w:r w:rsidRPr="00677D1F">
              <w:rPr>
                <w:rFonts w:asciiTheme="minorEastAsia" w:eastAsiaTheme="minorEastAsia" w:hAnsiTheme="minorEastAsia"/>
                <w:sz w:val="21"/>
                <w:szCs w:val="21"/>
                <w:vertAlign w:val="superscript"/>
                <w:lang w:eastAsia="zh-CN"/>
              </w:rPr>
              <w:t>-1</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lastRenderedPageBreak/>
              <w:t>21</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32</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25</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5</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lastRenderedPageBreak/>
              <w:t>原料适应性</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适用于</w:t>
            </w:r>
            <w:r w:rsidRPr="00677D1F">
              <w:rPr>
                <w:rFonts w:asciiTheme="minorEastAsia" w:eastAsiaTheme="minorEastAsia" w:hAnsiTheme="minorEastAsia"/>
                <w:sz w:val="21"/>
                <w:szCs w:val="21"/>
                <w:lang w:eastAsia="zh-CN"/>
              </w:rPr>
              <w:t>CaO</w:t>
            </w:r>
            <w:r w:rsidRPr="00677D1F">
              <w:rPr>
                <w:rFonts w:asciiTheme="minorEastAsia" w:eastAsiaTheme="minorEastAsia" w:hAnsiTheme="minorEastAsia" w:hint="eastAsia"/>
                <w:sz w:val="21"/>
                <w:szCs w:val="21"/>
                <w:lang w:eastAsia="zh-CN"/>
              </w:rPr>
              <w:t>、</w:t>
            </w:r>
            <w:r w:rsidRPr="00677D1F">
              <w:rPr>
                <w:rFonts w:asciiTheme="minorEastAsia" w:eastAsiaTheme="minorEastAsia" w:hAnsiTheme="minorEastAsia"/>
                <w:sz w:val="21"/>
                <w:szCs w:val="21"/>
                <w:lang w:eastAsia="zh-CN"/>
              </w:rPr>
              <w:t>MgO</w:t>
            </w:r>
          </w:p>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含量低的原料</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适用于</w:t>
            </w:r>
            <w:r w:rsidRPr="00677D1F">
              <w:rPr>
                <w:rFonts w:asciiTheme="minorEastAsia" w:eastAsiaTheme="minorEastAsia" w:hAnsiTheme="minorEastAsia"/>
                <w:sz w:val="21"/>
                <w:szCs w:val="21"/>
                <w:lang w:eastAsia="zh-CN"/>
              </w:rPr>
              <w:t>CaO</w:t>
            </w:r>
            <w:r w:rsidRPr="00677D1F">
              <w:rPr>
                <w:rFonts w:asciiTheme="minorEastAsia" w:eastAsiaTheme="minorEastAsia" w:hAnsiTheme="minorEastAsia" w:hint="eastAsia"/>
                <w:sz w:val="21"/>
                <w:szCs w:val="21"/>
                <w:lang w:eastAsia="zh-CN"/>
              </w:rPr>
              <w:t>、</w:t>
            </w:r>
            <w:r w:rsidRPr="00677D1F">
              <w:rPr>
                <w:rFonts w:asciiTheme="minorEastAsia" w:eastAsiaTheme="minorEastAsia" w:hAnsiTheme="minorEastAsia"/>
                <w:sz w:val="21"/>
                <w:szCs w:val="21"/>
                <w:lang w:eastAsia="zh-CN"/>
              </w:rPr>
              <w:t>MgO</w:t>
            </w:r>
          </w:p>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含量高的物料</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用于处理含</w:t>
            </w:r>
            <w:r w:rsidRPr="00677D1F">
              <w:rPr>
                <w:rFonts w:asciiTheme="minorEastAsia" w:eastAsiaTheme="minorEastAsia" w:hAnsiTheme="minorEastAsia"/>
                <w:sz w:val="21"/>
                <w:szCs w:val="21"/>
              </w:rPr>
              <w:t>CaO</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MgO</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含量高的原料</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原料处理要求</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粉料入炉</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粉料入炉</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制成团块料并焦化后入炉</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工艺特征</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反应在流态化层中进行，传热、传质条件好， 可强化生产</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熔盐由氯气搅拌，传热、传质条件良好， 有利反应</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反应在团块表面进行， 限制了氯化速度</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碳耗</w:t>
            </w:r>
          </w:p>
        </w:tc>
        <w:tc>
          <w:tcPr>
            <w:tcW w:w="247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中等</w:t>
            </w:r>
          </w:p>
        </w:tc>
        <w:tc>
          <w:tcPr>
            <w:tcW w:w="208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低</w:t>
            </w:r>
          </w:p>
        </w:tc>
        <w:tc>
          <w:tcPr>
            <w:tcW w:w="244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高</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before="37"/>
              <w:ind w:left="138" w:right="115"/>
              <w:contextualSpacing/>
              <w:jc w:val="center"/>
              <w:rPr>
                <w:rFonts w:ascii="宋体" w:eastAsia="宋体"/>
                <w:sz w:val="21"/>
              </w:rPr>
            </w:pPr>
            <w:r w:rsidRPr="00677D1F">
              <w:rPr>
                <w:rFonts w:ascii="宋体" w:eastAsia="宋体" w:hint="eastAsia"/>
                <w:sz w:val="21"/>
              </w:rPr>
              <w:t>电耗</w:t>
            </w:r>
          </w:p>
        </w:tc>
        <w:tc>
          <w:tcPr>
            <w:tcW w:w="247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45"/>
              <w:ind w:left="552" w:right="525"/>
              <w:contextualSpacing/>
              <w:jc w:val="center"/>
              <w:rPr>
                <w:sz w:val="21"/>
              </w:rPr>
            </w:pPr>
            <w:r w:rsidRPr="00677D1F">
              <w:rPr>
                <w:sz w:val="21"/>
              </w:rPr>
              <w:t>~300kwh</w:t>
            </w:r>
          </w:p>
        </w:tc>
        <w:tc>
          <w:tcPr>
            <w:tcW w:w="2081"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45"/>
              <w:ind w:left="465" w:right="437"/>
              <w:contextualSpacing/>
              <w:jc w:val="center"/>
              <w:rPr>
                <w:sz w:val="21"/>
              </w:rPr>
            </w:pPr>
            <w:r w:rsidRPr="00677D1F">
              <w:rPr>
                <w:sz w:val="21"/>
              </w:rPr>
              <w:t>~540kwh</w:t>
            </w:r>
          </w:p>
        </w:tc>
        <w:tc>
          <w:tcPr>
            <w:tcW w:w="2448"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45"/>
              <w:ind w:left="36"/>
              <w:contextualSpacing/>
              <w:jc w:val="center"/>
              <w:rPr>
                <w:sz w:val="21"/>
              </w:rPr>
            </w:pPr>
            <w:r w:rsidRPr="00677D1F">
              <w:rPr>
                <w:sz w:val="21"/>
              </w:rPr>
              <w:t>-</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before="39"/>
              <w:ind w:left="138" w:right="115"/>
              <w:contextualSpacing/>
              <w:jc w:val="center"/>
              <w:rPr>
                <w:rFonts w:ascii="宋体" w:eastAsia="宋体"/>
                <w:sz w:val="21"/>
              </w:rPr>
            </w:pPr>
            <w:r w:rsidRPr="00677D1F">
              <w:rPr>
                <w:rFonts w:ascii="宋体" w:eastAsia="宋体" w:hint="eastAsia"/>
                <w:sz w:val="21"/>
              </w:rPr>
              <w:t>用盐量</w:t>
            </w:r>
          </w:p>
        </w:tc>
        <w:tc>
          <w:tcPr>
            <w:tcW w:w="247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9"/>
              <w:ind w:left="22"/>
              <w:contextualSpacing/>
              <w:jc w:val="center"/>
              <w:rPr>
                <w:rFonts w:ascii="宋体" w:eastAsia="宋体"/>
                <w:sz w:val="21"/>
              </w:rPr>
            </w:pPr>
            <w:r w:rsidRPr="00677D1F">
              <w:rPr>
                <w:rFonts w:ascii="宋体" w:eastAsia="宋体" w:hint="eastAsia"/>
                <w:sz w:val="21"/>
              </w:rPr>
              <w:t>无</w:t>
            </w:r>
          </w:p>
        </w:tc>
        <w:tc>
          <w:tcPr>
            <w:tcW w:w="2081"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9"/>
              <w:ind w:left="28"/>
              <w:contextualSpacing/>
              <w:jc w:val="center"/>
              <w:rPr>
                <w:rFonts w:ascii="宋体" w:eastAsia="宋体"/>
                <w:sz w:val="21"/>
              </w:rPr>
            </w:pPr>
            <w:r w:rsidRPr="00677D1F">
              <w:rPr>
                <w:rFonts w:ascii="宋体" w:eastAsia="宋体" w:hint="eastAsia"/>
                <w:sz w:val="21"/>
              </w:rPr>
              <w:t>高</w:t>
            </w:r>
          </w:p>
        </w:tc>
        <w:tc>
          <w:tcPr>
            <w:tcW w:w="2448"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47"/>
              <w:ind w:left="36"/>
              <w:contextualSpacing/>
              <w:jc w:val="center"/>
              <w:rPr>
                <w:sz w:val="21"/>
              </w:rPr>
            </w:pPr>
            <w:r w:rsidRPr="00677D1F">
              <w:rPr>
                <w:sz w:val="21"/>
              </w:rPr>
              <w:t>-</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before="37"/>
              <w:ind w:left="138" w:right="115"/>
              <w:contextualSpacing/>
              <w:jc w:val="center"/>
              <w:rPr>
                <w:rFonts w:ascii="宋体" w:eastAsia="宋体"/>
                <w:sz w:val="21"/>
              </w:rPr>
            </w:pPr>
            <w:r w:rsidRPr="00677D1F">
              <w:rPr>
                <w:rFonts w:ascii="宋体" w:eastAsia="宋体" w:hint="eastAsia"/>
                <w:sz w:val="21"/>
              </w:rPr>
              <w:t>排渣量</w:t>
            </w:r>
          </w:p>
        </w:tc>
        <w:tc>
          <w:tcPr>
            <w:tcW w:w="247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7"/>
              <w:ind w:left="552" w:right="525"/>
              <w:contextualSpacing/>
              <w:jc w:val="center"/>
              <w:rPr>
                <w:rFonts w:ascii="宋体" w:eastAsia="宋体"/>
                <w:sz w:val="21"/>
              </w:rPr>
            </w:pPr>
            <w:r w:rsidRPr="00677D1F">
              <w:rPr>
                <w:rFonts w:ascii="宋体" w:eastAsia="宋体" w:hint="eastAsia"/>
                <w:sz w:val="21"/>
              </w:rPr>
              <w:t>一般</w:t>
            </w:r>
          </w:p>
        </w:tc>
        <w:tc>
          <w:tcPr>
            <w:tcW w:w="2081"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7"/>
              <w:ind w:left="28"/>
              <w:contextualSpacing/>
              <w:jc w:val="center"/>
              <w:rPr>
                <w:rFonts w:ascii="宋体" w:eastAsia="宋体"/>
                <w:sz w:val="21"/>
              </w:rPr>
            </w:pPr>
            <w:r w:rsidRPr="00677D1F">
              <w:rPr>
                <w:rFonts w:ascii="宋体" w:eastAsia="宋体" w:hint="eastAsia"/>
                <w:sz w:val="21"/>
              </w:rPr>
              <w:t>多</w:t>
            </w:r>
          </w:p>
        </w:tc>
        <w:tc>
          <w:tcPr>
            <w:tcW w:w="2448"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47"/>
              <w:ind w:left="36"/>
              <w:contextualSpacing/>
              <w:jc w:val="center"/>
              <w:rPr>
                <w:sz w:val="21"/>
              </w:rPr>
            </w:pPr>
            <w:r w:rsidRPr="00677D1F">
              <w:rPr>
                <w:sz w:val="21"/>
              </w:rPr>
              <w:t>-</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before="37"/>
              <w:ind w:left="138" w:right="115"/>
              <w:contextualSpacing/>
              <w:jc w:val="center"/>
              <w:rPr>
                <w:rFonts w:ascii="宋体" w:eastAsia="宋体"/>
                <w:sz w:val="21"/>
              </w:rPr>
            </w:pPr>
            <w:r w:rsidRPr="00677D1F">
              <w:rPr>
                <w:rFonts w:ascii="宋体" w:eastAsia="宋体" w:hint="eastAsia"/>
                <w:sz w:val="21"/>
              </w:rPr>
              <w:t xml:space="preserve">炉气中 </w:t>
            </w:r>
            <w:r w:rsidRPr="00677D1F">
              <w:rPr>
                <w:sz w:val="21"/>
              </w:rPr>
              <w:t>TiCl</w:t>
            </w:r>
            <w:r w:rsidRPr="00677D1F">
              <w:rPr>
                <w:sz w:val="21"/>
                <w:vertAlign w:val="subscript"/>
              </w:rPr>
              <w:t>4</w:t>
            </w:r>
            <w:r w:rsidRPr="00677D1F">
              <w:rPr>
                <w:sz w:val="21"/>
              </w:rPr>
              <w:t xml:space="preserve"> </w:t>
            </w:r>
            <w:r w:rsidRPr="00677D1F">
              <w:rPr>
                <w:rFonts w:ascii="宋体" w:eastAsia="宋体" w:hint="eastAsia"/>
                <w:sz w:val="21"/>
              </w:rPr>
              <w:t>浓度</w:t>
            </w:r>
          </w:p>
        </w:tc>
        <w:tc>
          <w:tcPr>
            <w:tcW w:w="247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7"/>
              <w:ind w:left="22"/>
              <w:contextualSpacing/>
              <w:jc w:val="center"/>
              <w:rPr>
                <w:rFonts w:ascii="宋体" w:eastAsia="宋体"/>
                <w:sz w:val="21"/>
              </w:rPr>
            </w:pPr>
            <w:r w:rsidRPr="00677D1F">
              <w:rPr>
                <w:rFonts w:ascii="宋体" w:eastAsia="宋体" w:hint="eastAsia"/>
                <w:sz w:val="21"/>
              </w:rPr>
              <w:t>高</w:t>
            </w:r>
          </w:p>
        </w:tc>
        <w:tc>
          <w:tcPr>
            <w:tcW w:w="2081"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7"/>
              <w:ind w:left="465" w:right="437"/>
              <w:contextualSpacing/>
              <w:jc w:val="center"/>
              <w:rPr>
                <w:rFonts w:ascii="宋体" w:eastAsia="宋体"/>
                <w:sz w:val="21"/>
              </w:rPr>
            </w:pPr>
            <w:r w:rsidRPr="00677D1F">
              <w:rPr>
                <w:rFonts w:ascii="宋体" w:eastAsia="宋体" w:hint="eastAsia"/>
                <w:sz w:val="21"/>
              </w:rPr>
              <w:t>较高</w:t>
            </w:r>
          </w:p>
        </w:tc>
        <w:tc>
          <w:tcPr>
            <w:tcW w:w="2448"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37"/>
              <w:ind w:left="438" w:right="401"/>
              <w:contextualSpacing/>
              <w:jc w:val="center"/>
              <w:rPr>
                <w:rFonts w:ascii="宋体" w:eastAsia="宋体"/>
                <w:sz w:val="21"/>
              </w:rPr>
            </w:pPr>
            <w:r w:rsidRPr="00677D1F">
              <w:rPr>
                <w:rFonts w:ascii="宋体" w:eastAsia="宋体" w:hint="eastAsia"/>
                <w:sz w:val="21"/>
              </w:rPr>
              <w:t>较低</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before="173"/>
              <w:ind w:left="138" w:right="117"/>
              <w:contextualSpacing/>
              <w:jc w:val="center"/>
              <w:rPr>
                <w:rFonts w:ascii="宋体" w:eastAsia="宋体"/>
                <w:sz w:val="21"/>
              </w:rPr>
            </w:pPr>
            <w:r w:rsidRPr="00677D1F">
              <w:rPr>
                <w:rFonts w:ascii="宋体" w:eastAsia="宋体" w:hint="eastAsia"/>
                <w:sz w:val="21"/>
              </w:rPr>
              <w:t>三废处理</w:t>
            </w:r>
          </w:p>
        </w:tc>
        <w:tc>
          <w:tcPr>
            <w:tcW w:w="247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7" w:line="242" w:lineRule="auto"/>
              <w:ind w:left="112" w:right="83"/>
              <w:contextualSpacing/>
              <w:rPr>
                <w:rFonts w:ascii="宋体" w:eastAsia="宋体"/>
                <w:sz w:val="21"/>
                <w:lang w:eastAsia="zh-CN"/>
              </w:rPr>
            </w:pPr>
            <w:r w:rsidRPr="00677D1F">
              <w:rPr>
                <w:rFonts w:ascii="宋体" w:eastAsia="宋体" w:hint="eastAsia"/>
                <w:sz w:val="21"/>
                <w:lang w:eastAsia="zh-CN"/>
              </w:rPr>
              <w:t>氯化炉渣易无害化处理且可进一步回收利用</w:t>
            </w:r>
          </w:p>
        </w:tc>
        <w:tc>
          <w:tcPr>
            <w:tcW w:w="2081"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7" w:line="242" w:lineRule="auto"/>
              <w:ind w:left="113" w:right="80"/>
              <w:contextualSpacing/>
              <w:rPr>
                <w:rFonts w:ascii="宋体" w:eastAsia="宋体"/>
                <w:sz w:val="21"/>
                <w:lang w:eastAsia="zh-CN"/>
              </w:rPr>
            </w:pPr>
            <w:r w:rsidRPr="00677D1F">
              <w:rPr>
                <w:rFonts w:ascii="宋体" w:eastAsia="宋体" w:hint="eastAsia"/>
                <w:sz w:val="21"/>
                <w:lang w:eastAsia="zh-CN"/>
              </w:rPr>
              <w:t>需考虑氯化废盐的环保处理问题</w:t>
            </w:r>
          </w:p>
        </w:tc>
        <w:tc>
          <w:tcPr>
            <w:tcW w:w="2448"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37" w:line="242" w:lineRule="auto"/>
              <w:ind w:left="116" w:right="-44"/>
              <w:contextualSpacing/>
              <w:rPr>
                <w:rFonts w:ascii="宋体" w:eastAsia="宋体"/>
                <w:sz w:val="21"/>
                <w:lang w:eastAsia="zh-CN"/>
              </w:rPr>
            </w:pPr>
            <w:r w:rsidRPr="00677D1F">
              <w:rPr>
                <w:rFonts w:ascii="宋体" w:eastAsia="宋体" w:hint="eastAsia"/>
                <w:sz w:val="21"/>
                <w:lang w:eastAsia="zh-CN"/>
              </w:rPr>
              <w:t>需定期清渣、环保处理、更换碳素格子</w:t>
            </w:r>
          </w:p>
        </w:tc>
      </w:tr>
      <w:tr w:rsidR="00D228BE" w:rsidRPr="00677D1F">
        <w:trPr>
          <w:trHeight w:val="340"/>
          <w:jc w:val="center"/>
        </w:trPr>
        <w:tc>
          <w:tcPr>
            <w:tcW w:w="2065" w:type="dxa"/>
            <w:tcBorders>
              <w:top w:val="single" w:sz="6" w:space="0" w:color="000000"/>
              <w:bottom w:val="single" w:sz="6" w:space="0" w:color="000000"/>
              <w:right w:val="single" w:sz="6" w:space="0" w:color="000000"/>
            </w:tcBorders>
          </w:tcPr>
          <w:p w:rsidR="00D228BE" w:rsidRPr="00677D1F" w:rsidRDefault="00332EB6" w:rsidP="00677D1F">
            <w:pPr>
              <w:pStyle w:val="TableParagraph"/>
              <w:spacing w:before="36"/>
              <w:ind w:left="138" w:right="117"/>
              <w:contextualSpacing/>
              <w:jc w:val="center"/>
              <w:rPr>
                <w:rFonts w:ascii="宋体" w:eastAsia="宋体"/>
                <w:sz w:val="21"/>
              </w:rPr>
            </w:pPr>
            <w:r w:rsidRPr="00677D1F">
              <w:rPr>
                <w:rFonts w:ascii="宋体" w:eastAsia="宋体" w:hint="eastAsia"/>
                <w:sz w:val="21"/>
              </w:rPr>
              <w:t>劳动条件</w:t>
            </w:r>
          </w:p>
        </w:tc>
        <w:tc>
          <w:tcPr>
            <w:tcW w:w="247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6"/>
              <w:ind w:left="552" w:right="525"/>
              <w:contextualSpacing/>
              <w:jc w:val="center"/>
              <w:rPr>
                <w:rFonts w:ascii="宋体" w:eastAsia="宋体"/>
                <w:sz w:val="21"/>
              </w:rPr>
            </w:pPr>
            <w:r w:rsidRPr="00677D1F">
              <w:rPr>
                <w:rFonts w:ascii="宋体" w:eastAsia="宋体" w:hint="eastAsia"/>
                <w:sz w:val="21"/>
              </w:rPr>
              <w:t>较好</w:t>
            </w:r>
          </w:p>
        </w:tc>
        <w:tc>
          <w:tcPr>
            <w:tcW w:w="2081"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spacing w:before="36"/>
              <w:ind w:left="465" w:right="437"/>
              <w:contextualSpacing/>
              <w:jc w:val="center"/>
              <w:rPr>
                <w:rFonts w:ascii="宋体" w:eastAsia="宋体"/>
                <w:sz w:val="21"/>
              </w:rPr>
            </w:pPr>
            <w:r w:rsidRPr="00677D1F">
              <w:rPr>
                <w:rFonts w:ascii="宋体" w:eastAsia="宋体" w:hint="eastAsia"/>
                <w:sz w:val="21"/>
              </w:rPr>
              <w:t>一般</w:t>
            </w:r>
          </w:p>
        </w:tc>
        <w:tc>
          <w:tcPr>
            <w:tcW w:w="2448" w:type="dxa"/>
            <w:tcBorders>
              <w:top w:val="single" w:sz="6" w:space="0" w:color="000000"/>
              <w:left w:val="single" w:sz="6" w:space="0" w:color="000000"/>
              <w:bottom w:val="single" w:sz="6" w:space="0" w:color="000000"/>
            </w:tcBorders>
          </w:tcPr>
          <w:p w:rsidR="00D228BE" w:rsidRPr="00677D1F" w:rsidRDefault="00332EB6" w:rsidP="00677D1F">
            <w:pPr>
              <w:pStyle w:val="TableParagraph"/>
              <w:spacing w:before="36"/>
              <w:ind w:left="37"/>
              <w:contextualSpacing/>
              <w:jc w:val="center"/>
              <w:rPr>
                <w:rFonts w:ascii="宋体" w:eastAsia="宋体"/>
                <w:sz w:val="21"/>
              </w:rPr>
            </w:pPr>
            <w:r w:rsidRPr="00677D1F">
              <w:rPr>
                <w:rFonts w:ascii="宋体" w:eastAsia="宋体" w:hint="eastAsia"/>
                <w:sz w:val="21"/>
              </w:rPr>
              <w:t>差</w:t>
            </w:r>
          </w:p>
        </w:tc>
      </w:tr>
    </w:tbl>
    <w:p w:rsidR="00D228BE" w:rsidRPr="00677D1F" w:rsidRDefault="00D228BE" w:rsidP="00677D1F">
      <w:pPr>
        <w:pStyle w:val="a4"/>
        <w:spacing w:line="240" w:lineRule="exact"/>
        <w:contextualSpacing/>
        <w:jc w:val="both"/>
      </w:pP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竖式氯化炉靠电热维持炉温，电耗较高，单台产量很小，该生产工艺已淘汰，不适合在本项目使用；熔盐工艺能够适应富钛料中含高钙镁的物料；本工程所用使用的是新疆本地的钒钛矿所生产的钛渣，其原料钙、镁含量偏高，不适用于沸腾氯化生产四氯化钛工艺对原料的要求。因此，选择熔盐氯化工艺。</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粗四氯化钛中含有许多杂质，需要进一步提纯才能用于海绵钛生产。通常采用“物理+化学”方法来去除粗四氯化钛中的有害杂质。“物理” 法用于分离高、低沸点杂质；“化学”法用于分离含钒杂质，目前有：铜丝除钒、铝粉除钒、H</w:t>
      </w:r>
      <w:r w:rsidRPr="00677D1F">
        <w:rPr>
          <w:rFonts w:asciiTheme="minorEastAsia" w:eastAsiaTheme="minorEastAsia" w:hAnsiTheme="minorEastAsia"/>
          <w:sz w:val="24"/>
          <w:szCs w:val="24"/>
          <w:vertAlign w:val="subscript"/>
        </w:rPr>
        <w:t>2</w:t>
      </w:r>
      <w:r w:rsidRPr="00677D1F">
        <w:rPr>
          <w:rFonts w:asciiTheme="minorEastAsia" w:eastAsiaTheme="minorEastAsia" w:hAnsiTheme="minorEastAsia"/>
          <w:sz w:val="24"/>
          <w:szCs w:val="24"/>
        </w:rPr>
        <w:t>S除钒、有机物除钒四种工业方法，这四种工业除钒方法的主要特点</w:t>
      </w:r>
      <w:r w:rsidRPr="00677D1F">
        <w:rPr>
          <w:rFonts w:asciiTheme="minorEastAsia" w:eastAsiaTheme="minorEastAsia" w:hAnsiTheme="minorEastAsia" w:hint="eastAsia"/>
          <w:sz w:val="24"/>
          <w:szCs w:val="24"/>
        </w:rPr>
        <w:t>详见下表</w:t>
      </w:r>
      <w:r w:rsidRPr="00677D1F">
        <w:rPr>
          <w:rFonts w:asciiTheme="minorEastAsia" w:eastAsiaTheme="minorEastAsia" w:hAnsiTheme="minorEastAsia"/>
          <w:sz w:val="24"/>
          <w:szCs w:val="24"/>
        </w:rPr>
        <w:t>。</w:t>
      </w:r>
    </w:p>
    <w:p w:rsidR="00D228BE" w:rsidRPr="00677D1F" w:rsidRDefault="00332EB6" w:rsidP="00677D1F">
      <w:pPr>
        <w:widowControl/>
        <w:spacing w:line="360" w:lineRule="auto"/>
        <w:contextualSpacing/>
        <w:jc w:val="center"/>
        <w:outlineLvl w:val="8"/>
        <w:rPr>
          <w:rFonts w:ascii="黑体"/>
          <w:sz w:val="5"/>
        </w:rPr>
      </w:pPr>
      <w:r w:rsidRPr="00677D1F">
        <w:rPr>
          <w:rFonts w:ascii="黑体" w:eastAsia="黑体" w:hAnsi="黑体" w:cs="宋体" w:hint="eastAsia"/>
          <w:b/>
          <w:color w:val="000000"/>
          <w:kern w:val="0"/>
          <w:szCs w:val="21"/>
        </w:rPr>
        <w:t>表3.4</w:t>
      </w:r>
      <w:r w:rsidRPr="00677D1F">
        <w:rPr>
          <w:rFonts w:ascii="黑体" w:eastAsia="黑体" w:hAnsi="黑体" w:cs="宋体"/>
          <w:b/>
          <w:color w:val="000000"/>
          <w:kern w:val="0"/>
          <w:szCs w:val="21"/>
        </w:rPr>
        <w:t xml:space="preserve">-2 </w:t>
      </w:r>
      <w:r w:rsidR="0025473A" w:rsidRPr="00677D1F">
        <w:rPr>
          <w:rFonts w:ascii="黑体" w:eastAsia="黑体" w:hAnsi="黑体" w:cs="宋体" w:hint="eastAsia"/>
          <w:b/>
          <w:color w:val="000000"/>
          <w:kern w:val="0"/>
          <w:szCs w:val="21"/>
        </w:rPr>
        <w:t xml:space="preserve"> </w:t>
      </w:r>
      <w:r w:rsidRPr="00677D1F">
        <w:rPr>
          <w:rFonts w:ascii="黑体" w:eastAsia="黑体" w:hAnsi="黑体" w:cs="宋体" w:hint="eastAsia"/>
          <w:b/>
          <w:color w:val="000000"/>
          <w:kern w:val="0"/>
          <w:szCs w:val="21"/>
        </w:rPr>
        <w:t>四种化学除钒方法的综合比较表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117"/>
        <w:gridCol w:w="1284"/>
        <w:gridCol w:w="1530"/>
        <w:gridCol w:w="1098"/>
        <w:gridCol w:w="2043"/>
      </w:tblGrid>
      <w:tr w:rsidR="00D228BE" w:rsidRPr="00677D1F">
        <w:trPr>
          <w:trHeight w:val="340"/>
          <w:jc w:val="center"/>
        </w:trPr>
        <w:tc>
          <w:tcPr>
            <w:tcW w:w="3117" w:type="dxa"/>
            <w:vMerge w:val="restart"/>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比较项目</w:t>
            </w:r>
          </w:p>
        </w:tc>
        <w:tc>
          <w:tcPr>
            <w:tcW w:w="5955" w:type="dxa"/>
            <w:gridSpan w:val="4"/>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lang w:eastAsia="zh-CN"/>
              </w:rPr>
            </w:pPr>
            <w:r w:rsidRPr="00677D1F">
              <w:rPr>
                <w:rFonts w:asciiTheme="minorEastAsia" w:eastAsiaTheme="minorEastAsia" w:hAnsiTheme="minorEastAsia" w:hint="eastAsia"/>
                <w:b/>
                <w:sz w:val="21"/>
                <w:lang w:eastAsia="zh-CN"/>
              </w:rPr>
              <w:t>分离粗四氯化钛中含钒杂质的化学Th产方法</w:t>
            </w:r>
          </w:p>
        </w:tc>
      </w:tr>
      <w:tr w:rsidR="00D228BE" w:rsidRPr="00677D1F">
        <w:trPr>
          <w:trHeight w:val="340"/>
          <w:jc w:val="center"/>
        </w:trPr>
        <w:tc>
          <w:tcPr>
            <w:tcW w:w="3117" w:type="dxa"/>
            <w:vMerge/>
            <w:tcBorders>
              <w:top w:val="nil"/>
              <w:bottom w:val="single" w:sz="6" w:space="0" w:color="000000"/>
              <w:right w:val="single" w:sz="6" w:space="0" w:color="000000"/>
            </w:tcBorders>
            <w:vAlign w:val="center"/>
          </w:tcPr>
          <w:p w:rsidR="00D228BE" w:rsidRPr="00677D1F" w:rsidRDefault="00D228BE" w:rsidP="00677D1F">
            <w:pPr>
              <w:contextualSpacing/>
              <w:jc w:val="center"/>
              <w:rPr>
                <w:rFonts w:asciiTheme="minorEastAsia" w:hAnsiTheme="minorEastAsia"/>
                <w:kern w:val="0"/>
                <w:sz w:val="2"/>
                <w:szCs w:val="2"/>
                <w:lang w:eastAsia="zh-CN"/>
              </w:rPr>
            </w:pPr>
          </w:p>
        </w:tc>
        <w:tc>
          <w:tcPr>
            <w:tcW w:w="128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铜丝除钒法</w:t>
            </w:r>
          </w:p>
        </w:tc>
        <w:tc>
          <w:tcPr>
            <w:tcW w:w="153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铝粉除钒法</w:t>
            </w:r>
          </w:p>
        </w:tc>
        <w:tc>
          <w:tcPr>
            <w:tcW w:w="109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b/>
                <w:sz w:val="21"/>
              </w:rPr>
              <w:t>H</w:t>
            </w:r>
            <w:r w:rsidRPr="00677D1F">
              <w:rPr>
                <w:rFonts w:asciiTheme="minorEastAsia" w:eastAsiaTheme="minorEastAsia" w:hAnsiTheme="minorEastAsia"/>
                <w:sz w:val="21"/>
                <w:vertAlign w:val="subscript"/>
              </w:rPr>
              <w:t>2</w:t>
            </w:r>
            <w:r w:rsidRPr="00677D1F">
              <w:rPr>
                <w:rFonts w:asciiTheme="minorEastAsia" w:eastAsiaTheme="minorEastAsia" w:hAnsiTheme="minorEastAsia"/>
                <w:b/>
                <w:sz w:val="21"/>
              </w:rPr>
              <w:t>S</w:t>
            </w:r>
            <w:r w:rsidRPr="00677D1F">
              <w:rPr>
                <w:rFonts w:asciiTheme="minorEastAsia" w:eastAsiaTheme="minorEastAsia" w:hAnsiTheme="minorEastAsia" w:hint="eastAsia"/>
                <w:b/>
                <w:sz w:val="21"/>
              </w:rPr>
              <w:t>除钒法</w:t>
            </w:r>
          </w:p>
        </w:tc>
        <w:tc>
          <w:tcPr>
            <w:tcW w:w="2043"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有机物除钒法</w:t>
            </w:r>
          </w:p>
        </w:tc>
      </w:tr>
      <w:tr w:rsidR="00D228BE" w:rsidRPr="00677D1F">
        <w:trPr>
          <w:trHeight w:val="340"/>
          <w:jc w:val="center"/>
        </w:trPr>
        <w:tc>
          <w:tcPr>
            <w:tcW w:w="311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lang w:eastAsia="zh-CN"/>
              </w:rPr>
            </w:pPr>
            <w:r w:rsidRPr="00677D1F">
              <w:rPr>
                <w:rFonts w:asciiTheme="minorEastAsia" w:eastAsiaTheme="minorEastAsia" w:hAnsiTheme="minorEastAsia" w:hint="eastAsia"/>
                <w:sz w:val="21"/>
                <w:lang w:eastAsia="zh-CN"/>
              </w:rPr>
              <w:t>每吨</w:t>
            </w:r>
            <w:r w:rsidRPr="00677D1F">
              <w:rPr>
                <w:rFonts w:asciiTheme="minorEastAsia" w:eastAsiaTheme="minorEastAsia" w:hAnsiTheme="minorEastAsia"/>
                <w:sz w:val="21"/>
                <w:lang w:eastAsia="zh-CN"/>
              </w:rPr>
              <w:t>TiCl</w:t>
            </w:r>
            <w:r w:rsidRPr="00677D1F">
              <w:rPr>
                <w:rFonts w:asciiTheme="minorEastAsia" w:eastAsiaTheme="minorEastAsia" w:hAnsiTheme="minorEastAsia"/>
                <w:sz w:val="21"/>
                <w:vertAlign w:val="subscript"/>
                <w:lang w:eastAsia="zh-CN"/>
              </w:rPr>
              <w:t>4</w:t>
            </w:r>
            <w:r w:rsidRPr="00677D1F">
              <w:rPr>
                <w:rFonts w:asciiTheme="minorEastAsia" w:eastAsiaTheme="minorEastAsia" w:hAnsiTheme="minorEastAsia" w:hint="eastAsia"/>
                <w:sz w:val="21"/>
                <w:lang w:eastAsia="zh-CN"/>
              </w:rPr>
              <w:t>除钒试剂用量</w:t>
            </w:r>
            <w:r w:rsidRPr="00677D1F">
              <w:rPr>
                <w:rFonts w:asciiTheme="minorEastAsia" w:eastAsiaTheme="minorEastAsia" w:hAnsiTheme="minorEastAsia"/>
                <w:sz w:val="21"/>
                <w:lang w:eastAsia="zh-CN"/>
              </w:rPr>
              <w:t>(kg)</w:t>
            </w:r>
          </w:p>
        </w:tc>
        <w:tc>
          <w:tcPr>
            <w:tcW w:w="128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3</w:t>
            </w:r>
          </w:p>
        </w:tc>
        <w:tc>
          <w:tcPr>
            <w:tcW w:w="153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0.8</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1.2</w:t>
            </w:r>
          </w:p>
        </w:tc>
        <w:tc>
          <w:tcPr>
            <w:tcW w:w="109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2</w:t>
            </w:r>
          </w:p>
        </w:tc>
        <w:tc>
          <w:tcPr>
            <w:tcW w:w="2043"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2</w:t>
            </w:r>
          </w:p>
        </w:tc>
      </w:tr>
      <w:tr w:rsidR="00D228BE" w:rsidRPr="00677D1F">
        <w:trPr>
          <w:trHeight w:val="340"/>
          <w:jc w:val="center"/>
        </w:trPr>
        <w:tc>
          <w:tcPr>
            <w:tcW w:w="311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除钒试剂价格</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元</w:t>
            </w:r>
            <w:r w:rsidRPr="00677D1F">
              <w:rPr>
                <w:rFonts w:asciiTheme="minorEastAsia" w:eastAsiaTheme="minorEastAsia" w:hAnsiTheme="minorEastAsia"/>
                <w:sz w:val="21"/>
              </w:rPr>
              <w:t>/kg)</w:t>
            </w:r>
          </w:p>
        </w:tc>
        <w:tc>
          <w:tcPr>
            <w:tcW w:w="128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80</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100</w:t>
            </w:r>
          </w:p>
        </w:tc>
        <w:tc>
          <w:tcPr>
            <w:tcW w:w="153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18</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20</w:t>
            </w:r>
          </w:p>
        </w:tc>
        <w:tc>
          <w:tcPr>
            <w:tcW w:w="109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4"/>
              </w:rPr>
            </w:pPr>
          </w:p>
        </w:tc>
        <w:tc>
          <w:tcPr>
            <w:tcW w:w="2043"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10</w:t>
            </w:r>
          </w:p>
        </w:tc>
      </w:tr>
      <w:tr w:rsidR="00D228BE" w:rsidRPr="00677D1F">
        <w:trPr>
          <w:trHeight w:val="340"/>
          <w:jc w:val="center"/>
        </w:trPr>
        <w:tc>
          <w:tcPr>
            <w:tcW w:w="311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lang w:eastAsia="zh-CN"/>
              </w:rPr>
            </w:pPr>
            <w:r w:rsidRPr="00677D1F">
              <w:rPr>
                <w:rFonts w:asciiTheme="minorEastAsia" w:eastAsiaTheme="minorEastAsia" w:hAnsiTheme="minorEastAsia" w:hint="eastAsia"/>
                <w:sz w:val="21"/>
                <w:lang w:eastAsia="zh-CN"/>
              </w:rPr>
              <w:t>每吨海绵钛除钒费用</w:t>
            </w:r>
            <w:r w:rsidRPr="00677D1F">
              <w:rPr>
                <w:rFonts w:asciiTheme="minorEastAsia" w:eastAsiaTheme="minorEastAsia" w:hAnsiTheme="minorEastAsia"/>
                <w:sz w:val="21"/>
                <w:lang w:eastAsia="zh-CN"/>
              </w:rPr>
              <w:t>(</w:t>
            </w:r>
            <w:r w:rsidRPr="00677D1F">
              <w:rPr>
                <w:rFonts w:asciiTheme="minorEastAsia" w:eastAsiaTheme="minorEastAsia" w:hAnsiTheme="minorEastAsia" w:hint="eastAsia"/>
                <w:sz w:val="21"/>
                <w:lang w:eastAsia="zh-CN"/>
              </w:rPr>
              <w:t>元</w:t>
            </w:r>
            <w:r w:rsidRPr="00677D1F">
              <w:rPr>
                <w:rFonts w:asciiTheme="minorEastAsia" w:eastAsiaTheme="minorEastAsia" w:hAnsiTheme="minorEastAsia"/>
                <w:sz w:val="21"/>
                <w:lang w:eastAsia="zh-CN"/>
              </w:rPr>
              <w:t>)</w:t>
            </w:r>
          </w:p>
        </w:tc>
        <w:tc>
          <w:tcPr>
            <w:tcW w:w="128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600</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700</w:t>
            </w:r>
          </w:p>
        </w:tc>
        <w:tc>
          <w:tcPr>
            <w:tcW w:w="153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80</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100</w:t>
            </w:r>
          </w:p>
        </w:tc>
        <w:tc>
          <w:tcPr>
            <w:tcW w:w="109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4"/>
              </w:rPr>
            </w:pPr>
          </w:p>
        </w:tc>
        <w:tc>
          <w:tcPr>
            <w:tcW w:w="2043"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60</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80</w:t>
            </w:r>
          </w:p>
        </w:tc>
      </w:tr>
      <w:tr w:rsidR="00D228BE" w:rsidRPr="00677D1F">
        <w:trPr>
          <w:trHeight w:val="340"/>
          <w:jc w:val="center"/>
        </w:trPr>
        <w:tc>
          <w:tcPr>
            <w:tcW w:w="311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工艺流程复杂程度</w:t>
            </w:r>
          </w:p>
        </w:tc>
        <w:tc>
          <w:tcPr>
            <w:tcW w:w="128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复杂</w:t>
            </w:r>
          </w:p>
        </w:tc>
        <w:tc>
          <w:tcPr>
            <w:tcW w:w="153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较复杂</w:t>
            </w:r>
          </w:p>
        </w:tc>
        <w:tc>
          <w:tcPr>
            <w:tcW w:w="109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4"/>
              </w:rPr>
            </w:pPr>
          </w:p>
        </w:tc>
        <w:tc>
          <w:tcPr>
            <w:tcW w:w="2043"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简单</w:t>
            </w:r>
          </w:p>
        </w:tc>
      </w:tr>
      <w:tr w:rsidR="00D228BE" w:rsidRPr="00677D1F">
        <w:trPr>
          <w:trHeight w:val="340"/>
          <w:jc w:val="center"/>
        </w:trPr>
        <w:tc>
          <w:tcPr>
            <w:tcW w:w="311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生产操作难易程度</w:t>
            </w:r>
          </w:p>
        </w:tc>
        <w:tc>
          <w:tcPr>
            <w:tcW w:w="1284"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困难</w:t>
            </w:r>
          </w:p>
        </w:tc>
        <w:tc>
          <w:tcPr>
            <w:tcW w:w="1530"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容易</w:t>
            </w:r>
          </w:p>
        </w:tc>
        <w:tc>
          <w:tcPr>
            <w:tcW w:w="1098"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4"/>
              </w:rPr>
            </w:pPr>
          </w:p>
        </w:tc>
        <w:tc>
          <w:tcPr>
            <w:tcW w:w="2043"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容易</w:t>
            </w:r>
          </w:p>
        </w:tc>
      </w:tr>
      <w:tr w:rsidR="00D228BE" w:rsidRPr="00677D1F">
        <w:trPr>
          <w:trHeight w:val="340"/>
          <w:jc w:val="center"/>
        </w:trPr>
        <w:tc>
          <w:tcPr>
            <w:tcW w:w="3117" w:type="dxa"/>
            <w:tcBorders>
              <w:top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lang w:eastAsia="zh-CN"/>
              </w:rPr>
            </w:pPr>
            <w:r w:rsidRPr="00677D1F">
              <w:rPr>
                <w:rFonts w:asciiTheme="minorEastAsia" w:eastAsiaTheme="minorEastAsia" w:hAnsiTheme="minorEastAsia" w:hint="eastAsia"/>
                <w:sz w:val="21"/>
                <w:lang w:eastAsia="zh-CN"/>
              </w:rPr>
              <w:t>每吨</w:t>
            </w:r>
            <w:r w:rsidRPr="00677D1F">
              <w:rPr>
                <w:rFonts w:asciiTheme="minorEastAsia" w:eastAsiaTheme="minorEastAsia" w:hAnsiTheme="minorEastAsia"/>
                <w:sz w:val="21"/>
                <w:lang w:eastAsia="zh-CN"/>
              </w:rPr>
              <w:t>TiCl</w:t>
            </w:r>
            <w:r w:rsidRPr="00677D1F">
              <w:rPr>
                <w:rFonts w:asciiTheme="minorEastAsia" w:eastAsiaTheme="minorEastAsia" w:hAnsiTheme="minorEastAsia"/>
                <w:sz w:val="21"/>
                <w:vertAlign w:val="subscript"/>
                <w:lang w:eastAsia="zh-CN"/>
              </w:rPr>
              <w:t>4</w:t>
            </w:r>
            <w:r w:rsidRPr="00677D1F">
              <w:rPr>
                <w:rFonts w:asciiTheme="minorEastAsia" w:eastAsiaTheme="minorEastAsia" w:hAnsiTheme="minorEastAsia" w:hint="eastAsia"/>
                <w:sz w:val="21"/>
                <w:lang w:eastAsia="zh-CN"/>
              </w:rPr>
              <w:t>除钒试剂用量</w:t>
            </w:r>
            <w:r w:rsidRPr="00677D1F">
              <w:rPr>
                <w:rFonts w:asciiTheme="minorEastAsia" w:eastAsiaTheme="minorEastAsia" w:hAnsiTheme="minorEastAsia"/>
                <w:sz w:val="21"/>
                <w:lang w:eastAsia="zh-CN"/>
              </w:rPr>
              <w:t>(kg)</w:t>
            </w:r>
          </w:p>
        </w:tc>
        <w:tc>
          <w:tcPr>
            <w:tcW w:w="1284"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3</w:t>
            </w:r>
          </w:p>
        </w:tc>
        <w:tc>
          <w:tcPr>
            <w:tcW w:w="1530"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0.8</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1.2</w:t>
            </w:r>
          </w:p>
        </w:tc>
        <w:tc>
          <w:tcPr>
            <w:tcW w:w="1098" w:type="dxa"/>
            <w:tcBorders>
              <w:top w:val="single" w:sz="6" w:space="0" w:color="000000"/>
              <w:left w:val="single" w:sz="6" w:space="0" w:color="000000"/>
              <w:bottom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2</w:t>
            </w:r>
          </w:p>
        </w:tc>
        <w:tc>
          <w:tcPr>
            <w:tcW w:w="2043" w:type="dxa"/>
            <w:tcBorders>
              <w:top w:val="single" w:sz="6" w:space="0" w:color="000000"/>
              <w:left w:val="single" w:sz="6" w:space="0" w:color="000000"/>
              <w:bottom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w:t>
            </w:r>
            <w:r w:rsidRPr="00677D1F">
              <w:rPr>
                <w:rFonts w:asciiTheme="minorEastAsia" w:eastAsiaTheme="minorEastAsia" w:hAnsiTheme="minorEastAsia" w:hint="eastAsia"/>
                <w:sz w:val="21"/>
              </w:rPr>
              <w:t>～</w:t>
            </w:r>
            <w:r w:rsidRPr="00677D1F">
              <w:rPr>
                <w:rFonts w:asciiTheme="minorEastAsia" w:eastAsiaTheme="minorEastAsia" w:hAnsiTheme="minorEastAsia"/>
                <w:sz w:val="21"/>
              </w:rPr>
              <w:t>2</w:t>
            </w:r>
          </w:p>
        </w:tc>
      </w:tr>
      <w:tr w:rsidR="00D228BE" w:rsidRPr="00677D1F">
        <w:trPr>
          <w:trHeight w:val="340"/>
          <w:jc w:val="center"/>
        </w:trPr>
        <w:tc>
          <w:tcPr>
            <w:tcW w:w="3117" w:type="dxa"/>
            <w:tcBorders>
              <w:top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应用国家</w:t>
            </w:r>
          </w:p>
        </w:tc>
        <w:tc>
          <w:tcPr>
            <w:tcW w:w="1284"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中国</w:t>
            </w:r>
          </w:p>
        </w:tc>
        <w:tc>
          <w:tcPr>
            <w:tcW w:w="1530"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独联体和中国</w:t>
            </w:r>
          </w:p>
        </w:tc>
        <w:tc>
          <w:tcPr>
            <w:tcW w:w="1098" w:type="dxa"/>
            <w:tcBorders>
              <w:top w:val="single" w:sz="6" w:space="0" w:color="000000"/>
              <w:left w:val="single" w:sz="6" w:space="0" w:color="000000"/>
              <w:righ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日本</w:t>
            </w:r>
          </w:p>
        </w:tc>
        <w:tc>
          <w:tcPr>
            <w:tcW w:w="2043" w:type="dxa"/>
            <w:tcBorders>
              <w:top w:val="single" w:sz="6" w:space="0" w:color="000000"/>
              <w:left w:val="single" w:sz="6" w:space="0" w:color="000000"/>
            </w:tcBorders>
          </w:tcPr>
          <w:p w:rsidR="00D228BE" w:rsidRPr="00677D1F" w:rsidRDefault="00332EB6"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中国、日本和美国</w:t>
            </w:r>
          </w:p>
        </w:tc>
      </w:tr>
    </w:tbl>
    <w:p w:rsidR="00D228BE" w:rsidRPr="00677D1F" w:rsidRDefault="00D228BE" w:rsidP="00677D1F">
      <w:pPr>
        <w:pStyle w:val="a4"/>
        <w:spacing w:line="240" w:lineRule="exact"/>
        <w:contextualSpacing/>
        <w:rPr>
          <w:rFonts w:ascii="黑体"/>
          <w:sz w:val="20"/>
        </w:rPr>
      </w:pP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铜丝除钒法工艺技术虽然在国内已经成熟，除钒效果好，但必须定期清洗铜丝，</w:t>
      </w:r>
      <w:r w:rsidRPr="00677D1F">
        <w:rPr>
          <w:rFonts w:asciiTheme="minorEastAsia" w:eastAsiaTheme="minorEastAsia" w:hAnsiTheme="minorEastAsia"/>
          <w:sz w:val="24"/>
          <w:szCs w:val="24"/>
        </w:rPr>
        <w:lastRenderedPageBreak/>
        <w:t>损耗较多，劳动条件差。</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因H</w:t>
      </w:r>
      <w:r w:rsidRPr="00677D1F">
        <w:rPr>
          <w:rFonts w:asciiTheme="minorEastAsia" w:eastAsiaTheme="minorEastAsia" w:hAnsiTheme="minorEastAsia"/>
          <w:sz w:val="24"/>
          <w:szCs w:val="24"/>
          <w:vertAlign w:val="subscript"/>
        </w:rPr>
        <w:t>2</w:t>
      </w:r>
      <w:r w:rsidRPr="00677D1F">
        <w:rPr>
          <w:rFonts w:asciiTheme="minorEastAsia" w:eastAsiaTheme="minorEastAsia" w:hAnsiTheme="minorEastAsia"/>
          <w:sz w:val="24"/>
          <w:szCs w:val="24"/>
        </w:rPr>
        <w:t>S是剧毒易爆气体，操控条件要求很高，因此H</w:t>
      </w:r>
      <w:r w:rsidRPr="00677D1F">
        <w:rPr>
          <w:rFonts w:asciiTheme="minorEastAsia" w:eastAsiaTheme="minorEastAsia" w:hAnsiTheme="minorEastAsia"/>
          <w:sz w:val="24"/>
          <w:szCs w:val="24"/>
          <w:vertAlign w:val="subscript"/>
        </w:rPr>
        <w:t>2</w:t>
      </w:r>
      <w:r w:rsidRPr="00677D1F">
        <w:rPr>
          <w:rFonts w:asciiTheme="minorEastAsia" w:eastAsiaTheme="minorEastAsia" w:hAnsiTheme="minorEastAsia"/>
          <w:sz w:val="24"/>
          <w:szCs w:val="24"/>
        </w:rPr>
        <w:t>S除钒法在国内项目中均未予以考虑。</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有机物除钒工艺成本低，“三废”量少环境污染小，有机物除钒工艺成本低，“三废”量少环境污染小，但产品中含碳偏高。</w:t>
      </w:r>
    </w:p>
    <w:p w:rsidR="00D228BE" w:rsidRPr="00677D1F" w:rsidRDefault="00332EB6" w:rsidP="00677D1F">
      <w:pPr>
        <w:pStyle w:val="a4"/>
        <w:spacing w:line="360" w:lineRule="auto"/>
        <w:ind w:firstLineChars="200" w:firstLine="480"/>
        <w:contextualSpacing/>
        <w:jc w:val="both"/>
      </w:pPr>
      <w:r w:rsidRPr="00677D1F">
        <w:rPr>
          <w:rFonts w:asciiTheme="minorEastAsia" w:eastAsiaTheme="minorEastAsia" w:hAnsiTheme="minorEastAsia"/>
          <w:sz w:val="24"/>
          <w:szCs w:val="24"/>
        </w:rPr>
        <w:t>铝粉除钒法消耗较小，操作方便，有利于实现自动控制，铝粉除钒的产品质量好，因此选择采用该除钒工艺技术。</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3.4.2.3 海绵钛生产</w:t>
      </w:r>
    </w:p>
    <w:p w:rsidR="00D228BE" w:rsidRPr="00677D1F" w:rsidRDefault="00332EB6" w:rsidP="00677D1F">
      <w:pPr>
        <w:pStyle w:val="af4"/>
        <w:ind w:firstLine="480"/>
        <w:contextualSpacing/>
        <w:rPr>
          <w:rFonts w:cs="Times New Roman"/>
        </w:rPr>
      </w:pPr>
      <w:r w:rsidRPr="00677D1F">
        <w:rPr>
          <w:rFonts w:cs="Times New Roman" w:hint="eastAsia"/>
        </w:rPr>
        <w:t>工业生产海绵钛的方法曾有两种：镁还原法和钠还原法，钠还原法的特点是设备简单，投资较低，还原速度快，放热量大，操作简单，但产品含ClP-P较高，海绵钛粉产出量较大，产品的熔铸性能差，炉子产能小，到上世纪 80 年代后期已被逐步淘汰，目前世界上在工业上生产的方法仅存镁还原法。</w:t>
      </w:r>
    </w:p>
    <w:p w:rsidR="00D228BE" w:rsidRPr="00677D1F" w:rsidRDefault="00332EB6" w:rsidP="00677D1F">
      <w:pPr>
        <w:pStyle w:val="af4"/>
        <w:ind w:firstLine="480"/>
        <w:contextualSpacing/>
        <w:rPr>
          <w:rFonts w:cs="Times New Roman"/>
        </w:rPr>
      </w:pPr>
      <w:r w:rsidRPr="00677D1F">
        <w:rPr>
          <w:rFonts w:cs="Times New Roman" w:hint="eastAsia"/>
        </w:rPr>
        <w:t>镁还原法包括：镁还原-真空蒸馏法和镁还原-氦气吹扫法。镁还原</w:t>
      </w:r>
    </w:p>
    <w:p w:rsidR="00D228BE" w:rsidRPr="00677D1F" w:rsidRDefault="00332EB6" w:rsidP="00677D1F">
      <w:pPr>
        <w:pStyle w:val="af4"/>
        <w:ind w:firstLine="480"/>
        <w:contextualSpacing/>
        <w:rPr>
          <w:rFonts w:cs="Times New Roman"/>
        </w:rPr>
      </w:pPr>
      <w:r w:rsidRPr="00677D1F">
        <w:rPr>
          <w:rFonts w:cs="Times New Roman" w:hint="eastAsia"/>
        </w:rPr>
        <w:t>-氦气吹扫法的产品比真空蒸馏法含ClP-P多，并且增加了惰性气体的用量，因此没有获得大范围应用，目前世界上只有美国奥勒冈冶金公司还在采用。其余工厂全部采用镁还原-真空蒸馏法。镁还原-真空蒸馏法的特点是能耗低，产品质量好，因此获得了普遍推广。</w:t>
      </w:r>
    </w:p>
    <w:p w:rsidR="00D228BE" w:rsidRPr="00677D1F" w:rsidRDefault="00332EB6" w:rsidP="00677D1F">
      <w:pPr>
        <w:pStyle w:val="af4"/>
        <w:ind w:firstLine="480"/>
        <w:contextualSpacing/>
        <w:rPr>
          <w:rFonts w:cs="Times New Roman"/>
        </w:rPr>
      </w:pPr>
      <w:r w:rsidRPr="00677D1F">
        <w:rPr>
          <w:rFonts w:cs="Times New Roman" w:hint="eastAsia"/>
        </w:rPr>
        <w:t>镁还原-真空蒸馏法分为联合法和半联合法。半联合法是还原结束后冷却后再组装好蒸馏设备，再重新加热转入蒸馏；联合法是趁热态将冷凝罐组装直接转入蒸馏作业。本项目拟采用联合法生产工艺。</w:t>
      </w:r>
    </w:p>
    <w:p w:rsidR="00D228BE" w:rsidRPr="00677D1F" w:rsidRDefault="00332EB6" w:rsidP="00677D1F">
      <w:pPr>
        <w:pStyle w:val="af4"/>
        <w:ind w:firstLine="480"/>
        <w:contextualSpacing/>
        <w:rPr>
          <w:rFonts w:cs="Times New Roman"/>
        </w:rPr>
      </w:pPr>
      <w:r w:rsidRPr="00677D1F">
        <w:rPr>
          <w:rFonts w:cs="Times New Roman" w:hint="eastAsia"/>
        </w:rPr>
        <w:t>联合法有并联法(倒“U”型)和串联法(“I”型)两种，我国这两种方法都应用于工业生产，目前国内炉型并联有 2t、3t、5t、7.5～8t 和10t/炉，串联亦有 1t、2t、3t、5t、7.5/炉。主要生产炉型比较见</w:t>
      </w:r>
    </w:p>
    <w:p w:rsidR="00D228BE" w:rsidRPr="00677D1F" w:rsidRDefault="00332EB6" w:rsidP="00677D1F">
      <w:pPr>
        <w:pStyle w:val="af4"/>
        <w:ind w:firstLine="480"/>
        <w:contextualSpacing/>
        <w:rPr>
          <w:rFonts w:cs="Times New Roman"/>
        </w:rPr>
      </w:pPr>
      <w:r w:rsidRPr="00677D1F">
        <w:rPr>
          <w:rFonts w:cs="Times New Roman" w:hint="eastAsia"/>
        </w:rPr>
        <w:t>主要生产炉型比较见表 4.3-3。</w:t>
      </w:r>
    </w:p>
    <w:p w:rsidR="00D228BE" w:rsidRPr="00677D1F" w:rsidRDefault="00332EB6" w:rsidP="00677D1F">
      <w:pPr>
        <w:widowControl/>
        <w:spacing w:line="360" w:lineRule="auto"/>
        <w:contextualSpacing/>
        <w:jc w:val="center"/>
        <w:outlineLvl w:val="8"/>
        <w:rPr>
          <w:rFonts w:ascii="黑体"/>
          <w:sz w:val="5"/>
        </w:rPr>
      </w:pPr>
      <w:r w:rsidRPr="00677D1F">
        <w:rPr>
          <w:rFonts w:ascii="黑体" w:eastAsia="黑体" w:hAnsi="黑体" w:cs="宋体" w:hint="eastAsia"/>
          <w:b/>
          <w:color w:val="000000"/>
          <w:kern w:val="0"/>
          <w:szCs w:val="21"/>
        </w:rPr>
        <w:t xml:space="preserve">表 </w:t>
      </w:r>
      <w:r w:rsidRPr="00677D1F">
        <w:rPr>
          <w:rFonts w:ascii="黑体" w:eastAsia="黑体" w:hAnsi="黑体" w:cs="宋体"/>
          <w:b/>
          <w:color w:val="000000"/>
          <w:kern w:val="0"/>
          <w:szCs w:val="21"/>
        </w:rPr>
        <w:t xml:space="preserve">4.3-3 </w:t>
      </w:r>
      <w:r w:rsidRPr="00677D1F">
        <w:rPr>
          <w:rFonts w:ascii="黑体" w:eastAsia="黑体" w:hAnsi="黑体" w:cs="宋体" w:hint="eastAsia"/>
          <w:b/>
          <w:color w:val="000000"/>
          <w:kern w:val="0"/>
          <w:szCs w:val="21"/>
        </w:rPr>
        <w:t>主要Th产炉型比较表</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702"/>
        <w:gridCol w:w="1139"/>
        <w:gridCol w:w="1139"/>
        <w:gridCol w:w="861"/>
        <w:gridCol w:w="2112"/>
        <w:gridCol w:w="2119"/>
      </w:tblGrid>
      <w:tr w:rsidR="00D228BE" w:rsidRPr="00677D1F">
        <w:trPr>
          <w:trHeight w:val="340"/>
          <w:jc w:val="center"/>
        </w:trPr>
        <w:tc>
          <w:tcPr>
            <w:tcW w:w="1702" w:type="dxa"/>
            <w:tcBorders>
              <w:bottom w:val="single" w:sz="8" w:space="0" w:color="000000"/>
              <w:right w:val="single" w:sz="8"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lang w:eastAsia="zh-CN"/>
              </w:rPr>
            </w:pPr>
          </w:p>
        </w:tc>
        <w:tc>
          <w:tcPr>
            <w:tcW w:w="2278" w:type="dxa"/>
            <w:gridSpan w:val="2"/>
            <w:tcBorders>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倒</w:t>
            </w:r>
            <w:r w:rsidRPr="00677D1F">
              <w:rPr>
                <w:rFonts w:asciiTheme="minorEastAsia" w:eastAsiaTheme="minorEastAsia" w:hAnsiTheme="minorEastAsia"/>
                <w:b/>
                <w:sz w:val="21"/>
                <w:szCs w:val="21"/>
              </w:rPr>
              <w:t>U</w:t>
            </w:r>
            <w:r w:rsidRPr="00677D1F">
              <w:rPr>
                <w:rFonts w:asciiTheme="minorEastAsia" w:eastAsiaTheme="minorEastAsia" w:hAnsiTheme="minorEastAsia" w:hint="eastAsia"/>
                <w:b/>
                <w:sz w:val="21"/>
                <w:szCs w:val="21"/>
              </w:rPr>
              <w:t>型并联炉</w:t>
            </w:r>
          </w:p>
        </w:tc>
        <w:tc>
          <w:tcPr>
            <w:tcW w:w="5092" w:type="dxa"/>
            <w:gridSpan w:val="3"/>
            <w:tcBorders>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I</w:t>
            </w:r>
            <w:r w:rsidRPr="00677D1F">
              <w:rPr>
                <w:rFonts w:asciiTheme="minorEastAsia" w:eastAsiaTheme="minorEastAsia" w:hAnsiTheme="minorEastAsia" w:hint="eastAsia"/>
                <w:b/>
                <w:sz w:val="21"/>
                <w:szCs w:val="21"/>
              </w:rPr>
              <w:t>型串联炉</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炉型</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5</w:t>
            </w:r>
            <w:r w:rsidRPr="00677D1F">
              <w:rPr>
                <w:rFonts w:asciiTheme="minorEastAsia" w:eastAsiaTheme="minorEastAsia" w:hAnsiTheme="minorEastAsia" w:hint="eastAsia"/>
                <w:b/>
                <w:sz w:val="21"/>
                <w:szCs w:val="21"/>
              </w:rPr>
              <w:t>t</w:t>
            </w:r>
            <w:r w:rsidRPr="00677D1F">
              <w:rPr>
                <w:rFonts w:asciiTheme="minorEastAsia" w:eastAsiaTheme="minorEastAsia" w:hAnsiTheme="minorEastAsia"/>
                <w:b/>
                <w:sz w:val="21"/>
                <w:szCs w:val="21"/>
              </w:rPr>
              <w:t>/</w:t>
            </w:r>
            <w:r w:rsidRPr="00677D1F">
              <w:rPr>
                <w:rFonts w:asciiTheme="minorEastAsia" w:eastAsiaTheme="minorEastAsia" w:hAnsiTheme="minorEastAsia" w:hint="eastAsia"/>
                <w:b/>
                <w:sz w:val="21"/>
                <w:szCs w:val="21"/>
              </w:rPr>
              <w:t>炉</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10</w:t>
            </w:r>
            <w:r w:rsidRPr="00677D1F">
              <w:rPr>
                <w:rFonts w:asciiTheme="minorEastAsia" w:eastAsiaTheme="minorEastAsia" w:hAnsiTheme="minorEastAsia" w:hint="eastAsia"/>
                <w:b/>
                <w:sz w:val="21"/>
                <w:szCs w:val="21"/>
              </w:rPr>
              <w:t>t</w:t>
            </w:r>
            <w:r w:rsidRPr="00677D1F">
              <w:rPr>
                <w:rFonts w:asciiTheme="minorEastAsia" w:eastAsiaTheme="minorEastAsia" w:hAnsiTheme="minorEastAsia"/>
                <w:b/>
                <w:sz w:val="21"/>
                <w:szCs w:val="21"/>
              </w:rPr>
              <w:t>/</w:t>
            </w:r>
            <w:r w:rsidRPr="00677D1F">
              <w:rPr>
                <w:rFonts w:asciiTheme="minorEastAsia" w:eastAsiaTheme="minorEastAsia" w:hAnsiTheme="minorEastAsia" w:hint="eastAsia"/>
                <w:b/>
                <w:sz w:val="21"/>
                <w:szCs w:val="21"/>
              </w:rPr>
              <w:t>炉</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3</w:t>
            </w:r>
            <w:r w:rsidRPr="00677D1F">
              <w:rPr>
                <w:rFonts w:asciiTheme="minorEastAsia" w:eastAsiaTheme="minorEastAsia" w:hAnsiTheme="minorEastAsia" w:hint="eastAsia"/>
                <w:b/>
                <w:sz w:val="21"/>
                <w:szCs w:val="21"/>
              </w:rPr>
              <w:t>t</w:t>
            </w:r>
            <w:r w:rsidRPr="00677D1F">
              <w:rPr>
                <w:rFonts w:asciiTheme="minorEastAsia" w:eastAsiaTheme="minorEastAsia" w:hAnsiTheme="minorEastAsia"/>
                <w:b/>
                <w:sz w:val="21"/>
                <w:szCs w:val="21"/>
              </w:rPr>
              <w:t>/</w:t>
            </w:r>
            <w:r w:rsidRPr="00677D1F">
              <w:rPr>
                <w:rFonts w:asciiTheme="minorEastAsia" w:eastAsiaTheme="minorEastAsia" w:hAnsiTheme="minorEastAsia" w:hint="eastAsia"/>
                <w:b/>
                <w:sz w:val="21"/>
                <w:szCs w:val="21"/>
              </w:rPr>
              <w:t>炉</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5</w:t>
            </w:r>
            <w:r w:rsidRPr="00677D1F">
              <w:rPr>
                <w:rFonts w:asciiTheme="minorEastAsia" w:eastAsiaTheme="minorEastAsia" w:hAnsiTheme="minorEastAsia" w:hint="eastAsia"/>
                <w:b/>
                <w:sz w:val="21"/>
                <w:szCs w:val="21"/>
              </w:rPr>
              <w:t>吨</w:t>
            </w:r>
            <w:r w:rsidRPr="00677D1F">
              <w:rPr>
                <w:rFonts w:asciiTheme="minorEastAsia" w:eastAsiaTheme="minorEastAsia" w:hAnsiTheme="minorEastAsia"/>
                <w:b/>
                <w:sz w:val="21"/>
                <w:szCs w:val="21"/>
              </w:rPr>
              <w:t>/</w:t>
            </w:r>
            <w:r w:rsidRPr="00677D1F">
              <w:rPr>
                <w:rFonts w:asciiTheme="minorEastAsia" w:eastAsiaTheme="minorEastAsia" w:hAnsiTheme="minorEastAsia" w:hint="eastAsia"/>
                <w:b/>
                <w:sz w:val="21"/>
                <w:szCs w:val="21"/>
              </w:rPr>
              <w:t>炉</w:t>
            </w:r>
            <w:r w:rsidRPr="00677D1F">
              <w:rPr>
                <w:rFonts w:asciiTheme="minorEastAsia" w:eastAsiaTheme="minorEastAsia" w:hAnsiTheme="minorEastAsia"/>
                <w:b/>
                <w:sz w:val="21"/>
                <w:szCs w:val="21"/>
              </w:rPr>
              <w:t>(</w:t>
            </w:r>
            <w:r w:rsidRPr="00677D1F">
              <w:rPr>
                <w:rFonts w:asciiTheme="minorEastAsia" w:eastAsiaTheme="minorEastAsia" w:hAnsiTheme="minorEastAsia" w:hint="eastAsia"/>
                <w:b/>
                <w:sz w:val="21"/>
                <w:szCs w:val="21"/>
              </w:rPr>
              <w:t>实验</w:t>
            </w:r>
            <w:r w:rsidRPr="00677D1F">
              <w:rPr>
                <w:rFonts w:asciiTheme="minorEastAsia" w:eastAsiaTheme="minorEastAsia" w:hAnsiTheme="minorEastAsia"/>
                <w:b/>
                <w:sz w:val="21"/>
                <w:szCs w:val="21"/>
              </w:rPr>
              <w:t>)</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b/>
                <w:sz w:val="21"/>
                <w:szCs w:val="21"/>
              </w:rPr>
              <w:t>7.5</w:t>
            </w:r>
            <w:r w:rsidRPr="00677D1F">
              <w:rPr>
                <w:rFonts w:asciiTheme="minorEastAsia" w:eastAsiaTheme="minorEastAsia" w:hAnsiTheme="minorEastAsia" w:hint="eastAsia"/>
                <w:b/>
                <w:sz w:val="21"/>
                <w:szCs w:val="21"/>
              </w:rPr>
              <w:t>t</w:t>
            </w:r>
            <w:r w:rsidRPr="00677D1F">
              <w:rPr>
                <w:rFonts w:asciiTheme="minorEastAsia" w:eastAsiaTheme="minorEastAsia" w:hAnsiTheme="minorEastAsia"/>
                <w:b/>
                <w:sz w:val="21"/>
                <w:szCs w:val="21"/>
              </w:rPr>
              <w:t>/</w:t>
            </w:r>
            <w:r w:rsidRPr="00677D1F">
              <w:rPr>
                <w:rFonts w:asciiTheme="minorEastAsia" w:eastAsiaTheme="minorEastAsia" w:hAnsiTheme="minorEastAsia" w:hint="eastAsia"/>
                <w:b/>
                <w:sz w:val="21"/>
                <w:szCs w:val="21"/>
              </w:rPr>
              <w:t>炉乌克兰</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加镁方式</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液镁</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液镁</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镁锭</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镁锭</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液镁</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真空系统配置</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滑阀泵</w:t>
            </w:r>
            <w:r w:rsidRPr="00677D1F">
              <w:rPr>
                <w:rFonts w:asciiTheme="minorEastAsia" w:eastAsiaTheme="minorEastAsia" w:hAnsiTheme="minorEastAsia"/>
                <w:sz w:val="21"/>
                <w:szCs w:val="21"/>
              </w:rPr>
              <w:t>+</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油扩散泵</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滑阀泵</w:t>
            </w:r>
            <w:r w:rsidRPr="00677D1F">
              <w:rPr>
                <w:rFonts w:asciiTheme="minorEastAsia" w:eastAsiaTheme="minorEastAsia" w:hAnsiTheme="minorEastAsia"/>
                <w:sz w:val="21"/>
                <w:szCs w:val="21"/>
              </w:rPr>
              <w:t>+</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油扩散泵</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滑阀泵</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滑阀泵</w:t>
            </w:r>
            <w:r w:rsidRPr="00677D1F">
              <w:rPr>
                <w:rFonts w:asciiTheme="minorEastAsia" w:eastAsiaTheme="minorEastAsia" w:hAnsiTheme="minorEastAsia"/>
                <w:sz w:val="21"/>
                <w:szCs w:val="21"/>
                <w:lang w:eastAsia="zh-CN"/>
              </w:rPr>
              <w:t>+</w:t>
            </w:r>
            <w:r w:rsidRPr="00677D1F">
              <w:rPr>
                <w:rFonts w:asciiTheme="minorEastAsia" w:eastAsiaTheme="minorEastAsia" w:hAnsiTheme="minorEastAsia" w:hint="eastAsia"/>
                <w:sz w:val="21"/>
                <w:szCs w:val="21"/>
                <w:lang w:eastAsia="zh-CN"/>
              </w:rPr>
              <w:t>油增压泵</w:t>
            </w:r>
          </w:p>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sz w:val="21"/>
                <w:szCs w:val="21"/>
                <w:lang w:eastAsia="zh-CN"/>
              </w:rPr>
              <w:t>+</w:t>
            </w:r>
            <w:r w:rsidRPr="00677D1F">
              <w:rPr>
                <w:rFonts w:asciiTheme="minorEastAsia" w:eastAsiaTheme="minorEastAsia" w:hAnsiTheme="minorEastAsia" w:hint="eastAsia"/>
                <w:sz w:val="21"/>
                <w:szCs w:val="21"/>
                <w:lang w:eastAsia="zh-CN"/>
              </w:rPr>
              <w:t>油扩散泵</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滑阀泵</w:t>
            </w:r>
            <w:r w:rsidRPr="00677D1F">
              <w:rPr>
                <w:rFonts w:asciiTheme="minorEastAsia" w:eastAsiaTheme="minorEastAsia" w:hAnsiTheme="minorEastAsia"/>
                <w:sz w:val="21"/>
                <w:szCs w:val="21"/>
              </w:rPr>
              <w:t>+</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油增压泵</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单炉毛产量</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lastRenderedPageBreak/>
              <w:t>(</w:t>
            </w:r>
            <w:r w:rsidRPr="00677D1F">
              <w:rPr>
                <w:rFonts w:asciiTheme="minorEastAsia" w:eastAsiaTheme="minorEastAsia" w:hAnsiTheme="minorEastAsia" w:hint="eastAsia"/>
                <w:sz w:val="21"/>
                <w:szCs w:val="21"/>
              </w:rPr>
              <w:t>t</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炉</w:t>
            </w:r>
            <w:r w:rsidRPr="00677D1F">
              <w:rPr>
                <w:rFonts w:asciiTheme="minorEastAsia" w:eastAsiaTheme="minorEastAsia" w:hAnsiTheme="minorEastAsia"/>
                <w:sz w:val="21"/>
                <w:szCs w:val="21"/>
              </w:rPr>
              <w:t>)</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lastRenderedPageBreak/>
              <w:t>5</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7.5</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lastRenderedPageBreak/>
              <w:t>占炉周期</w:t>
            </w:r>
            <w:r w:rsidRPr="00677D1F">
              <w:rPr>
                <w:rFonts w:asciiTheme="minorEastAsia" w:eastAsiaTheme="minorEastAsia" w:hAnsiTheme="minorEastAsia"/>
                <w:sz w:val="21"/>
                <w:szCs w:val="21"/>
              </w:rPr>
              <w:t>(h)</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190</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220</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260</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176</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220</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110</w:t>
            </w:r>
            <w:r w:rsidRPr="00677D1F">
              <w:rPr>
                <w:rFonts w:asciiTheme="minorEastAsia" w:eastAsiaTheme="minorEastAsia" w:hAnsiTheme="minorEastAsia" w:hint="eastAsia"/>
                <w:sz w:val="21"/>
                <w:szCs w:val="21"/>
              </w:rPr>
              <w:t>还原</w:t>
            </w:r>
            <w:r w:rsidRPr="00677D1F">
              <w:rPr>
                <w:rFonts w:asciiTheme="minorEastAsia" w:eastAsiaTheme="minorEastAsia" w:hAnsiTheme="minorEastAsia"/>
                <w:sz w:val="21"/>
                <w:szCs w:val="21"/>
              </w:rPr>
              <w:t>+160</w:t>
            </w:r>
            <w:r w:rsidRPr="00677D1F">
              <w:rPr>
                <w:rFonts w:asciiTheme="minorEastAsia" w:eastAsiaTheme="minorEastAsia" w:hAnsiTheme="minorEastAsia" w:hint="eastAsia"/>
                <w:sz w:val="21"/>
                <w:szCs w:val="21"/>
              </w:rPr>
              <w:t>蒸馏</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四氯化钛单耗</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t</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t钛</w:t>
            </w:r>
            <w:r w:rsidRPr="00677D1F">
              <w:rPr>
                <w:rFonts w:asciiTheme="minorEastAsia" w:eastAsiaTheme="minorEastAsia" w:hAnsiTheme="minorEastAsia"/>
                <w:sz w:val="21"/>
                <w:szCs w:val="21"/>
              </w:rPr>
              <w:t>)</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4.05</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4.05</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4.05</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4.05</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4.05</w:t>
            </w:r>
          </w:p>
        </w:tc>
      </w:tr>
      <w:tr w:rsidR="00D228BE" w:rsidRPr="00677D1F">
        <w:trPr>
          <w:trHeight w:val="340"/>
          <w:jc w:val="center"/>
        </w:trPr>
        <w:tc>
          <w:tcPr>
            <w:tcW w:w="1702" w:type="dxa"/>
            <w:tcBorders>
              <w:top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综合电耗</w:t>
            </w:r>
          </w:p>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(kWh/</w:t>
            </w:r>
            <w:r w:rsidRPr="00677D1F">
              <w:rPr>
                <w:rFonts w:asciiTheme="minorEastAsia" w:eastAsiaTheme="minorEastAsia" w:hAnsiTheme="minorEastAsia" w:hint="eastAsia"/>
                <w:sz w:val="21"/>
                <w:szCs w:val="21"/>
              </w:rPr>
              <w:t>t钛</w:t>
            </w:r>
            <w:r w:rsidRPr="00677D1F">
              <w:rPr>
                <w:rFonts w:asciiTheme="minorEastAsia" w:eastAsiaTheme="minorEastAsia" w:hAnsiTheme="minorEastAsia"/>
                <w:sz w:val="21"/>
                <w:szCs w:val="21"/>
              </w:rPr>
              <w:t>)</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7200</w:t>
            </w:r>
          </w:p>
        </w:tc>
        <w:tc>
          <w:tcPr>
            <w:tcW w:w="1139"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6000</w:t>
            </w:r>
          </w:p>
        </w:tc>
        <w:tc>
          <w:tcPr>
            <w:tcW w:w="861"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8500</w:t>
            </w:r>
          </w:p>
        </w:tc>
        <w:tc>
          <w:tcPr>
            <w:tcW w:w="2112" w:type="dxa"/>
            <w:tcBorders>
              <w:top w:val="single" w:sz="8" w:space="0" w:color="000000"/>
              <w:left w:val="single" w:sz="8" w:space="0" w:color="000000"/>
              <w:bottom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7500</w:t>
            </w:r>
          </w:p>
        </w:tc>
        <w:tc>
          <w:tcPr>
            <w:tcW w:w="2119" w:type="dxa"/>
            <w:tcBorders>
              <w:top w:val="single" w:sz="8" w:space="0" w:color="000000"/>
              <w:left w:val="single" w:sz="8" w:space="0" w:color="000000"/>
              <w:bottom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7700</w:t>
            </w:r>
          </w:p>
        </w:tc>
      </w:tr>
      <w:tr w:rsidR="00D228BE" w:rsidRPr="00677D1F">
        <w:trPr>
          <w:trHeight w:val="340"/>
          <w:jc w:val="center"/>
        </w:trPr>
        <w:tc>
          <w:tcPr>
            <w:tcW w:w="1702" w:type="dxa"/>
            <w:tcBorders>
              <w:top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产品</w:t>
            </w:r>
            <w:r w:rsidRPr="00677D1F">
              <w:rPr>
                <w:rFonts w:asciiTheme="minorEastAsia" w:eastAsiaTheme="minorEastAsia" w:hAnsiTheme="minorEastAsia"/>
                <w:sz w:val="21"/>
                <w:szCs w:val="21"/>
              </w:rPr>
              <w:t>0</w:t>
            </w:r>
            <w:r w:rsidRPr="00677D1F">
              <w:rPr>
                <w:rFonts w:asciiTheme="minorEastAsia" w:eastAsiaTheme="minorEastAsia" w:hAnsiTheme="minorEastAsia" w:hint="eastAsia"/>
                <w:sz w:val="21"/>
                <w:szCs w:val="21"/>
              </w:rPr>
              <w:t>级率</w:t>
            </w:r>
            <w:r w:rsidRPr="00677D1F">
              <w:rPr>
                <w:rFonts w:asciiTheme="minorEastAsia" w:eastAsiaTheme="minorEastAsia" w:hAnsiTheme="minorEastAsia"/>
                <w:sz w:val="21"/>
                <w:szCs w:val="21"/>
              </w:rPr>
              <w:t>(%)</w:t>
            </w:r>
          </w:p>
        </w:tc>
        <w:tc>
          <w:tcPr>
            <w:tcW w:w="1139"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45</w:t>
            </w:r>
          </w:p>
        </w:tc>
        <w:tc>
          <w:tcPr>
            <w:tcW w:w="1139"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50</w:t>
            </w:r>
          </w:p>
        </w:tc>
        <w:tc>
          <w:tcPr>
            <w:tcW w:w="861"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25</w:t>
            </w:r>
          </w:p>
        </w:tc>
        <w:tc>
          <w:tcPr>
            <w:tcW w:w="2112" w:type="dxa"/>
            <w:tcBorders>
              <w:top w:val="single" w:sz="8" w:space="0" w:color="000000"/>
              <w:left w:val="single" w:sz="8" w:space="0" w:color="000000"/>
              <w:righ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30</w:t>
            </w:r>
          </w:p>
        </w:tc>
        <w:tc>
          <w:tcPr>
            <w:tcW w:w="2119" w:type="dxa"/>
            <w:tcBorders>
              <w:top w:val="single" w:sz="8" w:space="0" w:color="000000"/>
              <w:left w:val="single" w:sz="8"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50</w:t>
            </w:r>
          </w:p>
        </w:tc>
      </w:tr>
    </w:tbl>
    <w:p w:rsidR="00D228BE" w:rsidRPr="00677D1F" w:rsidRDefault="00D228BE" w:rsidP="00677D1F">
      <w:pPr>
        <w:pStyle w:val="a4"/>
        <w:spacing w:line="240" w:lineRule="exact"/>
        <w:contextualSpacing/>
        <w:rPr>
          <w:rFonts w:ascii="黑体"/>
          <w:sz w:val="27"/>
        </w:rPr>
      </w:pP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本项目拟选采国内的倒“U”型(并联法)还原蒸馏装置，单炉产能按 10t/炉进行系统配置。</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3.4.2.4 熔铸生产工艺</w:t>
      </w:r>
    </w:p>
    <w:p w:rsidR="00D228BE" w:rsidRPr="00677D1F" w:rsidRDefault="00332EB6" w:rsidP="00677D1F">
      <w:pPr>
        <w:pStyle w:val="af4"/>
        <w:ind w:firstLine="480"/>
        <w:contextualSpacing/>
        <w:rPr>
          <w:rFonts w:cs="Times New Roman"/>
        </w:rPr>
      </w:pPr>
      <w:r w:rsidRPr="00677D1F">
        <w:rPr>
          <w:rFonts w:cs="Times New Roman" w:hint="eastAsia"/>
        </w:rPr>
        <w:t>钛是一种高活性金属，在熔炼温度下能和许多元素，包括耐火材料发生化学反应。因此，钛熔炼必须在真空中或在惰性气氛保护下进行。在低于常压下进行的此种特殊冶金工艺称为真空熔炼。在真空熔炼的过程中，可同时除去一些杂质，提高钛的纯度。真空熔炼时，用真空或氩气氛可防止大气污染，用水冷铜坩埚控制坩埚的温度，使熔炼时钛与铜不发生反应，保持惰性，使熔融钛安全地冷凝在水冷铜坩埚中。</w:t>
      </w:r>
    </w:p>
    <w:p w:rsidR="00D228BE" w:rsidRPr="00677D1F" w:rsidRDefault="00332EB6" w:rsidP="00677D1F">
      <w:pPr>
        <w:pStyle w:val="af4"/>
        <w:ind w:firstLine="480"/>
        <w:contextualSpacing/>
        <w:rPr>
          <w:rFonts w:cs="Times New Roman"/>
        </w:rPr>
      </w:pPr>
      <w:r w:rsidRPr="00677D1F">
        <w:rPr>
          <w:rFonts w:cs="Times New Roman" w:hint="eastAsia"/>
        </w:rPr>
        <w:t>真空熔炼尽管在工艺上存在设备复杂、工艺复杂和生产成本高的特点，但欲制取优质的钛锭，这是唯一可行的途径。这也致使钛工业生产投资大和钛材价格高。</w:t>
      </w:r>
    </w:p>
    <w:p w:rsidR="00D228BE" w:rsidRPr="00677D1F" w:rsidRDefault="00332EB6" w:rsidP="00677D1F">
      <w:pPr>
        <w:pStyle w:val="af4"/>
        <w:ind w:firstLine="480"/>
        <w:contextualSpacing/>
        <w:rPr>
          <w:rFonts w:cs="Times New Roman"/>
        </w:rPr>
      </w:pPr>
      <w:r w:rsidRPr="00677D1F">
        <w:rPr>
          <w:rFonts w:cs="Times New Roman" w:hint="eastAsia"/>
        </w:rPr>
        <w:t>在钛的冶炼生产工艺有两种主要工艺，一种是电子束熔炼，另外一种为真空熔炼。</w:t>
      </w:r>
    </w:p>
    <w:p w:rsidR="00D228BE" w:rsidRPr="00677D1F" w:rsidRDefault="00332EB6" w:rsidP="00677D1F">
      <w:pPr>
        <w:pStyle w:val="af4"/>
        <w:ind w:firstLine="480"/>
        <w:contextualSpacing/>
        <w:rPr>
          <w:rFonts w:cs="Times New Roman"/>
        </w:rPr>
      </w:pPr>
      <w:r w:rsidRPr="00677D1F">
        <w:rPr>
          <w:rFonts w:cs="Times New Roman" w:hint="eastAsia"/>
        </w:rPr>
        <w:t>真空自耗熔炼法(VAR法)是钛工业中历史最长的熔炼方法，在20世纪70年代中期成为钛及钛合金铸造锭熔炼的主要方法。在20世纪80年代，钛的冷床炉熔炼开始发展，首先是用电子束，然后是等离子束，随后该技术快速发展并加入到了过去由VAR熔炼主导的工业领域中，一次可熔炼24吨的大型冷床炉。在美国，冷床炉熔炼方法，早已与真空自耗熔炼法平分秋色，并将处于主导地位。</w:t>
      </w:r>
    </w:p>
    <w:p w:rsidR="00D228BE" w:rsidRPr="00677D1F" w:rsidRDefault="00332EB6" w:rsidP="00677D1F">
      <w:pPr>
        <w:pStyle w:val="af4"/>
        <w:ind w:firstLine="480"/>
        <w:contextualSpacing/>
        <w:rPr>
          <w:rFonts w:cs="Times New Roman"/>
        </w:rPr>
      </w:pPr>
      <w:r w:rsidRPr="00677D1F">
        <w:rPr>
          <w:rFonts w:cs="Times New Roman" w:hint="eastAsia"/>
        </w:rPr>
        <w:t>真空自耗熔炼法(VAR法)基本工艺是：海绵钛原料的破碎→混料→ 烘干→合金配料→压电极→自耗电极焊接→一次真空自耗熔炼→二次真空自耗重熔→铸锭扒皮取样→分析检验→铸锭成品。</w:t>
      </w:r>
    </w:p>
    <w:p w:rsidR="00D228BE" w:rsidRPr="00677D1F" w:rsidRDefault="00332EB6" w:rsidP="00677D1F">
      <w:pPr>
        <w:pStyle w:val="af4"/>
        <w:ind w:firstLine="480"/>
        <w:contextualSpacing/>
        <w:rPr>
          <w:rFonts w:cs="Times New Roman"/>
        </w:rPr>
      </w:pPr>
      <w:r w:rsidRPr="00677D1F">
        <w:rPr>
          <w:rFonts w:cs="Times New Roman" w:hint="eastAsia"/>
        </w:rPr>
        <w:t>国际上多数生产产家都采用电子束熔炼炉(Electric Beam)简称EB炉，EB炉以它杰出的冶炼能力而著称，它主要用于难熔金属和活性金属(钽、铌、钼、钨、钒、铪、锆、钛)及其合金的冶炼。它在超纯度溅镀靶材和电子合金的制造以及钛屑回</w:t>
      </w:r>
      <w:r w:rsidRPr="00677D1F">
        <w:rPr>
          <w:rFonts w:cs="Times New Roman" w:hint="eastAsia"/>
        </w:rPr>
        <w:lastRenderedPageBreak/>
        <w:t>收方面发挥着重要的作用，并且在热源上具有高度的灵活性。因此非常适用于在水冷铜模下利用高真空对金属和合金进行重熔和精炼。</w:t>
      </w:r>
    </w:p>
    <w:p w:rsidR="00D228BE" w:rsidRPr="00677D1F" w:rsidRDefault="00332EB6" w:rsidP="00677D1F">
      <w:pPr>
        <w:pStyle w:val="af4"/>
        <w:ind w:firstLine="480"/>
        <w:contextualSpacing/>
        <w:rPr>
          <w:rFonts w:cs="Times New Roman"/>
        </w:rPr>
      </w:pPr>
      <w:r w:rsidRPr="00677D1F">
        <w:rPr>
          <w:rFonts w:cs="Times New Roman" w:hint="eastAsia"/>
        </w:rPr>
        <w:t>EB炉从固态阴极发射出电子束，通过高压加速，形成小直径的电子束，在高真空状态下利用电子束将海绵钛除去一些杂质，提高钛的纯度，从而保证加工变形和产品性能要求。</w:t>
      </w:r>
    </w:p>
    <w:p w:rsidR="00D228BE" w:rsidRPr="00677D1F" w:rsidRDefault="00332EB6" w:rsidP="00677D1F">
      <w:pPr>
        <w:pStyle w:val="af4"/>
        <w:ind w:firstLine="480"/>
        <w:contextualSpacing/>
        <w:rPr>
          <w:rFonts w:cs="Times New Roman"/>
        </w:rPr>
      </w:pPr>
      <w:r w:rsidRPr="00677D1F">
        <w:rPr>
          <w:rFonts w:cs="Times New Roman" w:hint="eastAsia"/>
        </w:rPr>
        <w:t>EB炉直接配料加入海绵钛及返回的钛材废料、纯金属及中间合金添加剂，在炉内熔化升温精炼后，得到化学成分均匀的纯钛并浇铸成锭。EB 炉生产工艺简捷，但设备组成较复杂、一次性投资较大、并对合金化成分有一定的限制，是高产能生产必备的先进设备之一。EB炉熔炼成品一方面可以作为真空自耗炉的电极，另一方面经过扒皮、锻造、锯头锯尾等处理后可以作为热轧车间的原料。</w:t>
      </w:r>
    </w:p>
    <w:p w:rsidR="00D228BE" w:rsidRPr="00677D1F" w:rsidRDefault="00332EB6" w:rsidP="00677D1F">
      <w:pPr>
        <w:pStyle w:val="af4"/>
        <w:ind w:firstLine="480"/>
        <w:contextualSpacing/>
        <w:rPr>
          <w:rFonts w:cs="Times New Roman"/>
        </w:rPr>
      </w:pPr>
      <w:r w:rsidRPr="00677D1F">
        <w:rPr>
          <w:rFonts w:cs="Times New Roman" w:hint="eastAsia"/>
        </w:rPr>
        <w:t>由于钛是高技术产品，钛的冶炼生产过程比较复杂，存在着较高的技术、环保、经济能力的要求。本项目根据产品的不同选择10吨真空真空自耗炉和拟引电子束冷床熔炼炉(EB炉)工艺装备技术。</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3.4.2.5 镁电解生产工艺</w:t>
      </w:r>
    </w:p>
    <w:p w:rsidR="00D228BE" w:rsidRPr="00677D1F" w:rsidRDefault="00332EB6" w:rsidP="00677D1F">
      <w:pPr>
        <w:pStyle w:val="af4"/>
        <w:ind w:firstLine="480"/>
        <w:contextualSpacing/>
        <w:rPr>
          <w:rFonts w:cs="Times New Roman"/>
        </w:rPr>
      </w:pPr>
      <w:r w:rsidRPr="00677D1F">
        <w:rPr>
          <w:rFonts w:cs="Times New Roman" w:hint="eastAsia"/>
        </w:rPr>
        <w:t>工业生产用的镁电解槽有：有隔板镁电解槽，无隔板镁电解槽，流水线电解槽，多极性镁电解槽。</w:t>
      </w:r>
    </w:p>
    <w:p w:rsidR="00D228BE" w:rsidRPr="00677D1F" w:rsidRDefault="00332EB6" w:rsidP="00677D1F">
      <w:pPr>
        <w:pStyle w:val="af4"/>
        <w:ind w:firstLine="480"/>
        <w:contextualSpacing/>
        <w:rPr>
          <w:rFonts w:cs="Times New Roman"/>
        </w:rPr>
      </w:pPr>
      <w:r w:rsidRPr="00677D1F">
        <w:rPr>
          <w:rFonts w:cs="Times New Roman" w:hint="eastAsia"/>
        </w:rPr>
        <w:t>有隔板槽单位槽底面积产量低，直流电耗高，槽密闭性差，氯气浓度低，氯气回收率低，环保差，工人劳动强度大。有隔板镁电解槽，现在已被淘汰。</w:t>
      </w:r>
    </w:p>
    <w:p w:rsidR="00D228BE" w:rsidRPr="00677D1F" w:rsidRDefault="00332EB6" w:rsidP="00677D1F">
      <w:pPr>
        <w:pStyle w:val="af4"/>
        <w:ind w:firstLine="480"/>
        <w:contextualSpacing/>
        <w:rPr>
          <w:rFonts w:cs="Times New Roman"/>
        </w:rPr>
      </w:pPr>
      <w:r w:rsidRPr="00677D1F">
        <w:rPr>
          <w:rFonts w:cs="Times New Roman" w:hint="eastAsia"/>
        </w:rPr>
        <w:t>无隔板电解槽与有隔板槽相比，无隔板槽吨镁直流电耗降低了3000kWh，槽密闭性较好，氯气浓度高，环保较好，工人劳动强度降低。目前国外的电解镁厂均采用较大容量的无隔板镁电解槽，电流效率较高，吨镁直流电耗较低。</w:t>
      </w:r>
    </w:p>
    <w:p w:rsidR="00D228BE" w:rsidRPr="00677D1F" w:rsidRDefault="00332EB6" w:rsidP="00677D1F">
      <w:pPr>
        <w:pStyle w:val="af4"/>
        <w:ind w:firstLine="480"/>
        <w:contextualSpacing/>
        <w:rPr>
          <w:rFonts w:cs="Times New Roman"/>
        </w:rPr>
      </w:pPr>
      <w:r w:rsidRPr="00677D1F">
        <w:rPr>
          <w:rFonts w:cs="Times New Roman" w:hint="eastAsia"/>
        </w:rPr>
        <w:t>流水线式电解镁生产技术，电解槽之间由熔体通道连接，电解质从第一台槽流到最后一台槽。定点加料、定点出镁，成为一个流水线式镁生产系统，克服了传统的单槽操作的缺点，实现了镁电解工艺的连续生产，技术经济指标好，劳动强度低，可提高劳动生产率，降低人工成本。</w:t>
      </w:r>
    </w:p>
    <w:p w:rsidR="00D228BE" w:rsidRPr="00677D1F" w:rsidRDefault="00332EB6" w:rsidP="00677D1F">
      <w:pPr>
        <w:pStyle w:val="af4"/>
        <w:ind w:firstLine="480"/>
        <w:contextualSpacing/>
        <w:rPr>
          <w:rFonts w:cs="Times New Roman"/>
        </w:rPr>
      </w:pPr>
      <w:r w:rsidRPr="00677D1F">
        <w:rPr>
          <w:rFonts w:cs="Times New Roman" w:hint="eastAsia"/>
        </w:rPr>
        <w:t>多极镁电解槽具有以下优点：电解室紧凑，槽的单位面积产能较大， 大约是单极性无隔板镁电解槽的3倍。电耗低(直流电耗9500～11000kWh/t-Mg)。电解槽全密封，环保卫生条件好，无集镁室排气，氯气回收量大于单极性无隔板镁电解槽，氯气浓度大于先进的大型无隔板镁电解槽。槽电流强度较小，可降低整流设备投资。</w:t>
      </w:r>
    </w:p>
    <w:p w:rsidR="00D228BE" w:rsidRPr="00677D1F" w:rsidRDefault="00332EB6" w:rsidP="00677D1F">
      <w:pPr>
        <w:pStyle w:val="af4"/>
        <w:ind w:firstLine="480"/>
        <w:contextualSpacing/>
        <w:rPr>
          <w:rFonts w:cs="Times New Roman"/>
        </w:rPr>
      </w:pPr>
      <w:r w:rsidRPr="00677D1F">
        <w:rPr>
          <w:rFonts w:cs="Times New Roman" w:hint="eastAsia"/>
        </w:rPr>
        <w:lastRenderedPageBreak/>
        <w:t>多极槽与其它镁电解槽的比较见表4.6-1。</w:t>
      </w:r>
    </w:p>
    <w:p w:rsidR="00D228BE" w:rsidRPr="00677D1F" w:rsidRDefault="00332EB6" w:rsidP="00677D1F">
      <w:pPr>
        <w:widowControl/>
        <w:spacing w:line="360" w:lineRule="auto"/>
        <w:contextualSpacing/>
        <w:jc w:val="center"/>
        <w:outlineLvl w:val="8"/>
        <w:rPr>
          <w:rFonts w:ascii="黑体"/>
          <w:sz w:val="5"/>
        </w:rPr>
      </w:pPr>
      <w:r w:rsidRPr="00677D1F">
        <w:rPr>
          <w:rFonts w:ascii="黑体" w:eastAsia="黑体" w:hAnsi="黑体" w:cs="宋体" w:hint="eastAsia"/>
          <w:b/>
          <w:color w:val="000000"/>
          <w:kern w:val="0"/>
          <w:szCs w:val="21"/>
        </w:rPr>
        <w:t xml:space="preserve">表 </w:t>
      </w:r>
      <w:r w:rsidRPr="00677D1F">
        <w:rPr>
          <w:rFonts w:ascii="黑体" w:eastAsia="黑体" w:hAnsi="黑体" w:cs="宋体"/>
          <w:b/>
          <w:color w:val="000000"/>
          <w:kern w:val="0"/>
          <w:szCs w:val="21"/>
        </w:rPr>
        <w:t>4.6-1</w:t>
      </w:r>
      <w:r w:rsidRPr="00677D1F">
        <w:rPr>
          <w:rFonts w:ascii="黑体" w:eastAsia="黑体" w:hAnsi="黑体" w:cs="宋体" w:hint="eastAsia"/>
          <w:b/>
          <w:color w:val="000000"/>
          <w:kern w:val="0"/>
          <w:szCs w:val="21"/>
        </w:rPr>
        <w:t xml:space="preserve">  各种镁电解槽比较</w:t>
      </w:r>
    </w:p>
    <w:tbl>
      <w:tblPr>
        <w:tblStyle w:val="TableNormal"/>
        <w:tblW w:w="907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497"/>
        <w:gridCol w:w="1671"/>
        <w:gridCol w:w="1122"/>
        <w:gridCol w:w="1122"/>
        <w:gridCol w:w="1122"/>
        <w:gridCol w:w="1538"/>
      </w:tblGrid>
      <w:tr w:rsidR="00D228BE" w:rsidRPr="00677D1F">
        <w:trPr>
          <w:trHeight w:val="340"/>
          <w:jc w:val="center"/>
        </w:trPr>
        <w:tc>
          <w:tcPr>
            <w:tcW w:w="2497" w:type="dxa"/>
            <w:tcBorders>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槽型</w:t>
            </w:r>
          </w:p>
        </w:tc>
        <w:tc>
          <w:tcPr>
            <w:tcW w:w="1671"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乌克兰流水线</w:t>
            </w:r>
          </w:p>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电解槽</w:t>
            </w:r>
          </w:p>
        </w:tc>
        <w:tc>
          <w:tcPr>
            <w:tcW w:w="112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前苏联</w:t>
            </w:r>
          </w:p>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无隔板槽</w:t>
            </w:r>
          </w:p>
        </w:tc>
        <w:tc>
          <w:tcPr>
            <w:tcW w:w="112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国内</w:t>
            </w:r>
          </w:p>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无隔板槽</w:t>
            </w:r>
          </w:p>
        </w:tc>
        <w:tc>
          <w:tcPr>
            <w:tcW w:w="1122" w:type="dxa"/>
            <w:tcBorders>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海德鲁</w:t>
            </w:r>
          </w:p>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无隔板槽</w:t>
            </w:r>
          </w:p>
        </w:tc>
        <w:tc>
          <w:tcPr>
            <w:tcW w:w="1538" w:type="dxa"/>
            <w:tcBorders>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多极槽</w:t>
            </w:r>
          </w:p>
        </w:tc>
      </w:tr>
      <w:tr w:rsidR="00D228BE" w:rsidRPr="00677D1F">
        <w:trPr>
          <w:trHeight w:val="340"/>
          <w:jc w:val="center"/>
        </w:trPr>
        <w:tc>
          <w:tcPr>
            <w:tcW w:w="249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电流强度</w:t>
            </w:r>
            <w:r w:rsidRPr="00677D1F">
              <w:rPr>
                <w:rFonts w:asciiTheme="minorEastAsia" w:eastAsiaTheme="minorEastAsia" w:hAnsiTheme="minorEastAsia"/>
                <w:sz w:val="21"/>
                <w:szCs w:val="21"/>
              </w:rPr>
              <w:t>(kA)</w:t>
            </w:r>
          </w:p>
        </w:tc>
        <w:tc>
          <w:tcPr>
            <w:tcW w:w="167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175</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430</w:t>
            </w:r>
          </w:p>
        </w:tc>
        <w:tc>
          <w:tcPr>
            <w:tcW w:w="153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90-165</w:t>
            </w:r>
          </w:p>
        </w:tc>
      </w:tr>
      <w:tr w:rsidR="00D228BE" w:rsidRPr="00677D1F">
        <w:trPr>
          <w:trHeight w:val="340"/>
          <w:jc w:val="center"/>
        </w:trPr>
        <w:tc>
          <w:tcPr>
            <w:tcW w:w="249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直流电耗</w:t>
            </w:r>
            <w:r w:rsidRPr="00677D1F">
              <w:rPr>
                <w:rFonts w:asciiTheme="minorEastAsia" w:eastAsiaTheme="minorEastAsia" w:hAnsiTheme="minorEastAsia"/>
                <w:sz w:val="21"/>
                <w:szCs w:val="21"/>
              </w:rPr>
              <w:t>(kWh/t.Mg)</w:t>
            </w:r>
          </w:p>
        </w:tc>
        <w:tc>
          <w:tcPr>
            <w:tcW w:w="167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13100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13500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16000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12450</w:t>
            </w:r>
          </w:p>
        </w:tc>
        <w:tc>
          <w:tcPr>
            <w:tcW w:w="153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9500</w:t>
            </w:r>
            <w:r w:rsidRPr="00677D1F">
              <w:rPr>
                <w:rFonts w:asciiTheme="minorEastAsia" w:eastAsiaTheme="minorEastAsia" w:hAnsiTheme="minorEastAsia" w:hint="eastAsia"/>
                <w:sz w:val="21"/>
                <w:szCs w:val="21"/>
              </w:rPr>
              <w:t>～</w:t>
            </w:r>
            <w:r w:rsidRPr="00677D1F">
              <w:rPr>
                <w:rFonts w:asciiTheme="minorEastAsia" w:eastAsiaTheme="minorEastAsia" w:hAnsiTheme="minorEastAsia"/>
                <w:sz w:val="21"/>
                <w:szCs w:val="21"/>
              </w:rPr>
              <w:t>11000</w:t>
            </w:r>
          </w:p>
        </w:tc>
      </w:tr>
      <w:tr w:rsidR="00D228BE" w:rsidRPr="00677D1F">
        <w:trPr>
          <w:trHeight w:val="340"/>
          <w:jc w:val="center"/>
        </w:trPr>
        <w:tc>
          <w:tcPr>
            <w:tcW w:w="249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lang w:eastAsia="zh-CN"/>
              </w:rPr>
            </w:pPr>
            <w:r w:rsidRPr="00677D1F">
              <w:rPr>
                <w:rFonts w:asciiTheme="minorEastAsia" w:eastAsiaTheme="minorEastAsia" w:hAnsiTheme="minorEastAsia" w:hint="eastAsia"/>
                <w:sz w:val="21"/>
                <w:szCs w:val="21"/>
                <w:lang w:eastAsia="zh-CN"/>
              </w:rPr>
              <w:t>综合电耗</w:t>
            </w:r>
            <w:r w:rsidRPr="00677D1F">
              <w:rPr>
                <w:rFonts w:asciiTheme="minorEastAsia" w:eastAsiaTheme="minorEastAsia" w:hAnsiTheme="minorEastAsia"/>
                <w:sz w:val="21"/>
                <w:szCs w:val="21"/>
                <w:lang w:eastAsia="zh-CN"/>
              </w:rPr>
              <w:t>(kWh/t.Mg)</w:t>
            </w:r>
          </w:p>
        </w:tc>
        <w:tc>
          <w:tcPr>
            <w:tcW w:w="167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13670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16100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18500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D228BE" w:rsidP="00677D1F">
            <w:pPr>
              <w:pStyle w:val="TableParagraph"/>
              <w:contextualSpacing/>
              <w:jc w:val="center"/>
              <w:rPr>
                <w:rFonts w:asciiTheme="minorEastAsia" w:eastAsiaTheme="minorEastAsia" w:hAnsiTheme="minorEastAsia"/>
                <w:sz w:val="21"/>
                <w:szCs w:val="21"/>
              </w:rPr>
            </w:pPr>
          </w:p>
        </w:tc>
        <w:tc>
          <w:tcPr>
            <w:tcW w:w="153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13500</w:t>
            </w:r>
          </w:p>
        </w:tc>
      </w:tr>
      <w:tr w:rsidR="00D228BE" w:rsidRPr="00677D1F">
        <w:trPr>
          <w:trHeight w:val="340"/>
          <w:jc w:val="center"/>
        </w:trPr>
        <w:tc>
          <w:tcPr>
            <w:tcW w:w="249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单槽产能</w:t>
            </w:r>
            <w:r w:rsidRPr="00677D1F">
              <w:rPr>
                <w:rFonts w:asciiTheme="minorEastAsia" w:eastAsiaTheme="minorEastAsia" w:hAnsiTheme="minorEastAsia"/>
                <w:sz w:val="21"/>
                <w:szCs w:val="21"/>
              </w:rPr>
              <w:t>(t.Mg/d)</w:t>
            </w:r>
          </w:p>
        </w:tc>
        <w:tc>
          <w:tcPr>
            <w:tcW w:w="167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4.2</w:t>
            </w:r>
          </w:p>
        </w:tc>
        <w:tc>
          <w:tcPr>
            <w:tcW w:w="153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2.2-4.3</w:t>
            </w:r>
          </w:p>
        </w:tc>
      </w:tr>
      <w:tr w:rsidR="00D228BE" w:rsidRPr="00677D1F">
        <w:trPr>
          <w:trHeight w:val="340"/>
          <w:jc w:val="center"/>
        </w:trPr>
        <w:tc>
          <w:tcPr>
            <w:tcW w:w="249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氯气回收</w:t>
            </w:r>
            <w:r w:rsidRPr="00677D1F">
              <w:rPr>
                <w:rFonts w:asciiTheme="minorEastAsia" w:eastAsiaTheme="minorEastAsia" w:hAnsiTheme="minorEastAsia"/>
                <w:sz w:val="21"/>
                <w:szCs w:val="21"/>
              </w:rPr>
              <w:t>(t/t.Mg)</w:t>
            </w:r>
          </w:p>
        </w:tc>
        <w:tc>
          <w:tcPr>
            <w:tcW w:w="167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2.8</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2.8</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2.75</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2.9</w:t>
            </w:r>
          </w:p>
        </w:tc>
        <w:tc>
          <w:tcPr>
            <w:tcW w:w="153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2.9</w:t>
            </w:r>
          </w:p>
        </w:tc>
      </w:tr>
      <w:tr w:rsidR="00D228BE" w:rsidRPr="00677D1F">
        <w:trPr>
          <w:trHeight w:val="340"/>
          <w:jc w:val="center"/>
        </w:trPr>
        <w:tc>
          <w:tcPr>
            <w:tcW w:w="2497" w:type="dxa"/>
            <w:tcBorders>
              <w:top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氯气浓度</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体积</w:t>
            </w:r>
            <w:r w:rsidRPr="00677D1F">
              <w:rPr>
                <w:rFonts w:asciiTheme="minorEastAsia" w:eastAsiaTheme="minorEastAsia" w:hAnsiTheme="minorEastAsia"/>
                <w:sz w:val="21"/>
                <w:szCs w:val="21"/>
              </w:rPr>
              <w:t>%)</w:t>
            </w:r>
          </w:p>
        </w:tc>
        <w:tc>
          <w:tcPr>
            <w:tcW w:w="1671"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79</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80</w:t>
            </w:r>
          </w:p>
        </w:tc>
        <w:tc>
          <w:tcPr>
            <w:tcW w:w="1122" w:type="dxa"/>
            <w:tcBorders>
              <w:top w:val="single" w:sz="6" w:space="0" w:color="000000"/>
              <w:left w:val="single" w:sz="6" w:space="0" w:color="000000"/>
              <w:bottom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≥90</w:t>
            </w:r>
          </w:p>
        </w:tc>
        <w:tc>
          <w:tcPr>
            <w:tcW w:w="1538" w:type="dxa"/>
            <w:tcBorders>
              <w:top w:val="single" w:sz="6" w:space="0" w:color="000000"/>
              <w:left w:val="single" w:sz="6" w:space="0" w:color="000000"/>
              <w:bottom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95</w:t>
            </w:r>
          </w:p>
        </w:tc>
      </w:tr>
      <w:tr w:rsidR="00D228BE" w:rsidRPr="00677D1F">
        <w:trPr>
          <w:trHeight w:val="340"/>
          <w:jc w:val="center"/>
        </w:trPr>
        <w:tc>
          <w:tcPr>
            <w:tcW w:w="2497" w:type="dxa"/>
            <w:tcBorders>
              <w:top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槽寿命</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月</w:t>
            </w:r>
            <w:r w:rsidRPr="00677D1F">
              <w:rPr>
                <w:rFonts w:asciiTheme="minorEastAsia" w:eastAsiaTheme="minorEastAsia" w:hAnsiTheme="minorEastAsia"/>
                <w:sz w:val="21"/>
                <w:szCs w:val="21"/>
              </w:rPr>
              <w:t>)</w:t>
            </w:r>
          </w:p>
        </w:tc>
        <w:tc>
          <w:tcPr>
            <w:tcW w:w="1671"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24</w:t>
            </w:r>
          </w:p>
        </w:tc>
        <w:tc>
          <w:tcPr>
            <w:tcW w:w="1122"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24</w:t>
            </w:r>
          </w:p>
        </w:tc>
        <w:tc>
          <w:tcPr>
            <w:tcW w:w="1122"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w:t>
            </w:r>
          </w:p>
        </w:tc>
        <w:tc>
          <w:tcPr>
            <w:tcW w:w="1122" w:type="dxa"/>
            <w:tcBorders>
              <w:top w:val="single" w:sz="6" w:space="0" w:color="000000"/>
              <w:left w:val="single" w:sz="6" w:space="0" w:color="000000"/>
              <w:righ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≥24</w:t>
            </w:r>
          </w:p>
        </w:tc>
        <w:tc>
          <w:tcPr>
            <w:tcW w:w="1538" w:type="dxa"/>
            <w:tcBorders>
              <w:top w:val="single" w:sz="6" w:space="0" w:color="000000"/>
              <w:left w:val="single" w:sz="6" w:space="0" w:color="000000"/>
            </w:tcBorders>
            <w:vAlign w:val="center"/>
          </w:tcPr>
          <w:p w:rsidR="00D228BE" w:rsidRPr="00677D1F" w:rsidRDefault="00332EB6"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24</w:t>
            </w:r>
          </w:p>
        </w:tc>
      </w:tr>
    </w:tbl>
    <w:p w:rsidR="00D228BE" w:rsidRPr="00677D1F" w:rsidRDefault="00D228BE" w:rsidP="00677D1F">
      <w:pPr>
        <w:pStyle w:val="a4"/>
        <w:spacing w:line="240" w:lineRule="exact"/>
        <w:contextualSpacing/>
        <w:jc w:val="both"/>
        <w:rPr>
          <w:rFonts w:ascii="黑体"/>
          <w:sz w:val="25"/>
        </w:rPr>
      </w:pPr>
    </w:p>
    <w:p w:rsidR="00D228BE" w:rsidRPr="00677D1F" w:rsidRDefault="00332EB6" w:rsidP="00677D1F">
      <w:pPr>
        <w:pStyle w:val="af4"/>
        <w:ind w:firstLine="480"/>
        <w:contextualSpacing/>
        <w:rPr>
          <w:rFonts w:cs="Times New Roman"/>
        </w:rPr>
      </w:pPr>
      <w:r w:rsidRPr="00677D1F">
        <w:rPr>
          <w:rFonts w:cs="Times New Roman" w:hint="eastAsia"/>
        </w:rPr>
        <w:t>从以上比较中可以看出多极槽各项指标都优于传统的单极槽。但多极镁电解槽对电极要求高，对氯化镁原料品质要求较高。目前国内外主要的海绵钛厂多为配套多极镁电解槽。因此本设计建议采用多极镁电解槽电解技术。</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3.4.2.5 钠电解生产工艺</w:t>
      </w:r>
    </w:p>
    <w:p w:rsidR="00D228BE" w:rsidRPr="00677D1F" w:rsidRDefault="00332EB6" w:rsidP="00677D1F">
      <w:pPr>
        <w:pStyle w:val="af4"/>
        <w:ind w:firstLine="480"/>
        <w:contextualSpacing/>
        <w:rPr>
          <w:rFonts w:cs="Times New Roman"/>
        </w:rPr>
      </w:pPr>
      <w:r w:rsidRPr="00677D1F">
        <w:rPr>
          <w:rFonts w:cs="Times New Roman" w:hint="eastAsia"/>
        </w:rPr>
        <w:t>国内外金属钠生产工艺技术主要有烧碱熔融电解法、食盐熔融电解法和电解钠汞齐法等，随着技术的进步和生产规模的扩大，大部分生产装置都采用食盐熔融电解法生产。</w:t>
      </w:r>
    </w:p>
    <w:p w:rsidR="00D228BE" w:rsidRPr="00677D1F" w:rsidRDefault="00332EB6" w:rsidP="00677D1F">
      <w:pPr>
        <w:pStyle w:val="af4"/>
        <w:ind w:firstLine="480"/>
        <w:contextualSpacing/>
        <w:rPr>
          <w:rFonts w:cs="Times New Roman"/>
        </w:rPr>
      </w:pPr>
      <w:r w:rsidRPr="00677D1F">
        <w:rPr>
          <w:rFonts w:cs="Times New Roman" w:hint="eastAsia"/>
        </w:rPr>
        <w:t>（1）电解烧碱法（也称碱法电解NaOH）</w:t>
      </w:r>
    </w:p>
    <w:p w:rsidR="00D228BE" w:rsidRPr="00677D1F" w:rsidRDefault="00332EB6" w:rsidP="00677D1F">
      <w:pPr>
        <w:pStyle w:val="af4"/>
        <w:ind w:firstLine="480"/>
        <w:contextualSpacing/>
        <w:rPr>
          <w:rFonts w:cs="Times New Roman"/>
        </w:rPr>
      </w:pPr>
      <w:r w:rsidRPr="00677D1F">
        <w:rPr>
          <w:rFonts w:cs="Times New Roman" w:hint="eastAsia"/>
        </w:rPr>
        <w:t>熔融烧碱法电解法也称为卡斯特钠法，以固体烧碱为原料，用镍或铁作阳极，铜作阴极进行电解还原。该工艺始于20世纪初，技术经过不断完善和发展，已形成了完整的工业规模，设备费用比食盐电解法少， 但电流效率低，一般不高于50%，只能适用于小规模生产，目前已逐渐淘汰。</w:t>
      </w:r>
    </w:p>
    <w:p w:rsidR="00D228BE" w:rsidRPr="00677D1F" w:rsidRDefault="00332EB6" w:rsidP="00677D1F">
      <w:pPr>
        <w:pStyle w:val="af4"/>
        <w:ind w:firstLine="480"/>
        <w:contextualSpacing/>
        <w:rPr>
          <w:rFonts w:cs="Times New Roman"/>
        </w:rPr>
      </w:pPr>
      <w:r w:rsidRPr="00677D1F">
        <w:rPr>
          <w:rFonts w:cs="Times New Roman" w:hint="eastAsia"/>
        </w:rPr>
        <w:t>（2）电解食盐法（也称盐法电解NaCl）</w:t>
      </w:r>
    </w:p>
    <w:p w:rsidR="00D228BE" w:rsidRPr="00677D1F" w:rsidRDefault="00332EB6" w:rsidP="00677D1F">
      <w:pPr>
        <w:pStyle w:val="af4"/>
        <w:ind w:firstLine="480"/>
        <w:contextualSpacing/>
        <w:rPr>
          <w:rFonts w:cs="Times New Roman"/>
        </w:rPr>
      </w:pPr>
      <w:r w:rsidRPr="00677D1F">
        <w:rPr>
          <w:rFonts w:cs="Times New Roman" w:hint="eastAsia"/>
        </w:rPr>
        <w:t>熔融食盐电解法也称为东斯法，氯化钠熔融电解装置有多种类型，其中东斯法工艺电解槽为方形，单阳极电解槽操作电压7～8V，运行电流 24000A。这种电解槽经过改进，采用多组电极取代了单组电极，改进后的电解槽内有四组并列的电极。在电解槽内四个阴极连在一起，形成了一个带有很重钢臂的电解单元，钢臂通过槽臂伸出以便同导电铝并排连接。阳极采用石墨电极，在电极上面浮有一组钢制的收集器，分别收集生成的金属钠和氯气。以食盐为原料，价格便宜易得，同时副产氯气，电流效率较高，一般在80%以上，适用于大规模生产，是生产金属钠的主要方</w:t>
      </w:r>
      <w:r w:rsidRPr="00677D1F">
        <w:rPr>
          <w:rFonts w:cs="Times New Roman" w:hint="eastAsia"/>
        </w:rPr>
        <w:lastRenderedPageBreak/>
        <w:t>法。</w:t>
      </w:r>
    </w:p>
    <w:p w:rsidR="00D228BE" w:rsidRPr="00677D1F" w:rsidRDefault="00332EB6" w:rsidP="00677D1F">
      <w:pPr>
        <w:pStyle w:val="af4"/>
        <w:ind w:firstLine="480"/>
        <w:contextualSpacing/>
        <w:rPr>
          <w:rFonts w:cs="Times New Roman"/>
        </w:rPr>
      </w:pPr>
      <w:r w:rsidRPr="00677D1F">
        <w:rPr>
          <w:rFonts w:cs="Times New Roman" w:hint="eastAsia"/>
        </w:rPr>
        <w:t>（3）电解钠汞齐法（也称钠汞齐法）</w:t>
      </w:r>
    </w:p>
    <w:p w:rsidR="00D228BE" w:rsidRPr="00677D1F" w:rsidRDefault="00332EB6" w:rsidP="00677D1F">
      <w:pPr>
        <w:pStyle w:val="af4"/>
        <w:ind w:firstLine="480"/>
        <w:contextualSpacing/>
        <w:rPr>
          <w:rFonts w:cs="Times New Roman"/>
        </w:rPr>
      </w:pPr>
      <w:r w:rsidRPr="00677D1F">
        <w:rPr>
          <w:rFonts w:cs="Times New Roman" w:hint="eastAsia"/>
        </w:rPr>
        <w:t>该工艺工业化始于20世纪70年代，由钠汞齐电解而得到金属钠，这种工艺装置一般设在水银电解烧碱厂中，随着汞法烧碱装置的淘汰和取缔，汞齐法生产钠装置也逐步被淘汰。</w:t>
      </w:r>
    </w:p>
    <w:p w:rsidR="00D228BE" w:rsidRPr="00677D1F" w:rsidRDefault="00332EB6" w:rsidP="00677D1F">
      <w:pPr>
        <w:pStyle w:val="af4"/>
        <w:ind w:firstLine="480"/>
        <w:contextualSpacing/>
        <w:rPr>
          <w:rFonts w:cs="Times New Roman"/>
        </w:rPr>
      </w:pPr>
      <w:r w:rsidRPr="00677D1F">
        <w:rPr>
          <w:rFonts w:cs="Times New Roman" w:hint="eastAsia"/>
        </w:rPr>
        <w:t>因此本项目选择电解食盐法。</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3.4.</w:t>
      </w:r>
      <w:r w:rsidRPr="00677D1F">
        <w:rPr>
          <w:rFonts w:ascii="宋体" w:hAnsi="宋体" w:hint="eastAsia"/>
          <w:sz w:val="28"/>
          <w:szCs w:val="28"/>
        </w:rPr>
        <w:t>3 产污环节分析</w:t>
      </w:r>
    </w:p>
    <w:p w:rsidR="00D228BE" w:rsidRPr="00677D1F" w:rsidRDefault="00D228BE" w:rsidP="00677D1F">
      <w:pPr>
        <w:ind w:firstLine="560"/>
        <w:contextualSpacing/>
        <w:jc w:val="center"/>
        <w:rPr>
          <w:rFonts w:cs="Times New Roman"/>
          <w:b/>
          <w:bCs/>
          <w:sz w:val="24"/>
        </w:rPr>
      </w:pPr>
    </w:p>
    <w:bookmarkEnd w:id="4"/>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3.4.3.1 海绵钛生产工艺</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海绵钛工艺生产系统主要由原料库、钛渣熔炼及冷却(含生铁铸锭)、钛渣破碎及成品库、氯化原料库、四氯化钛制备车间(含四氯化钛储库、尾气)、收尘渣及废液处理系统、还原蒸馏工段、海绵钛破碎工段和成品库工序组成。</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（1）</w:t>
      </w:r>
      <w:r w:rsidRPr="00677D1F">
        <w:rPr>
          <w:rFonts w:asciiTheme="minorEastAsia" w:eastAsiaTheme="minorEastAsia" w:hAnsiTheme="minorEastAsia"/>
          <w:sz w:val="24"/>
          <w:szCs w:val="24"/>
        </w:rPr>
        <w:t>钛渣溶炼及冷却</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生产高钛渣的原理:在1600</w:t>
      </w:r>
      <w:r w:rsidRPr="00677D1F">
        <w:rPr>
          <w:rFonts w:asciiTheme="minorEastAsia" w:eastAsiaTheme="minorEastAsia" w:hAnsiTheme="minorEastAsia" w:hint="eastAsia"/>
          <w:sz w:val="24"/>
          <w:szCs w:val="24"/>
        </w:rPr>
        <w:t>～</w:t>
      </w:r>
      <w:r w:rsidRPr="00677D1F">
        <w:rPr>
          <w:rFonts w:asciiTheme="minorEastAsia" w:eastAsiaTheme="minorEastAsia" w:hAnsiTheme="minorEastAsia"/>
          <w:sz w:val="24"/>
          <w:szCs w:val="24"/>
        </w:rPr>
        <w:t>1900℃的高温下, 钛铁矿在电弧炉内以石油焦或无烟煤为还原剂进行选择性还原, 得钛渣和副产品生铁, 二者通过密度差不同而分离,钛富集于渣中。</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钛精矿与石油焦按一定比例加入钛渣电炉中进行还原熔炼，经高温熔炼后，矿中的氧化物被选择性地还原为金属铁，而钛的氧化物被富集在炉渣中，经渣铁分离获得高钛渣和副产品金属铁。高钛渣经喷水冷却、破碎、磁选、磨粉后送至料仓储存。高温电炉烟气经热交换器利用余热后用于钛渣破用于烘干高钛渣，利用余热后的烟气进入脉冲布袋除尘器收尘净化后排空。</w:t>
      </w:r>
    </w:p>
    <w:p w:rsidR="00D228BE" w:rsidRPr="00677D1F" w:rsidRDefault="00332EB6" w:rsidP="00677D1F">
      <w:pPr>
        <w:pStyle w:val="a4"/>
        <w:spacing w:line="360" w:lineRule="auto"/>
        <w:ind w:firstLineChars="200" w:firstLine="480"/>
        <w:contextualSpacing/>
        <w:jc w:val="both"/>
        <w:rPr>
          <w:rFonts w:asciiTheme="minorEastAsia" w:eastAsiaTheme="minorEastAsia" w:hAnsiTheme="minorEastAsia"/>
          <w:sz w:val="24"/>
          <w:szCs w:val="24"/>
        </w:rPr>
      </w:pPr>
      <w:r w:rsidRPr="00677D1F">
        <w:rPr>
          <w:rFonts w:asciiTheme="minorEastAsia" w:eastAsiaTheme="minorEastAsia" w:hAnsiTheme="minorEastAsia"/>
          <w:sz w:val="24"/>
          <w:szCs w:val="24"/>
        </w:rPr>
        <w:t>主要反应方程为：</w:t>
      </w:r>
    </w:p>
    <w:p w:rsidR="00D228BE" w:rsidRPr="00677D1F" w:rsidRDefault="00332EB6" w:rsidP="00677D1F">
      <w:pPr>
        <w:pStyle w:val="a4"/>
        <w:tabs>
          <w:tab w:val="left" w:pos="3938"/>
        </w:tabs>
        <w:spacing w:line="360" w:lineRule="auto"/>
        <w:contextualSpacing/>
        <w:jc w:val="center"/>
        <w:rPr>
          <w:rFonts w:asciiTheme="minorEastAsia" w:eastAsiaTheme="minorEastAsia" w:hAnsiTheme="minorEastAsia"/>
          <w:sz w:val="24"/>
          <w:szCs w:val="24"/>
        </w:rPr>
      </w:pPr>
      <w:r w:rsidRPr="00677D1F">
        <w:rPr>
          <w:rFonts w:asciiTheme="minorEastAsia" w:eastAsiaTheme="minorEastAsia" w:hAnsiTheme="minorEastAsia"/>
          <w:sz w:val="24"/>
          <w:szCs w:val="24"/>
        </w:rPr>
        <w:t>FeTiO</w:t>
      </w:r>
      <w:r w:rsidRPr="00677D1F">
        <w:rPr>
          <w:rFonts w:asciiTheme="minorEastAsia" w:eastAsiaTheme="minorEastAsia" w:hAnsiTheme="minorEastAsia"/>
          <w:sz w:val="24"/>
          <w:szCs w:val="24"/>
          <w:vertAlign w:val="subscript"/>
        </w:rPr>
        <w:t>3</w:t>
      </w:r>
      <w:r w:rsidRPr="00677D1F">
        <w:rPr>
          <w:rFonts w:asciiTheme="minorEastAsia" w:eastAsiaTheme="minorEastAsia" w:hAnsiTheme="minorEastAsia"/>
          <w:sz w:val="24"/>
          <w:szCs w:val="24"/>
        </w:rPr>
        <w:t>+C=TiO</w:t>
      </w:r>
      <w:r w:rsidRPr="00677D1F">
        <w:rPr>
          <w:rFonts w:asciiTheme="minorEastAsia" w:eastAsiaTheme="minorEastAsia" w:hAnsiTheme="minorEastAsia"/>
          <w:sz w:val="24"/>
          <w:szCs w:val="24"/>
          <w:vertAlign w:val="subscript"/>
        </w:rPr>
        <w:t>2</w:t>
      </w:r>
      <w:r w:rsidRPr="00677D1F">
        <w:rPr>
          <w:rFonts w:asciiTheme="minorEastAsia" w:eastAsiaTheme="minorEastAsia" w:hAnsiTheme="minorEastAsia"/>
          <w:sz w:val="24"/>
          <w:szCs w:val="24"/>
        </w:rPr>
        <w:t>+Fe+CO</w:t>
      </w:r>
    </w:p>
    <w:p w:rsidR="00D228BE" w:rsidRPr="00677D1F" w:rsidRDefault="00332EB6" w:rsidP="00677D1F">
      <w:pPr>
        <w:pStyle w:val="a4"/>
        <w:tabs>
          <w:tab w:val="left" w:pos="3938"/>
        </w:tabs>
        <w:spacing w:line="360" w:lineRule="auto"/>
        <w:contextualSpacing/>
        <w:jc w:val="center"/>
        <w:rPr>
          <w:rFonts w:asciiTheme="minorEastAsia" w:eastAsiaTheme="minorEastAsia" w:hAnsiTheme="minorEastAsia"/>
          <w:sz w:val="24"/>
          <w:szCs w:val="24"/>
        </w:rPr>
      </w:pPr>
      <w:r w:rsidRPr="00677D1F">
        <w:rPr>
          <w:rFonts w:asciiTheme="minorEastAsia" w:eastAsiaTheme="minorEastAsia" w:hAnsiTheme="minorEastAsia"/>
          <w:sz w:val="24"/>
          <w:szCs w:val="24"/>
        </w:rPr>
        <w:t>CO+O</w:t>
      </w:r>
      <w:r w:rsidRPr="00677D1F">
        <w:rPr>
          <w:rFonts w:asciiTheme="minorEastAsia" w:eastAsiaTheme="minorEastAsia" w:hAnsiTheme="minorEastAsia"/>
          <w:sz w:val="24"/>
          <w:szCs w:val="24"/>
          <w:vertAlign w:val="subscript"/>
        </w:rPr>
        <w:t>2</w:t>
      </w:r>
      <w:r w:rsidRPr="00677D1F">
        <w:rPr>
          <w:rFonts w:asciiTheme="minorEastAsia" w:eastAsiaTheme="minorEastAsia" w:hAnsiTheme="minorEastAsia"/>
          <w:sz w:val="24"/>
          <w:szCs w:val="24"/>
        </w:rPr>
        <w:t>=CO</w:t>
      </w:r>
      <w:r w:rsidRPr="00677D1F">
        <w:rPr>
          <w:rFonts w:asciiTheme="minorEastAsia" w:eastAsiaTheme="minorEastAsia" w:hAnsiTheme="minorEastAsia"/>
          <w:sz w:val="24"/>
          <w:szCs w:val="24"/>
          <w:vertAlign w:val="subscript"/>
        </w:rPr>
        <w:t>2</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Theme="minorEastAsia" w:hAnsiTheme="minorEastAsia"/>
          <w:sz w:val="24"/>
          <w:szCs w:val="24"/>
        </w:rPr>
        <w:t>高钛渣生产工艺流程及产污环节见图 3.4-5。</w:t>
      </w:r>
    </w:p>
    <w:p w:rsidR="00D228BE" w:rsidRPr="00677D1F" w:rsidRDefault="00332EB6" w:rsidP="00677D1F">
      <w:pPr>
        <w:widowControl/>
        <w:spacing w:line="360" w:lineRule="auto"/>
        <w:contextualSpacing/>
        <w:jc w:val="center"/>
        <w:rPr>
          <w:rFonts w:ascii="宋体" w:eastAsia="宋体" w:hAnsi="宋体" w:cs="宋体"/>
          <w:color w:val="000000"/>
          <w:kern w:val="0"/>
          <w:sz w:val="24"/>
          <w:szCs w:val="24"/>
        </w:rPr>
      </w:pPr>
      <w:r w:rsidRPr="00677D1F">
        <w:object w:dxaOrig="5978" w:dyaOrig="6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pt;height:312.3pt" o:ole="">
            <v:imagedata r:id="rId14" o:title=""/>
          </v:shape>
          <o:OLEObject Type="Embed" ProgID="Visio.Drawing.11" ShapeID="_x0000_i1025" DrawAspect="Content" ObjectID="_1652080677" r:id="rId15"/>
        </w:objec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b/>
          <w:color w:val="000000"/>
          <w:kern w:val="0"/>
          <w:szCs w:val="21"/>
        </w:rPr>
        <w:t>图3.4-5</w:t>
      </w:r>
      <w:r w:rsidRPr="00677D1F">
        <w:rPr>
          <w:rFonts w:ascii="黑体" w:eastAsia="黑体" w:hAnsi="黑体" w:cs="宋体"/>
          <w:b/>
          <w:color w:val="000000"/>
          <w:kern w:val="0"/>
          <w:szCs w:val="21"/>
        </w:rPr>
        <w:tab/>
      </w:r>
      <w:r w:rsidRPr="00677D1F">
        <w:rPr>
          <w:rFonts w:ascii="黑体" w:eastAsia="黑体" w:hAnsi="黑体" w:cs="宋体" w:hint="eastAsia"/>
          <w:b/>
          <w:color w:val="000000"/>
          <w:kern w:val="0"/>
          <w:szCs w:val="21"/>
        </w:rPr>
        <w:t xml:space="preserve">  </w:t>
      </w:r>
      <w:r w:rsidRPr="00677D1F">
        <w:rPr>
          <w:rFonts w:ascii="黑体" w:eastAsia="黑体" w:hAnsi="黑体" w:cs="宋体"/>
          <w:b/>
          <w:color w:val="000000"/>
          <w:kern w:val="0"/>
          <w:szCs w:val="21"/>
        </w:rPr>
        <w:t>高钛渣生产工艺流程及主要产污环节图</w:t>
      </w:r>
    </w:p>
    <w:p w:rsidR="00D228BE" w:rsidRPr="00677D1F" w:rsidRDefault="00D228BE" w:rsidP="00677D1F">
      <w:pPr>
        <w:widowControl/>
        <w:spacing w:line="360" w:lineRule="auto"/>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（2）四氯化钛制备</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氯化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来自钛渣电炉产生的高钛渣和氯化原料仓库来的破碎好煅后焦利用气力输送系统送至氯化炉前配料仓。高钛渣与煅后焦，按一定比例用配料秤进行配料，经混料机经过混合后，用加料机由混合料斗从沸腾段上方加入氯化炉内。补充氯气和镁电解装置返回来的循环氯气进入氯气缓冲罐， 经混合器从氯化炉底通入，在1 000℃下，加入的混合料与氯气反应生成四氯化钛和其他杂质的氯化物以及一氧化碳和二氧化碳等气体。沸点低于氯化温度的氯化物如FeCl</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、AlCl</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(升华气体)等气体就和TiCl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一起挥发逸出氯化炉，而沸点高于氯化温度的氯化物如CaCl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、MgCl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等，与未反应的TiO</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、C粉等一起留在炉内成为炉渣。</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从氯化炉顶以气体逸出的混合气体(主要成分为TiCl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、AlCl</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、FeCl</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等，还有被气流夹带出来的固体颗粒)进入收尘器，由于减速降温的作用，未被氯化的少量氧化物、碳和高沸点氯化物(AlCl</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、FeCl</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等)及钛渣中的钙、镁等杂质和氯化钠固</w:t>
      </w:r>
      <w:r w:rsidRPr="00677D1F">
        <w:rPr>
          <w:rFonts w:ascii="宋体" w:eastAsia="宋体" w:hAnsi="宋体" w:cs="宋体" w:hint="eastAsia"/>
          <w:color w:val="000000"/>
          <w:kern w:val="0"/>
          <w:sz w:val="24"/>
          <w:szCs w:val="24"/>
        </w:rPr>
        <w:lastRenderedPageBreak/>
        <w:t>体颗粒大部分被冷凝沉积下来，定期的从收尘器排出到收尘渣及废液处理系统处理。通过收尘器出来的混合气体进入淋洗塔， 被冷冻盐水冷却后的TiCl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的液体相接触，使TiCl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等气体和高沸点杂质被淋洗下来，淋洗下来的TiCl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液体还含有较多的杂质，经过沉降、过滤以后， 得到淡黄色或红棕色的粗四氯化钛液体，粗四氯化钛送入产品槽，经产品泵送往粗四氯化钛产品储槽。不能冷凝的气体经过尾气处理系统净化处理后达标通过烟囱排空。过滤产生的泥浆返回氯化炉回收四氯化钛。</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在粗四氯化钛生产过程中，主要用能为石油焦、压缩空气、电、循环水以及低温盐水。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氯化(粗四氯化钛制备)工艺流程及主要产污环节见图3.4-8。</w:t>
      </w:r>
    </w:p>
    <w:p w:rsidR="00D228BE" w:rsidRPr="00677D1F" w:rsidRDefault="00332EB6" w:rsidP="00677D1F">
      <w:pPr>
        <w:widowControl/>
        <w:spacing w:line="360" w:lineRule="auto"/>
        <w:contextualSpacing/>
        <w:jc w:val="center"/>
        <w:rPr>
          <w:rFonts w:ascii="宋体" w:eastAsia="宋体" w:hAnsi="宋体" w:cs="宋体"/>
          <w:color w:val="000000"/>
          <w:kern w:val="0"/>
          <w:sz w:val="24"/>
          <w:szCs w:val="24"/>
        </w:rPr>
      </w:pPr>
      <w:r w:rsidRPr="00677D1F">
        <w:object w:dxaOrig="5559" w:dyaOrig="6832">
          <v:shape id="_x0000_i1026" type="#_x0000_t75" style="width:277.7pt;height:341.3pt" o:ole="">
            <v:imagedata r:id="rId16" o:title=""/>
          </v:shape>
          <o:OLEObject Type="Embed" ProgID="Visio.Drawing.11" ShapeID="_x0000_i1026" DrawAspect="Content" ObjectID="_1652080678" r:id="rId17"/>
        </w:object>
      </w:r>
    </w:p>
    <w:p w:rsidR="00D228BE" w:rsidRPr="00677D1F" w:rsidRDefault="00332EB6" w:rsidP="00677D1F">
      <w:pPr>
        <w:tabs>
          <w:tab w:val="left" w:pos="1821"/>
        </w:tabs>
        <w:spacing w:before="74"/>
        <w:ind w:left="720"/>
        <w:contextualSpacing/>
        <w:rPr>
          <w:b/>
          <w:sz w:val="24"/>
        </w:rPr>
      </w:pPr>
      <w:r w:rsidRPr="00677D1F">
        <w:rPr>
          <w:b/>
          <w:sz w:val="24"/>
        </w:rPr>
        <w:t>图</w:t>
      </w:r>
      <w:r w:rsidRPr="00677D1F">
        <w:rPr>
          <w:rFonts w:ascii="Times New Roman" w:eastAsia="Times New Roman"/>
          <w:b/>
          <w:sz w:val="24"/>
        </w:rPr>
        <w:t>3.4-8</w:t>
      </w:r>
      <w:r w:rsidRPr="00677D1F">
        <w:rPr>
          <w:rFonts w:ascii="Times New Roman" w:eastAsia="Times New Roman"/>
          <w:b/>
          <w:sz w:val="24"/>
        </w:rPr>
        <w:tab/>
      </w:r>
      <w:r w:rsidRPr="00677D1F">
        <w:rPr>
          <w:b/>
          <w:sz w:val="24"/>
        </w:rPr>
        <w:t>氯化</w:t>
      </w:r>
      <w:r w:rsidRPr="00677D1F">
        <w:rPr>
          <w:rFonts w:ascii="Times New Roman" w:eastAsia="Times New Roman"/>
          <w:b/>
          <w:sz w:val="24"/>
        </w:rPr>
        <w:t>(</w:t>
      </w:r>
      <w:r w:rsidRPr="00677D1F">
        <w:rPr>
          <w:b/>
          <w:sz w:val="24"/>
        </w:rPr>
        <w:t>粗四氯化钛制备</w:t>
      </w:r>
      <w:r w:rsidRPr="00677D1F">
        <w:rPr>
          <w:rFonts w:ascii="Times New Roman" w:eastAsia="Times New Roman"/>
          <w:b/>
          <w:sz w:val="24"/>
        </w:rPr>
        <w:t>)</w:t>
      </w:r>
      <w:r w:rsidRPr="00677D1F">
        <w:rPr>
          <w:b/>
          <w:sz w:val="24"/>
        </w:rPr>
        <w:t>工艺流程及主要产污环节图</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hint="eastAsia"/>
          <w:sz w:val="24"/>
          <w:szCs w:val="24"/>
        </w:rPr>
        <w:t>②精制</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sz w:val="24"/>
          <w:szCs w:val="24"/>
        </w:rPr>
        <w:t>粗四氯化钛从储槽中用泵送至精制工段，将粗TiCl4和一定比例的除钒剂从填料塔中部加入，除钒剂和料在与塔内上升蒸汽进行热质交换的过程中得到充分混合和预热，最后在蒸馏釜中完成除三氯氧钒任务并蒸发， 除钒后的四氯化钛通过蒸</w:t>
      </w:r>
      <w:r w:rsidRPr="00677D1F">
        <w:rPr>
          <w:rFonts w:asciiTheme="minorEastAsia" w:hAnsiTheme="minorEastAsia"/>
          <w:sz w:val="24"/>
          <w:szCs w:val="24"/>
        </w:rPr>
        <w:lastRenderedPageBreak/>
        <w:t>馏塔后冷凝（这一过程可同时除去高沸点物）， 然后由浮阀塔的中部加入塔内，连同回流液与由蒸馏釜上升的蒸汽相遇  时，进行气液交换，低沸点四氯化硅等氯化物由塔顶冷凝器冷凝进入回流槽。其中一部分返回塔顶进行回流，多余的溢流到四氯化硅储罐，而塔底排出得到合格的精四氯化钛产品，送入精四氯化钛贮槽待用。</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sz w:val="24"/>
          <w:szCs w:val="24"/>
        </w:rPr>
        <w:t>精制工序采用的上述植物油除钒工艺处于国际先进水平，各个压力容器都有事故排空管道，与尾气处理系统连接；由于精制工序各系统均进行密闭式工艺处理方式，精制产生的钒渣及泥浆经由管道完全返回到氯化炉喷淋用，因此在精制工序不再做除钒反应罐的清理，现场也不再出现打开反应罐所产生的TiCl</w:t>
      </w:r>
      <w:r w:rsidRPr="00677D1F">
        <w:rPr>
          <w:rFonts w:asciiTheme="minorEastAsia" w:hAnsiTheme="minorEastAsia"/>
          <w:sz w:val="24"/>
          <w:szCs w:val="24"/>
          <w:vertAlign w:val="subscript"/>
        </w:rPr>
        <w:t>4</w:t>
      </w:r>
      <w:r w:rsidRPr="00677D1F">
        <w:rPr>
          <w:rFonts w:asciiTheme="minorEastAsia" w:hAnsiTheme="minorEastAsia"/>
          <w:sz w:val="24"/>
          <w:szCs w:val="24"/>
        </w:rPr>
        <w:t>泄露问题。精制冷凝过程的不凝气经过尾气处理系统净化处理后达标通过烟囱排空。</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sz w:val="24"/>
          <w:szCs w:val="24"/>
        </w:rPr>
        <w:t>四氯化钛制备的化学反应式为：</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sz w:val="24"/>
          <w:szCs w:val="24"/>
        </w:rPr>
        <w:t>主反应：6TiO</w:t>
      </w:r>
      <w:r w:rsidRPr="00677D1F">
        <w:rPr>
          <w:rFonts w:asciiTheme="minorEastAsia" w:hAnsiTheme="minorEastAsia"/>
          <w:sz w:val="24"/>
          <w:szCs w:val="24"/>
          <w:vertAlign w:val="subscript"/>
        </w:rPr>
        <w:t>2</w:t>
      </w:r>
      <w:r w:rsidRPr="00677D1F">
        <w:rPr>
          <w:rFonts w:asciiTheme="minorEastAsia" w:hAnsiTheme="minorEastAsia"/>
          <w:sz w:val="24"/>
          <w:szCs w:val="24"/>
        </w:rPr>
        <w:t>+12Cl</w:t>
      </w:r>
      <w:r w:rsidRPr="00677D1F">
        <w:rPr>
          <w:rFonts w:asciiTheme="minorEastAsia" w:hAnsiTheme="minorEastAsia"/>
          <w:sz w:val="24"/>
          <w:szCs w:val="24"/>
          <w:vertAlign w:val="subscript"/>
        </w:rPr>
        <w:t>2</w:t>
      </w:r>
      <w:r w:rsidRPr="00677D1F">
        <w:rPr>
          <w:rFonts w:asciiTheme="minorEastAsia" w:hAnsiTheme="minorEastAsia"/>
          <w:sz w:val="24"/>
          <w:szCs w:val="24"/>
        </w:rPr>
        <w:t>+7C=6TiCl</w:t>
      </w:r>
      <w:r w:rsidRPr="00677D1F">
        <w:rPr>
          <w:rFonts w:asciiTheme="minorEastAsia" w:hAnsiTheme="minorEastAsia"/>
          <w:sz w:val="24"/>
          <w:szCs w:val="24"/>
          <w:vertAlign w:val="subscript"/>
        </w:rPr>
        <w:t>4</w:t>
      </w:r>
      <w:r w:rsidRPr="00677D1F">
        <w:rPr>
          <w:rFonts w:asciiTheme="minorEastAsia" w:hAnsiTheme="minorEastAsia"/>
          <w:sz w:val="24"/>
          <w:szCs w:val="24"/>
        </w:rPr>
        <w:t>+5CO</w:t>
      </w:r>
      <w:r w:rsidRPr="00677D1F">
        <w:rPr>
          <w:rFonts w:asciiTheme="minorEastAsia" w:hAnsiTheme="minorEastAsia"/>
          <w:sz w:val="24"/>
          <w:szCs w:val="24"/>
          <w:vertAlign w:val="subscript"/>
        </w:rPr>
        <w:t>2</w:t>
      </w:r>
      <w:r w:rsidRPr="00677D1F">
        <w:rPr>
          <w:rFonts w:asciiTheme="minorEastAsia" w:hAnsiTheme="minorEastAsia"/>
          <w:sz w:val="24"/>
          <w:szCs w:val="24"/>
        </w:rPr>
        <w:t>+2CO</w:t>
      </w:r>
    </w:p>
    <w:p w:rsidR="00D228BE" w:rsidRPr="00677D1F" w:rsidRDefault="00332EB6" w:rsidP="00677D1F">
      <w:pPr>
        <w:widowControl/>
        <w:spacing w:line="360" w:lineRule="auto"/>
        <w:ind w:firstLineChars="200" w:firstLine="480"/>
        <w:contextualSpacing/>
        <w:rPr>
          <w:rFonts w:asciiTheme="minorEastAsia" w:hAnsiTheme="minorEastAsia"/>
          <w:sz w:val="24"/>
          <w:szCs w:val="24"/>
          <w:vertAlign w:val="subscript"/>
        </w:rPr>
      </w:pPr>
      <w:r w:rsidRPr="00677D1F">
        <w:rPr>
          <w:rFonts w:asciiTheme="minorEastAsia" w:hAnsiTheme="minorEastAsia"/>
          <w:sz w:val="24"/>
          <w:szCs w:val="24"/>
        </w:rPr>
        <w:t>副反应：2FeTiO</w:t>
      </w:r>
      <w:r w:rsidRPr="00677D1F">
        <w:rPr>
          <w:rFonts w:asciiTheme="minorEastAsia" w:hAnsiTheme="minorEastAsia"/>
          <w:sz w:val="24"/>
          <w:szCs w:val="24"/>
          <w:vertAlign w:val="subscript"/>
        </w:rPr>
        <w:t>3</w:t>
      </w:r>
      <w:r w:rsidRPr="00677D1F">
        <w:rPr>
          <w:rFonts w:asciiTheme="minorEastAsia" w:hAnsiTheme="minorEastAsia"/>
          <w:sz w:val="24"/>
          <w:szCs w:val="24"/>
        </w:rPr>
        <w:t>+ 7Cl</w:t>
      </w:r>
      <w:r w:rsidRPr="00677D1F">
        <w:rPr>
          <w:rFonts w:asciiTheme="minorEastAsia" w:hAnsiTheme="minorEastAsia"/>
          <w:sz w:val="24"/>
          <w:szCs w:val="24"/>
          <w:vertAlign w:val="subscript"/>
        </w:rPr>
        <w:t>2</w:t>
      </w:r>
      <w:r w:rsidRPr="00677D1F">
        <w:rPr>
          <w:rFonts w:asciiTheme="minorEastAsia" w:hAnsiTheme="minorEastAsia"/>
          <w:sz w:val="24"/>
          <w:szCs w:val="24"/>
        </w:rPr>
        <w:t>+3C=2TiCl</w:t>
      </w:r>
      <w:r w:rsidRPr="00677D1F">
        <w:rPr>
          <w:rFonts w:asciiTheme="minorEastAsia" w:hAnsiTheme="minorEastAsia"/>
          <w:sz w:val="24"/>
          <w:szCs w:val="24"/>
          <w:vertAlign w:val="subscript"/>
        </w:rPr>
        <w:t>4</w:t>
      </w:r>
      <w:r w:rsidRPr="00677D1F">
        <w:rPr>
          <w:rFonts w:asciiTheme="minorEastAsia" w:hAnsiTheme="minorEastAsia"/>
          <w:sz w:val="24"/>
          <w:szCs w:val="24"/>
        </w:rPr>
        <w:t>+2FeCl</w:t>
      </w:r>
      <w:r w:rsidRPr="00677D1F">
        <w:rPr>
          <w:rFonts w:asciiTheme="minorEastAsia" w:hAnsiTheme="minorEastAsia"/>
          <w:sz w:val="24"/>
          <w:szCs w:val="24"/>
          <w:vertAlign w:val="subscript"/>
        </w:rPr>
        <w:t>3</w:t>
      </w:r>
      <w:r w:rsidRPr="00677D1F">
        <w:rPr>
          <w:rFonts w:asciiTheme="minorEastAsia" w:hAnsiTheme="minorEastAsia"/>
          <w:sz w:val="24"/>
          <w:szCs w:val="24"/>
        </w:rPr>
        <w:t>+3CO</w:t>
      </w:r>
      <w:r w:rsidRPr="00677D1F">
        <w:rPr>
          <w:rFonts w:asciiTheme="minorEastAsia" w:hAnsiTheme="minorEastAsia"/>
          <w:sz w:val="24"/>
          <w:szCs w:val="24"/>
          <w:vertAlign w:val="subscript"/>
        </w:rPr>
        <w:t>2</w:t>
      </w:r>
    </w:p>
    <w:p w:rsidR="00D228BE" w:rsidRPr="00677D1F" w:rsidRDefault="00332EB6" w:rsidP="00677D1F">
      <w:pPr>
        <w:widowControl/>
        <w:spacing w:line="360" w:lineRule="auto"/>
        <w:ind w:firstLineChars="600" w:firstLine="1440"/>
        <w:contextualSpacing/>
        <w:rPr>
          <w:rFonts w:asciiTheme="minorEastAsia" w:hAnsiTheme="minorEastAsia"/>
          <w:sz w:val="24"/>
          <w:szCs w:val="24"/>
          <w:vertAlign w:val="subscript"/>
        </w:rPr>
      </w:pPr>
      <w:r w:rsidRPr="00677D1F">
        <w:rPr>
          <w:rFonts w:asciiTheme="minorEastAsia" w:hAnsiTheme="minorEastAsia"/>
          <w:sz w:val="24"/>
          <w:szCs w:val="24"/>
        </w:rPr>
        <w:t>4Fe+5Cl</w:t>
      </w:r>
      <w:r w:rsidRPr="00677D1F">
        <w:rPr>
          <w:rFonts w:asciiTheme="minorEastAsia" w:hAnsiTheme="minorEastAsia"/>
          <w:sz w:val="24"/>
          <w:szCs w:val="24"/>
          <w:vertAlign w:val="subscript"/>
        </w:rPr>
        <w:t>2</w:t>
      </w:r>
      <w:r w:rsidRPr="00677D1F">
        <w:rPr>
          <w:rFonts w:asciiTheme="minorEastAsia" w:hAnsiTheme="minorEastAsia"/>
          <w:sz w:val="24"/>
          <w:szCs w:val="24"/>
        </w:rPr>
        <w:t>=2FeCl</w:t>
      </w:r>
      <w:r w:rsidRPr="00677D1F">
        <w:rPr>
          <w:rFonts w:asciiTheme="minorEastAsia" w:hAnsiTheme="minorEastAsia"/>
          <w:sz w:val="24"/>
          <w:szCs w:val="24"/>
          <w:vertAlign w:val="subscript"/>
        </w:rPr>
        <w:t>3</w:t>
      </w:r>
      <w:r w:rsidRPr="00677D1F">
        <w:rPr>
          <w:rFonts w:asciiTheme="minorEastAsia" w:hAnsiTheme="minorEastAsia"/>
          <w:sz w:val="24"/>
          <w:szCs w:val="24"/>
        </w:rPr>
        <w:t>+2FeCl</w:t>
      </w:r>
      <w:r w:rsidRPr="00677D1F">
        <w:rPr>
          <w:rFonts w:asciiTheme="minorEastAsia" w:hAnsiTheme="minorEastAsia"/>
          <w:sz w:val="24"/>
          <w:szCs w:val="24"/>
          <w:vertAlign w:val="subscript"/>
        </w:rPr>
        <w:t>2</w:t>
      </w:r>
    </w:p>
    <w:p w:rsidR="00D228BE" w:rsidRPr="00677D1F" w:rsidRDefault="00332EB6" w:rsidP="00677D1F">
      <w:pPr>
        <w:widowControl/>
        <w:spacing w:line="360" w:lineRule="auto"/>
        <w:ind w:firstLineChars="600" w:firstLine="1440"/>
        <w:contextualSpacing/>
        <w:rPr>
          <w:rFonts w:asciiTheme="minorEastAsia" w:hAnsiTheme="minorEastAsia"/>
          <w:sz w:val="24"/>
          <w:szCs w:val="24"/>
        </w:rPr>
      </w:pPr>
      <w:r w:rsidRPr="00677D1F">
        <w:rPr>
          <w:rFonts w:asciiTheme="minorEastAsia" w:hAnsiTheme="minorEastAsia"/>
          <w:sz w:val="24"/>
          <w:szCs w:val="24"/>
        </w:rPr>
        <w:t>MnO</w:t>
      </w:r>
      <w:r w:rsidRPr="00677D1F">
        <w:rPr>
          <w:rFonts w:asciiTheme="minorEastAsia" w:hAnsiTheme="minorEastAsia"/>
          <w:sz w:val="24"/>
          <w:szCs w:val="24"/>
          <w:vertAlign w:val="subscript"/>
        </w:rPr>
        <w:t>2</w:t>
      </w:r>
      <w:r w:rsidRPr="00677D1F">
        <w:rPr>
          <w:rFonts w:asciiTheme="minorEastAsia" w:hAnsiTheme="minorEastAsia"/>
          <w:sz w:val="24"/>
          <w:szCs w:val="24"/>
        </w:rPr>
        <w:t>+Cl</w:t>
      </w:r>
      <w:r w:rsidRPr="00677D1F">
        <w:rPr>
          <w:rFonts w:asciiTheme="minorEastAsia" w:hAnsiTheme="minorEastAsia"/>
          <w:sz w:val="24"/>
          <w:szCs w:val="24"/>
          <w:vertAlign w:val="subscript"/>
        </w:rPr>
        <w:t>2</w:t>
      </w:r>
      <w:r w:rsidRPr="00677D1F">
        <w:rPr>
          <w:rFonts w:asciiTheme="minorEastAsia" w:hAnsiTheme="minorEastAsia"/>
          <w:sz w:val="24"/>
          <w:szCs w:val="24"/>
        </w:rPr>
        <w:t>+C=MnCl</w:t>
      </w:r>
      <w:r w:rsidRPr="00677D1F">
        <w:rPr>
          <w:rFonts w:asciiTheme="minorEastAsia" w:hAnsiTheme="minorEastAsia"/>
          <w:sz w:val="24"/>
          <w:szCs w:val="24"/>
          <w:vertAlign w:val="subscript"/>
        </w:rPr>
        <w:t>2</w:t>
      </w:r>
      <w:r w:rsidRPr="00677D1F">
        <w:rPr>
          <w:rFonts w:asciiTheme="minorEastAsia" w:hAnsiTheme="minorEastAsia"/>
          <w:sz w:val="24"/>
          <w:szCs w:val="24"/>
        </w:rPr>
        <w:t>+CO</w:t>
      </w:r>
      <w:r w:rsidRPr="00677D1F">
        <w:rPr>
          <w:rFonts w:asciiTheme="minorEastAsia" w:hAnsiTheme="minorEastAsia"/>
          <w:sz w:val="24"/>
          <w:szCs w:val="24"/>
          <w:vertAlign w:val="subscript"/>
        </w:rPr>
        <w:t>2</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sz w:val="24"/>
          <w:szCs w:val="24"/>
        </w:rPr>
        <w:t>精制(精四氯化钛制备)工艺流程及主要产污环节见图3.4-9。四氯化钛制备工艺设备流程见图3.4-10。</w:t>
      </w:r>
    </w:p>
    <w:p w:rsidR="00D228BE" w:rsidRPr="00677D1F" w:rsidRDefault="00332EB6" w:rsidP="00677D1F">
      <w:pPr>
        <w:widowControl/>
        <w:spacing w:line="360" w:lineRule="auto"/>
        <w:contextualSpacing/>
        <w:jc w:val="center"/>
      </w:pPr>
      <w:r w:rsidRPr="00677D1F">
        <w:object w:dxaOrig="6195" w:dyaOrig="3198">
          <v:shape id="_x0000_i1027" type="#_x0000_t75" style="width:309.5pt;height:159.9pt" o:ole="">
            <v:imagedata r:id="rId18" o:title=""/>
          </v:shape>
          <o:OLEObject Type="Embed" ProgID="Visio.Drawing.11" ShapeID="_x0000_i1027" DrawAspect="Content" ObjectID="_1652080679" r:id="rId19"/>
        </w:object>
      </w:r>
    </w:p>
    <w:p w:rsidR="00D228BE" w:rsidRPr="00677D1F" w:rsidRDefault="00332EB6" w:rsidP="00677D1F">
      <w:pPr>
        <w:tabs>
          <w:tab w:val="left" w:pos="1821"/>
        </w:tabs>
        <w:spacing w:before="74"/>
        <w:ind w:left="720"/>
        <w:contextualSpacing/>
        <w:rPr>
          <w:b/>
          <w:sz w:val="24"/>
        </w:rPr>
      </w:pPr>
      <w:r w:rsidRPr="00677D1F">
        <w:rPr>
          <w:b/>
          <w:sz w:val="24"/>
        </w:rPr>
        <w:t>图</w:t>
      </w:r>
      <w:r w:rsidRPr="00677D1F">
        <w:rPr>
          <w:rFonts w:ascii="Times New Roman" w:eastAsia="Times New Roman"/>
          <w:b/>
          <w:sz w:val="24"/>
        </w:rPr>
        <w:t>3.4-9</w:t>
      </w:r>
      <w:r w:rsidRPr="00677D1F">
        <w:rPr>
          <w:rFonts w:ascii="Times New Roman" w:eastAsia="Times New Roman"/>
          <w:b/>
          <w:sz w:val="24"/>
        </w:rPr>
        <w:tab/>
      </w:r>
      <w:r w:rsidRPr="00677D1F">
        <w:rPr>
          <w:b/>
          <w:sz w:val="24"/>
        </w:rPr>
        <w:t>精制</w:t>
      </w:r>
      <w:r w:rsidRPr="00677D1F">
        <w:rPr>
          <w:rFonts w:ascii="Times New Roman" w:eastAsia="Times New Roman"/>
          <w:b/>
          <w:sz w:val="24"/>
        </w:rPr>
        <w:t>(</w:t>
      </w:r>
      <w:r w:rsidRPr="00677D1F">
        <w:rPr>
          <w:b/>
          <w:sz w:val="24"/>
        </w:rPr>
        <w:t>精四氯化钛制备</w:t>
      </w:r>
      <w:r w:rsidRPr="00677D1F">
        <w:rPr>
          <w:rFonts w:ascii="Times New Roman" w:eastAsia="Times New Roman"/>
          <w:b/>
          <w:sz w:val="24"/>
        </w:rPr>
        <w:t>)</w:t>
      </w:r>
      <w:r w:rsidRPr="00677D1F">
        <w:rPr>
          <w:b/>
          <w:sz w:val="24"/>
        </w:rPr>
        <w:t>工艺流程及主要产污环节图</w:t>
      </w:r>
    </w:p>
    <w:p w:rsidR="00D228BE" w:rsidRPr="00677D1F" w:rsidRDefault="00D228BE" w:rsidP="00677D1F">
      <w:pPr>
        <w:widowControl/>
        <w:spacing w:line="360" w:lineRule="auto"/>
        <w:ind w:firstLineChars="200" w:firstLine="420"/>
        <w:contextualSpacing/>
      </w:pP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hint="eastAsia"/>
          <w:sz w:val="24"/>
          <w:szCs w:val="24"/>
        </w:rPr>
        <w:t>③四氯化钛还原蒸馏</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hint="eastAsia"/>
          <w:sz w:val="24"/>
          <w:szCs w:val="24"/>
        </w:rPr>
        <w:t>将电解镁工段来的熔融金属镁加入到经检验合格的反应器中，连续加入精四氯化钛，控制还原反应的温度在800～1000℃。根据加料速度和反应器内压力变化定期排放出氯化镁，还原反应结束后转入蒸馏作业，将过量的金属镁和残留的MgCl</w:t>
      </w:r>
      <w:r w:rsidRPr="00677D1F">
        <w:rPr>
          <w:rFonts w:asciiTheme="minorEastAsia" w:hAnsiTheme="minorEastAsia" w:hint="eastAsia"/>
          <w:sz w:val="24"/>
          <w:szCs w:val="24"/>
          <w:vertAlign w:val="subscript"/>
        </w:rPr>
        <w:t>2</w:t>
      </w:r>
      <w:r w:rsidRPr="00677D1F">
        <w:rPr>
          <w:rFonts w:asciiTheme="minorEastAsia" w:hAnsiTheme="minorEastAsia" w:hint="eastAsia"/>
          <w:sz w:val="24"/>
          <w:szCs w:val="24"/>
        </w:rPr>
        <w:lastRenderedPageBreak/>
        <w:t>冷凝在反应器中，得到纯净的海绵钛。蒸馏结束后往还原器中充入氩气并冷却至室温，然后用液压机取出海绵钛坨，送至破碎工段。还原蒸馏为周期性批量生产，每炉次产能为9.5吨海绵钛。反应器中冷凝物(金属镁和残留的MgCl</w:t>
      </w:r>
      <w:r w:rsidRPr="00677D1F">
        <w:rPr>
          <w:rFonts w:asciiTheme="minorEastAsia" w:hAnsiTheme="minorEastAsia" w:hint="eastAsia"/>
          <w:sz w:val="24"/>
          <w:szCs w:val="24"/>
          <w:vertAlign w:val="subscript"/>
        </w:rPr>
        <w:t>2</w:t>
      </w:r>
      <w:r w:rsidRPr="00677D1F">
        <w:rPr>
          <w:rFonts w:asciiTheme="minorEastAsia" w:hAnsiTheme="minorEastAsia" w:hint="eastAsia"/>
          <w:sz w:val="24"/>
          <w:szCs w:val="24"/>
        </w:rPr>
        <w:t>等)返回到还原炉还原，而废气真空系统产生的废气到镁系统废气、还蒸尾气处理系统处理排放。其化学反应式为：</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hint="eastAsia"/>
          <w:sz w:val="24"/>
          <w:szCs w:val="24"/>
        </w:rPr>
        <w:t>主反应：TiCl</w:t>
      </w:r>
      <w:r w:rsidRPr="00677D1F">
        <w:rPr>
          <w:rFonts w:asciiTheme="minorEastAsia" w:hAnsiTheme="minorEastAsia" w:hint="eastAsia"/>
          <w:sz w:val="24"/>
          <w:szCs w:val="24"/>
          <w:vertAlign w:val="subscript"/>
        </w:rPr>
        <w:t>4</w:t>
      </w:r>
      <w:r w:rsidRPr="00677D1F">
        <w:rPr>
          <w:rFonts w:asciiTheme="minorEastAsia" w:hAnsiTheme="minorEastAsia" w:hint="eastAsia"/>
          <w:sz w:val="24"/>
          <w:szCs w:val="24"/>
        </w:rPr>
        <w:t>+2Mg=Ti+2MgCl</w:t>
      </w:r>
      <w:r w:rsidRPr="00677D1F">
        <w:rPr>
          <w:rFonts w:asciiTheme="minorEastAsia" w:hAnsiTheme="minorEastAsia" w:hint="eastAsia"/>
          <w:sz w:val="24"/>
          <w:szCs w:val="24"/>
          <w:vertAlign w:val="subscript"/>
        </w:rPr>
        <w:t>2</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hint="eastAsia"/>
          <w:sz w:val="24"/>
          <w:szCs w:val="24"/>
        </w:rPr>
        <w:t>副反应：4TiCl</w:t>
      </w:r>
      <w:r w:rsidRPr="00677D1F">
        <w:rPr>
          <w:rFonts w:asciiTheme="minorEastAsia" w:hAnsiTheme="minorEastAsia" w:hint="eastAsia"/>
          <w:sz w:val="24"/>
          <w:szCs w:val="24"/>
          <w:vertAlign w:val="subscript"/>
        </w:rPr>
        <w:t>4</w:t>
      </w:r>
      <w:r w:rsidRPr="00677D1F">
        <w:rPr>
          <w:rFonts w:asciiTheme="minorEastAsia" w:hAnsiTheme="minorEastAsia" w:hint="eastAsia"/>
          <w:sz w:val="24"/>
          <w:szCs w:val="24"/>
        </w:rPr>
        <w:t>+2Mg=4TiCl</w:t>
      </w:r>
      <w:r w:rsidRPr="00677D1F">
        <w:rPr>
          <w:rFonts w:asciiTheme="minorEastAsia" w:hAnsiTheme="minorEastAsia" w:hint="eastAsia"/>
          <w:sz w:val="24"/>
          <w:szCs w:val="24"/>
          <w:vertAlign w:val="subscript"/>
        </w:rPr>
        <w:t>3</w:t>
      </w:r>
      <w:r w:rsidRPr="00677D1F">
        <w:rPr>
          <w:rFonts w:asciiTheme="minorEastAsia" w:hAnsiTheme="minorEastAsia" w:hint="eastAsia"/>
          <w:sz w:val="24"/>
          <w:szCs w:val="24"/>
        </w:rPr>
        <w:t>+2MgCl</w:t>
      </w:r>
    </w:p>
    <w:p w:rsidR="00D228BE" w:rsidRPr="00677D1F" w:rsidRDefault="00332EB6" w:rsidP="00677D1F">
      <w:pPr>
        <w:widowControl/>
        <w:spacing w:line="360" w:lineRule="auto"/>
        <w:ind w:firstLineChars="600" w:firstLine="1440"/>
        <w:contextualSpacing/>
        <w:rPr>
          <w:rFonts w:asciiTheme="minorEastAsia" w:hAnsiTheme="minorEastAsia"/>
          <w:sz w:val="24"/>
          <w:szCs w:val="24"/>
        </w:rPr>
      </w:pPr>
      <w:r w:rsidRPr="00677D1F">
        <w:rPr>
          <w:rFonts w:asciiTheme="minorEastAsia" w:hAnsiTheme="minorEastAsia" w:hint="eastAsia"/>
          <w:sz w:val="24"/>
          <w:szCs w:val="24"/>
        </w:rPr>
        <w:t>TiCl</w:t>
      </w:r>
      <w:r w:rsidRPr="00677D1F">
        <w:rPr>
          <w:rFonts w:asciiTheme="minorEastAsia" w:hAnsiTheme="minorEastAsia" w:hint="eastAsia"/>
          <w:sz w:val="24"/>
          <w:szCs w:val="24"/>
          <w:vertAlign w:val="subscript"/>
        </w:rPr>
        <w:t>4</w:t>
      </w:r>
      <w:r w:rsidRPr="00677D1F">
        <w:rPr>
          <w:rFonts w:asciiTheme="minorEastAsia" w:hAnsiTheme="minorEastAsia" w:hint="eastAsia"/>
          <w:sz w:val="24"/>
          <w:szCs w:val="24"/>
        </w:rPr>
        <w:t>+Mg=TiCl</w:t>
      </w:r>
      <w:r w:rsidRPr="00677D1F">
        <w:rPr>
          <w:rFonts w:asciiTheme="minorEastAsia" w:hAnsiTheme="minorEastAsia" w:hint="eastAsia"/>
          <w:sz w:val="24"/>
          <w:szCs w:val="24"/>
          <w:vertAlign w:val="subscript"/>
        </w:rPr>
        <w:t>2</w:t>
      </w:r>
      <w:r w:rsidRPr="00677D1F">
        <w:rPr>
          <w:rFonts w:asciiTheme="minorEastAsia" w:hAnsiTheme="minorEastAsia" w:hint="eastAsia"/>
          <w:sz w:val="24"/>
          <w:szCs w:val="24"/>
        </w:rPr>
        <w:t>+MgCl</w:t>
      </w:r>
      <w:r w:rsidRPr="00677D1F">
        <w:rPr>
          <w:rFonts w:asciiTheme="minorEastAsia" w:hAnsiTheme="minorEastAsia" w:hint="eastAsia"/>
          <w:sz w:val="24"/>
          <w:szCs w:val="24"/>
          <w:vertAlign w:val="subscript"/>
        </w:rPr>
        <w:t>2</w:t>
      </w:r>
    </w:p>
    <w:p w:rsidR="00D228BE" w:rsidRPr="00677D1F" w:rsidRDefault="00332EB6" w:rsidP="00677D1F">
      <w:pPr>
        <w:widowControl/>
        <w:spacing w:line="360" w:lineRule="auto"/>
        <w:ind w:firstLineChars="600" w:firstLine="1440"/>
        <w:contextualSpacing/>
        <w:rPr>
          <w:rFonts w:asciiTheme="minorEastAsia" w:hAnsiTheme="minorEastAsia"/>
          <w:sz w:val="24"/>
          <w:szCs w:val="24"/>
        </w:rPr>
      </w:pPr>
      <w:r w:rsidRPr="00677D1F">
        <w:rPr>
          <w:rFonts w:asciiTheme="minorEastAsia" w:hAnsiTheme="minorEastAsia" w:hint="eastAsia"/>
          <w:sz w:val="24"/>
          <w:szCs w:val="24"/>
        </w:rPr>
        <w:t>SiCl</w:t>
      </w:r>
      <w:r w:rsidRPr="00677D1F">
        <w:rPr>
          <w:rFonts w:asciiTheme="minorEastAsia" w:hAnsiTheme="minorEastAsia" w:hint="eastAsia"/>
          <w:sz w:val="24"/>
          <w:szCs w:val="24"/>
          <w:vertAlign w:val="subscript"/>
        </w:rPr>
        <w:t>4</w:t>
      </w:r>
      <w:r w:rsidRPr="00677D1F">
        <w:rPr>
          <w:rFonts w:asciiTheme="minorEastAsia" w:hAnsiTheme="minorEastAsia" w:hint="eastAsia"/>
          <w:sz w:val="24"/>
          <w:szCs w:val="24"/>
        </w:rPr>
        <w:t>+2Mg=Si+2MgCl</w:t>
      </w:r>
      <w:r w:rsidRPr="00677D1F">
        <w:rPr>
          <w:rFonts w:asciiTheme="minorEastAsia" w:hAnsiTheme="minorEastAsia" w:hint="eastAsia"/>
          <w:sz w:val="24"/>
          <w:szCs w:val="24"/>
          <w:vertAlign w:val="subscript"/>
        </w:rPr>
        <w:t>2</w:t>
      </w:r>
    </w:p>
    <w:p w:rsidR="00D228BE" w:rsidRPr="00677D1F" w:rsidRDefault="00332EB6" w:rsidP="00677D1F">
      <w:pPr>
        <w:widowControl/>
        <w:spacing w:line="360" w:lineRule="auto"/>
        <w:ind w:firstLineChars="600" w:firstLine="1440"/>
        <w:contextualSpacing/>
        <w:rPr>
          <w:rFonts w:asciiTheme="minorEastAsia" w:hAnsiTheme="minorEastAsia"/>
          <w:sz w:val="24"/>
          <w:szCs w:val="24"/>
        </w:rPr>
      </w:pPr>
      <w:r w:rsidRPr="00677D1F">
        <w:rPr>
          <w:rFonts w:asciiTheme="minorEastAsia" w:hAnsiTheme="minorEastAsia" w:hint="eastAsia"/>
          <w:sz w:val="24"/>
          <w:szCs w:val="24"/>
        </w:rPr>
        <w:t>2FeCl</w:t>
      </w:r>
      <w:r w:rsidRPr="00677D1F">
        <w:rPr>
          <w:rFonts w:asciiTheme="minorEastAsia" w:hAnsiTheme="minorEastAsia" w:hint="eastAsia"/>
          <w:sz w:val="24"/>
          <w:szCs w:val="24"/>
          <w:vertAlign w:val="subscript"/>
        </w:rPr>
        <w:t>3</w:t>
      </w:r>
      <w:r w:rsidRPr="00677D1F">
        <w:rPr>
          <w:rFonts w:asciiTheme="minorEastAsia" w:hAnsiTheme="minorEastAsia" w:hint="eastAsia"/>
          <w:sz w:val="24"/>
          <w:szCs w:val="24"/>
        </w:rPr>
        <w:t>+3Mg=2Fe+3MgCl</w:t>
      </w:r>
      <w:r w:rsidRPr="00677D1F">
        <w:rPr>
          <w:rFonts w:asciiTheme="minorEastAsia" w:hAnsiTheme="minorEastAsia" w:hint="eastAsia"/>
          <w:sz w:val="24"/>
          <w:szCs w:val="24"/>
          <w:vertAlign w:val="subscript"/>
        </w:rPr>
        <w:t>2</w:t>
      </w:r>
    </w:p>
    <w:p w:rsidR="00D228BE" w:rsidRPr="00677D1F" w:rsidRDefault="00332EB6" w:rsidP="00677D1F">
      <w:pPr>
        <w:widowControl/>
        <w:spacing w:line="360" w:lineRule="auto"/>
        <w:ind w:firstLineChars="200" w:firstLine="480"/>
        <w:contextualSpacing/>
        <w:rPr>
          <w:rFonts w:asciiTheme="minorEastAsia" w:hAnsiTheme="minorEastAsia"/>
          <w:sz w:val="24"/>
          <w:szCs w:val="24"/>
        </w:rPr>
      </w:pPr>
      <w:r w:rsidRPr="00677D1F">
        <w:rPr>
          <w:rFonts w:asciiTheme="minorEastAsia" w:hAnsiTheme="minorEastAsia" w:hint="eastAsia"/>
          <w:sz w:val="24"/>
          <w:szCs w:val="24"/>
        </w:rPr>
        <w:t>四氯化钛还原蒸馏工艺流程及主要产污环节见图3.4-11。</w:t>
      </w:r>
    </w:p>
    <w:p w:rsidR="00D228BE" w:rsidRPr="00677D1F" w:rsidRDefault="00703B11" w:rsidP="00677D1F">
      <w:pPr>
        <w:widowControl/>
        <w:spacing w:line="360" w:lineRule="auto"/>
        <w:contextualSpacing/>
        <w:jc w:val="center"/>
        <w:rPr>
          <w:sz w:val="24"/>
          <w:szCs w:val="24"/>
        </w:rPr>
      </w:pPr>
      <w:r w:rsidRPr="00677D1F">
        <w:rPr>
          <w:noProof/>
        </w:rPr>
        <w:drawing>
          <wp:inline distT="0" distB="0" distL="0" distR="0" wp14:anchorId="654D8C5A" wp14:editId="6B0E5839">
            <wp:extent cx="3348841" cy="508948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3502" cy="5096565"/>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sz w:val="24"/>
          <w:szCs w:val="24"/>
        </w:rPr>
      </w:pPr>
    </w:p>
    <w:p w:rsidR="00D228BE" w:rsidRPr="00677D1F" w:rsidRDefault="00332EB6" w:rsidP="00677D1F">
      <w:pPr>
        <w:widowControl/>
        <w:spacing w:line="360" w:lineRule="auto"/>
        <w:ind w:firstLineChars="200" w:firstLine="480"/>
        <w:contextualSpacing/>
        <w:rPr>
          <w:sz w:val="24"/>
          <w:szCs w:val="24"/>
        </w:rPr>
      </w:pPr>
      <w:r w:rsidRPr="00677D1F">
        <w:rPr>
          <w:rFonts w:hint="eastAsia"/>
          <w:sz w:val="24"/>
          <w:szCs w:val="24"/>
        </w:rPr>
        <w:lastRenderedPageBreak/>
        <w:t>④海锦钛破碎</w:t>
      </w:r>
    </w:p>
    <w:p w:rsidR="00D228BE" w:rsidRPr="00677D1F" w:rsidRDefault="00332EB6" w:rsidP="00677D1F">
      <w:pPr>
        <w:widowControl/>
        <w:spacing w:line="360" w:lineRule="auto"/>
        <w:ind w:firstLineChars="200" w:firstLine="480"/>
        <w:contextualSpacing/>
        <w:rPr>
          <w:sz w:val="24"/>
          <w:szCs w:val="24"/>
        </w:rPr>
      </w:pPr>
      <w:r w:rsidRPr="00677D1F">
        <w:rPr>
          <w:rFonts w:hint="eastAsia"/>
          <w:sz w:val="24"/>
          <w:szCs w:val="24"/>
        </w:rPr>
        <w:t>破碎工段将还原蒸馏工段来的钛坨用油压机进行切碎，再经三级破碎及筛分达到合格粒度，经磁选、人工挑选、混合包装。检验合格后抽空充氩气包装送至钛加工工段或成品库分级存放待售。</w:t>
      </w:r>
    </w:p>
    <w:p w:rsidR="00D228BE" w:rsidRPr="00677D1F" w:rsidRDefault="00332EB6" w:rsidP="00677D1F">
      <w:pPr>
        <w:widowControl/>
        <w:spacing w:line="360" w:lineRule="auto"/>
        <w:ind w:firstLineChars="200" w:firstLine="480"/>
        <w:contextualSpacing/>
        <w:rPr>
          <w:sz w:val="24"/>
          <w:szCs w:val="24"/>
        </w:rPr>
      </w:pPr>
      <w:r w:rsidRPr="00677D1F">
        <w:rPr>
          <w:rFonts w:hint="eastAsia"/>
          <w:sz w:val="24"/>
          <w:szCs w:val="24"/>
        </w:rPr>
        <w:t>海锦钛破碎工艺流程及产污环节见图</w:t>
      </w:r>
      <w:r w:rsidRPr="00677D1F">
        <w:rPr>
          <w:rFonts w:hint="eastAsia"/>
          <w:sz w:val="24"/>
          <w:szCs w:val="24"/>
        </w:rPr>
        <w:t>3.4-13</w:t>
      </w:r>
      <w:r w:rsidRPr="00677D1F">
        <w:rPr>
          <w:rFonts w:hint="eastAsia"/>
          <w:sz w:val="24"/>
          <w:szCs w:val="24"/>
        </w:rPr>
        <w:t>。</w:t>
      </w:r>
    </w:p>
    <w:p w:rsidR="00D228BE" w:rsidRPr="00677D1F" w:rsidRDefault="00703B11" w:rsidP="00677D1F">
      <w:pPr>
        <w:widowControl/>
        <w:spacing w:line="360" w:lineRule="auto"/>
        <w:ind w:firstLineChars="200" w:firstLine="420"/>
        <w:contextualSpacing/>
        <w:rPr>
          <w:rFonts w:ascii="宋体" w:eastAsia="宋体" w:hAnsi="宋体" w:cs="宋体"/>
          <w:color w:val="000000"/>
          <w:kern w:val="0"/>
          <w:sz w:val="24"/>
          <w:szCs w:val="24"/>
        </w:rPr>
      </w:pPr>
      <w:r w:rsidRPr="00677D1F">
        <w:rPr>
          <w:noProof/>
        </w:rPr>
        <w:drawing>
          <wp:inline distT="0" distB="0" distL="0" distR="0" wp14:anchorId="205B6265" wp14:editId="6CDA6E84">
            <wp:extent cx="5486400" cy="29584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486400" cy="2958465"/>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3.4.3.2 镁电解生产工艺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镁电解工艺系统由镁电解工段、镁精炼工段、氯压机室和尾气及事故氯气处理组成。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镁电解是将来自钛还原蒸馏工段的氯化镁(MgCl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)电解成金属镁和氯 气，电解出的熔体镁经过连续精炼炉静置精炼后送钛还原蒸馏工段还原四氯化钛、生产海绵钛，如此循环；过程中损耗的镁，外购金属镁锭补充。</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这部分补充的镁锭，由坩埚精炼炉熔化精炼，精炼后的熔体镁也送钛还原蒸馏工段。电解出的氯气经氯压机室除尘后送钛氯化工段生产TiCl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（1）电解工段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镁电解工段功能是将还原蒸馏车间产出的氯化镁电解成金属镁和氯气。金属镁送精炼工段，氯气进氯压机室。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镁电解的原料为氯化镁，电解质由氯化镁、氯化钠和氯化钾组成。MgCl2在电解槽电解成Mg和Cl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。氯气(Cl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)由氯气管排出，经氯压机室送至钛氯化工段。熔体镁定时地用真空出镁抬包抽取出来。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还原蒸馏车间产出的熔体氯化镁由抬包运输车运至镁电解工段，加入电解槽。电解槽中的气动泵连续不断地把电解质熔体送入头槽。再加入一些固体氯化钠和氯化钾，用于调解温度。加入的熔体氯化镁、固体氯化钠和氯化钾混入电解质，电解槽中直流电极通直流电进行电解除去部分电化学活性杂质，然后熔体流入精炼电解槽。杂质沉积在槽底，用气动抓斗除渣。直流电极，用水冷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精炼电解槽和多极电解槽串联在一起，精炼电解槽主要作用是稳定电解质温度、进一步除去电解质中杂质，同时电解出镁和氯气。电解出的镁和电解质一道流入多极电解槽。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多极电解槽是电解车间的主体设备，由熔体管道串联在一起，每台槽都进行电解生产，电解出镁和氯气，前面槽电解出的熔体镁和电解质一道流入下一台槽，最后一台流水线电解槽与尾槽相连。最终，全部熔体镁和电解质流入尾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尾槽，又称分离槽，是电解生产的终点。熔体镁和电解质流入尾槽后， 镁和电解质分离开来，各进入一室——镁室和电解质室。用粗镁真空抬包抽出镁室中熔体镁，天车吊运至精炼车间、加入连续精炼炉精炼。由电解质室中气动泵连续不断地把电解质送入头槽，如此循环。沉积在槽底渣， 用气动抓斗除渣。</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（2）精炼工段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精炼工段功能是将电解车间产出的液体粗镁和外购补充的镁锭精炼成为精镁，并送至还蒸车间。精炼工段配置连续精炼炉和坩埚精炼炉。连续精炼炉用于静置(精炼)电解出的熔体镁，日产能50t/d。定期排渣，定期补充熔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电解工段产出的液体镁装在粗镁真空抬包里，用天车吊运到精炼车间，并放入连续精炼炉精炼。连续精炼炉内有氯盐熔体（即来自电解槽的电解质），温度680～760℃,由水冷钢电极加热。加入的粗镁浮在氯盐面上，液镁层被熔盐加热到690～710℃，通过沉降除去粗镁中杂质。为防止镁被氧化，向炉内充氩气至微正压。精炼完成后，用精镁真空抬包抽出， 向抬包充入氩气。经炉前快速分析合格后，用精镁抬包运输车运至还蒸车间。沉在炉底的渣，用出渣抓斗由天车吊起插入炉中心的出渣井，抓取沉积于炉底的渣进行出渣。坩埚精炼炉为电阻丝加热，容量2t，用</w:t>
      </w:r>
      <w:r w:rsidRPr="00677D1F">
        <w:rPr>
          <w:rFonts w:ascii="宋体" w:eastAsia="宋体" w:hAnsi="宋体" w:cs="宋体" w:hint="eastAsia"/>
          <w:color w:val="000000"/>
          <w:kern w:val="0"/>
          <w:sz w:val="24"/>
          <w:szCs w:val="24"/>
        </w:rPr>
        <w:lastRenderedPageBreak/>
        <w:t>于熔化精炼补充的固体镁锭镁。精炼熔剂外购。坩埚精炼炉、坩埚清渣机及卫生排气主要成分是HCl。为改善操作环境，坩埚精炼炉设卫生排气，排气经尾气净化塔净化后排放。净化塔还用于净化设备维修时排出的残留氯气、投产启动期产生的氯气以及事故氯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（3）氯压机室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氯压机室功能是把电解槽中氯气抽取出来，并去除其中升华物粉尘， 将氯气送到氯化工段。氯压机室紧挨电解工段，氯压机室主要设备有袋式过滤器、氯压机、酸分离器、酸冷却器、捕滴器和溶解槽。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电解槽产出的氯气经过氯气支管汇集于氯气输送总管进入袋式过滤 器，除去升华物，顺次进入氯压机、酸分离器、捕滴器后送至透平机室进行加压后送氯化工段。酸分离器出来的酸进入酸冷却器，返回氯压机。酸冷却器为列管式换热器，由循环水冷却。袋滤器清灰采用压缩空气脉冲反吹。几天清理一次氯气总管和袋滤器，清出的升华物进入溶解槽用水溶解后送中水池加石灰处理后送污水处理站。氯压机中的硫酸浓度降至92%时排至废酸槽，然后用压缩空气除去溶解其中的氯气后外销或用于钛材清洗。</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电解氯化镁方程式：MgCl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=Mg+Cl</w:t>
      </w:r>
      <w:r w:rsidRPr="00677D1F">
        <w:rPr>
          <w:rFonts w:ascii="宋体" w:eastAsia="宋体" w:hAnsi="宋体" w:cs="宋体" w:hint="eastAsia"/>
          <w:color w:val="000000"/>
          <w:kern w:val="0"/>
          <w:sz w:val="24"/>
          <w:szCs w:val="24"/>
          <w:vertAlign w:val="subscript"/>
        </w:rPr>
        <w:t>2</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镁电解生产系统工艺设备流程见图 3.4-17，氯压机室工艺设备流程见图 3.4-18，镁电解生产系统工艺流程及产污环节见图 3.4-19。</w:t>
      </w:r>
    </w:p>
    <w:p w:rsidR="00D228BE" w:rsidRPr="00677D1F" w:rsidRDefault="00332EB6" w:rsidP="00677D1F">
      <w:pPr>
        <w:widowControl/>
        <w:spacing w:line="360" w:lineRule="auto"/>
        <w:contextualSpacing/>
        <w:jc w:val="center"/>
        <w:rPr>
          <w:rFonts w:ascii="宋体" w:eastAsia="宋体" w:hAnsi="宋体" w:cs="宋体"/>
          <w:color w:val="000000"/>
          <w:kern w:val="0"/>
          <w:sz w:val="24"/>
          <w:szCs w:val="24"/>
        </w:rPr>
      </w:pPr>
      <w:r w:rsidRPr="00677D1F">
        <w:rPr>
          <w:noProof/>
        </w:rPr>
        <w:drawing>
          <wp:inline distT="0" distB="0" distL="0" distR="0" wp14:anchorId="12CEB624" wp14:editId="1F2E440B">
            <wp:extent cx="5486400" cy="29140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486400" cy="2914015"/>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（4）尾气及事故氯气处理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尾气处理工段设置2套设备，分别处理电解系统与还原蒸馏工段废气。尾气处理工段主要设备有洗涤塔、碱液槽、渣浆泵和钛风机。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洗涤塔每组塔及配套设备组成一个净化系统。每一净化系统配有碱液槽、钛风机、泵。塔又分为喷淋碱液的洗涤塔和气液分离塔。尾气从洗涤塔进、气液分离塔出，经过风机进入烟囱。尾气从塔底进入，碱液由泵送入塔上部，喷淋下来，气液逆流。来自碱液库的碱液与水通过一定比例调节成为浓度符合要求的碱液，贮存在碱液贮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氯压机室事故氯气管接至还蒸车间尾气进塔管上，并设蝶阀进行切 换。当氯压机室发生事故、泄漏氯气时，关闭还蒸车间尾气管上蝶阀；打开氯压机室事故氯气管上蝶阀。处理完氯压机室事故氯气，蝶阀开闭状态复原。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尾气及事故氯气处理采用碱液（NaOH）吸收净化含氯尾气、氯化氢废气。氯气和氯化氢易与氢氧化钠溶液反应，生成盐。化学反应如下：</w:t>
      </w:r>
    </w:p>
    <w:p w:rsidR="00D228BE" w:rsidRPr="00677D1F" w:rsidRDefault="00332EB6" w:rsidP="00677D1F">
      <w:pPr>
        <w:widowControl/>
        <w:spacing w:line="360" w:lineRule="auto"/>
        <w:contextualSpacing/>
        <w:jc w:val="center"/>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+2NaOH＝NaClO+NaCl+H</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O</w:t>
      </w:r>
    </w:p>
    <w:p w:rsidR="00D228BE" w:rsidRPr="00677D1F" w:rsidRDefault="00332EB6" w:rsidP="00677D1F">
      <w:pPr>
        <w:widowControl/>
        <w:spacing w:line="360" w:lineRule="auto"/>
        <w:contextualSpacing/>
        <w:jc w:val="center"/>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HCl+NaOH＝NaCl+H</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O</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3.4.3.3 钛(合金)铸锭及加工工艺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（1）熔铸车间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①钛及钛合金圆锭：采用 VAR 法生产，即将烘干的海绵钛、合金元素或中间合金分别装入自动称料混料系统的储料仓内，自动称料混料系统按工艺要求，自动称重、混料，配制合格后输送到油压机，压制成电极块， 并在真空等离子焊箱上组配焊接成一次熔炼电极。电极在真空自耗电弧炉中进行一次熔炼制得一次锭，经平头后，作为二次真空自耗电极，再进行二次真空自耗电弧熔炼。 经二次熔炼制得的毛锭，经平头、扒皮、取样、探伤及锯切后，得到成品圆锭，送至锻造车间或成品库。生产工艺流程见图 3.4-20。</w:t>
      </w: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4CF51FFB" wp14:editId="72D8ACAF">
            <wp:extent cx="1575856" cy="4106174"/>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79163" cy="4114792"/>
                    </a:xfrm>
                    <a:prstGeom prst="rect">
                      <a:avLst/>
                    </a:prstGeom>
                  </pic:spPr>
                </pic:pic>
              </a:graphicData>
            </a:graphic>
          </wp:inline>
        </w:drawing>
      </w: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图 3.4-20 钛及钛合金圆锭生产工艺流程图</w:t>
      </w: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钛及钛合金扁锭：采用EBCHM法生产，即将烘干的海绵钛以及经过处理的残钛料、合金元素或中间合金分别装入自动称料混料系统的储料仓内，自动称料混料系统按工艺要求，自动称重、混料，配制合格后输送到油压机，压制成块。将原料块摆放进块状加料器内，原料块由块状加料器送入炉床内。配制合格后的原料也可直接由螺旋加料器送入炉床内。原料块在炉床内枪的扫描下进行熔炼，熔液流入炉床，在炉床内充分滞留后从炉床的前缘流入铸模。浇铸完成后，保持一定时间随后拉锭室与大气进通，与炉体分离。用起重机将制得的熔炼毛锭从拉锭室中吊出，再进行平头、铣面、取样、探伤、切定尺，得到钛及钛合金扁锭，送至板带车间。生产工艺流程见图 3.4-21。</w:t>
      </w: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703B11"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7D65A0DE" wp14:editId="3ED9690C">
            <wp:extent cx="3011214" cy="3366356"/>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1547" cy="3366729"/>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③总体工艺流程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原料准备：抛丸机组、酸洗机组、脱脂机组、拉矫机组、总切机组切头、切边废料堆放在残钛回收区，通过剪刀剪成 100×100mm 的小块料， 再进行酸洗、碱洗、漂洗、烘干除掉残钛表面的油污、锈蚀后堆放在洁净碎料堆放区。洁净碎料和海绵钛通过称重混料系统混合后装入料桶存放在原料存放区作为熔炼原料。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加料：关闭熔炼室阀后，旋转进料器就和大气连通，打开盖子，将空桶吊出，装好料的加料筒吊入，盖好盖子后抽真空，抽完真空，打开熔炼室隔离阀。</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熔炼：熔炼炉开始预热，螺纹旋转使得原料进入振动加料器，振动进料器使得桶装料进入熔池熔炼。通过 EB 枪依次对原料进行扫描，原料初熔后流入精练熔池，精练区高密度夹杂和低密度夹杂与钛熔体分离，精炼后流入拉晶坩埚，在设置的速度下进行凝固。当结晶长度达到8100m时，熔炼停止，熔炼隔离阀关闭，拉锭室下降，通过拉锭小车将拉锭室移到卸料位置卸料，之后拉锭室上升到熔炼室隔离阀位置，开始下一次熔炼。预留的拉晶室带有隔离阀，离线冷却钛锭和预抽真空可以提高熔炼效率。通过控制投料速度、电子束流的扫描图形、分辨率、频率、停留时间、拉锭速度等工艺参数，控制钛的熔炼。</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切头尾：熔炼好的钛锭头、尾杂质含量较高，切头切尾之后作为成品。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总体生产工艺流程见图 3.4-22。</w:t>
      </w: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drawing>
          <wp:inline distT="0" distB="0" distL="0" distR="0" wp14:anchorId="359FC9B3" wp14:editId="4E09B7C9">
            <wp:extent cx="3209920" cy="997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22781" cy="1001524"/>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（2）锻造车间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将熔铸车间运入的钛及钛合金铸锭装入加热炉内加热至锻造温度，然后送入快锻机进行锻造，经一火或多火锻造至接近成品尺寸。铸锭和锻坯装出炉由无轨装出料车执行，锻造时由有轨操作机辅助操作。锻造过程中， 若发现锻坯有缺陷，送入打磨工段进行处理，然后再进行锻造，锻造完的板坯、锻件和锻棒送入机加工段。板坯经铣面、刨边、切头尾等机加工后送往板带车间。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生产工艺流程见图 3.4-23。</w:t>
      </w:r>
    </w:p>
    <w:p w:rsidR="00BB1D4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drawing>
          <wp:inline distT="0" distB="0" distL="0" distR="0" wp14:anchorId="65DC791A" wp14:editId="561EC78A">
            <wp:extent cx="1294411" cy="2852287"/>
            <wp:effectExtent l="0" t="0" r="12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08418" cy="2883153"/>
                    </a:xfrm>
                    <a:prstGeom prst="rect">
                      <a:avLst/>
                    </a:prstGeom>
                  </pic:spPr>
                </pic:pic>
              </a:graphicData>
            </a:graphic>
          </wp:inline>
        </w:drawing>
      </w: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（3）板带车间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①钛板材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经检验合格后的锻造坯料运往轧制车间经加热后进行热轧，然后将热轧后的钛及钛合金热轧板经打磨、酸洗等处理后送往板材冷轧机进行冷轧，并经过冷轧、退火等几个来回轧到所需成品厚度后经精整、检查、包装后入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热轧板：坯料→加热→热轧→（中断→加热→热轧）→喷丸→ 酸洗→（退火）→水切割→包装→入库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冷轧板：热轧板→退火→喷沙/丸→酸洗→水切割→冷轧→（酸洗→ 退火→冷轧）→矫直→（成品退火→砂光）→酸洗→水切割→检查包装。</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生产工艺流程见图 3.4-24。</w:t>
      </w:r>
    </w:p>
    <w:p w:rsidR="00D228BE" w:rsidRPr="00677D1F" w:rsidRDefault="00BB1D4E" w:rsidP="00677D1F">
      <w:pPr>
        <w:widowControl/>
        <w:spacing w:line="360" w:lineRule="auto"/>
        <w:ind w:firstLineChars="200" w:firstLine="420"/>
        <w:contextualSpacing/>
        <w:jc w:val="center"/>
        <w:rPr>
          <w:rFonts w:ascii="宋体" w:eastAsia="宋体" w:hAnsi="宋体" w:cs="宋体"/>
          <w:color w:val="000000"/>
          <w:kern w:val="0"/>
          <w:sz w:val="24"/>
          <w:szCs w:val="24"/>
        </w:rPr>
      </w:pPr>
      <w:r w:rsidRPr="00677D1F">
        <w:rPr>
          <w:noProof/>
        </w:rPr>
        <w:drawing>
          <wp:inline distT="0" distB="0" distL="0" distR="0" wp14:anchorId="75D9E4F4" wp14:editId="43314D17">
            <wp:extent cx="938136" cy="40851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38182" cy="4085311"/>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②钛带材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将热轧卷坯退火后在卷材冷轧机上进行轧制，将轧到所需成品厚度的卷材经精整、检查、包装并入库。生产工艺流程见图 3.4-25。</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55674D23" wp14:editId="77071320">
            <wp:extent cx="1045028" cy="4011945"/>
            <wp:effectExtent l="0" t="0" r="317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44491" cy="4009885"/>
                    </a:xfrm>
                    <a:prstGeom prst="rect">
                      <a:avLst/>
                    </a:prstGeom>
                  </pic:spPr>
                </pic:pic>
              </a:graphicData>
            </a:graphic>
          </wp:inline>
        </w:drawing>
      </w: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（4）焊管车间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将板带车间提供的窄带放至焊接机列的开卷装置上，经开卷、成型、氩弧焊接、感应退火、涡流探伤、锯切、超声波探伤、气密性检查后包装入库，整个生产过程为连续化操作。焊管生产工艺流程详见图 3.4-26。</w:t>
      </w: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6575A38A" wp14:editId="6D0FDB24">
            <wp:extent cx="900268" cy="428699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00891" cy="4289957"/>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（5）无缝管车间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由锻造车间提供锻造锭坯，经冲孔后，感应加热至挤压温度，送入挤压机挤压成所需管坯(或锻造棒坯经感应加热，斜轧穿孔成所需管坯)。管坯经酸洗等表面处理后即可进行冷轧管。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生产工艺，分别由LG型二辊轧管机、LD型多辊冷轧管机进行轧制，并对轧后管材进行除油、真空退火。多道次轧制时，则重复上述工序，直到成品规格。成品规格管材经退火、精整、检查等包装入库。无缝管生产工艺流程详见 3.4-27。</w:t>
      </w: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BB1D4E" w:rsidRPr="00677D1F" w:rsidRDefault="00BB1D4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1456F781" wp14:editId="6761DA44">
            <wp:extent cx="1781123" cy="472637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86002" cy="4739326"/>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（6）残钛回收车间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残钛回收车间的任务是处理熔铸车间、锻造车间、板带车间、棒线车间、焊管车间和无缝管车间返回的残钛废料，处理后返回给熔铸车间使用。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铸锭及锻造切头等采用砂轮打磨、喷丸、清洗烘干后回收使用。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边角残料在剪切机或锯床上剪成合适的尺寸，然后清洗、干燥后回收使用。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屑状残钛则是先在破碎机组上进行粗破碎、细破碎、清洗烘干、筛选、磁选后回收使用。在打磨过程中会有粉尘产生，工程设置了收尘装置，经收尘后排气筒排出气体。喷丸机产生的、清洗机组产生的微量酸雾由设备随机带有的净化设备处理，车间机械通风。清洗产生的废水到污水处理站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生产工艺流程见图 3.4-28。</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2FFF4AB4" wp14:editId="6FE1B9B9">
            <wp:extent cx="3075709" cy="2112414"/>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75709" cy="2112414"/>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3.4.2.4 钠电解生产工艺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将工业精制盐机械送入到螺旋输送机内，并由该设备输送到微波干燥器中。工业精制盐经微波干燥后，盐中的水份含量下降到0.1%以下，干燥的精制盐进入盐仓中，由圆盘给料机供给电解工段。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电解槽启动后，电解质全部熔融，同时装配好钠收集系统，并接通氯气输送系统。液态的金属钠从阴极区产生并被自动连续收集到集钠罐中，氯气从阳极区产生并被氯气输送系统连续不断送往钠电解氯压机室进行除尘。在金属钠和氯气持续分离的过程中，电解质中的干燥盐含量不断下降，来自干燥工段的干燥盐经输送机，被送至每一个电解槽中， 其输送量和电解槽中电解质液位实现自动控制，用以均衡电解质配比， 保证电解槽的正常电解及生产。</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集钠罐的液态钠送至精制钠工段的精制器内，经静置完成精制后， 上部精钠用真空抽至精钠储罐，下部极少部分的杂质制成碱液，用于事故氯气处理。精钠储罐内的精钠经排钠口送至铸钠工段。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开启精钠贮罐排钠口阀门，液态精钠在压差作用下顺管道流至连续铸钠机中，被逐步冷却凝固为固态钠，经压辊和切刀的连续抽拉和切割， 形成钠锭成品，包装后入库销售。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电解产生的氯气经氯气总管进入除尘系统，除去氯气中颗粒尘垢， 经氯压机送钛氯化工段生产TiCl</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contextualSpacing/>
        <w:jc w:val="center"/>
        <w:rPr>
          <w:rFonts w:ascii="宋体" w:eastAsia="宋体" w:hAnsi="宋体" w:cs="宋体"/>
          <w:color w:val="000000"/>
          <w:kern w:val="0"/>
          <w:sz w:val="24"/>
          <w:szCs w:val="24"/>
        </w:rPr>
      </w:pPr>
      <w:r w:rsidRPr="00677D1F">
        <w:rPr>
          <w:noProof/>
        </w:rPr>
        <w:lastRenderedPageBreak/>
        <w:drawing>
          <wp:inline distT="0" distB="0" distL="0" distR="0" wp14:anchorId="419EE259" wp14:editId="075E38A4">
            <wp:extent cx="5486400" cy="375666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2"/>
                    <a:stretch>
                      <a:fillRect/>
                    </a:stretch>
                  </pic:blipFill>
                  <pic:spPr>
                    <a:xfrm>
                      <a:off x="0" y="0"/>
                      <a:ext cx="5486400" cy="3756660"/>
                    </a:xfrm>
                    <a:prstGeom prst="rect">
                      <a:avLst/>
                    </a:prstGeom>
                  </pic:spPr>
                </pic:pic>
              </a:graphicData>
            </a:graphic>
          </wp:inline>
        </w:drawing>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3.4.</w:t>
      </w:r>
      <w:r w:rsidRPr="00677D1F">
        <w:rPr>
          <w:rFonts w:ascii="宋体" w:hAnsi="宋体" w:hint="eastAsia"/>
          <w:sz w:val="28"/>
          <w:szCs w:val="28"/>
        </w:rPr>
        <w:t>5 运营期污染源强</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3.4.5.1 大气污染物</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（1）海绵钛生产工艺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①生产性粉尘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产原料在输送、配料、转运过程中散发的粉尘。钛精矿原料和残渣原料对应的料仓各设置1套收尘系统，收尘粉返回各原料的料仓中。各种成份原料输送到配料仓及配料过程中散发的粉尘设置1套收尘系统，收尘粉返回工艺流程中。原料库净化后的粉尘共通过20m排气筒排放到大气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在钛精矿熔炼及冷却工段，配料原料从在进入钛渣电炉前输送过程中会散发粉尘，各产尘点设置1套收尘系统，收尘粉返回配料仓中；成品钛渣在输送去钛渣破碎及成品库工段过程中会散发粉尘，其产尘点设置2套收尘系统，收尘粉返回工艺流程中。钛渣熔炼及冷却产生的尘经3套收尘系统净化后共通过20m排气筒排放到大气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高钛渣在进入钛渣储仓前破碎、筛分、输送及抽真空包装过程中会散发粉尘，对各散尘点采取密闭抽风并设高效除尘系统收尘后通过20m排气筒排放到大气中。设置5套收尘系统，收尘粉用料罐接收集中处理或返回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磁选后高钛渣料及石油焦输送、配料过程对各散尘点采取密闭抽风并设高效除尘系统收尘后通过20m排气筒排放到大气中，收尘粉用料罐接收集中返回流程中。本工段设置3套收尘系统。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四氯化钛制备车间的氯化原料库，富钛料及石油焦对应的料仓及输送过程会散发粉尘，对各散尘点采取密闭抽风并设高效除尘系统收尘后通过20m排气筒排放到大气中，共设置3套收尘系统。收尘粉返回各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氯化原料库的原料从输送到沸腾氯化炉各自料仓、配料及输送会散发粉尘，对各散尘点采取密闭抽风并设高效除尘系统收尘后通过20m排气筒排放到大气中，共设置3套收尘系统。收尘粉返回各工艺流程中。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②有组织废气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钛精矿熔炼会产生烟气，其主要污染物为颗粒物和二氧化硫。熔炼电炉烟气经热交换器利用余热后用于钛渣干燥，利用余热后的烟气进入脉冲布袋除尘器净化后通过45m排气筒排放到大气中，收尘粉返回工艺流程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沸腾氯化炉出来的氯化气体和排渣产生的废气经混合到旋风分离除 尘器经收后，通过配套冷凝系统和淋洗后的尾气和来自除高、低沸点杂质和除钒等冷凝后的精制尾气经水洗（两级水洗）后、再经三级碱液洗涤净化处理后通过80m烟囱排放。还蒸抽真空废气与镁系统废气一起处理排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③无组织废气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海绵钛生产的无组织废气主要是原料、贮存、输送、配料、海绵钛的输送、破碎及筛分等收尘溢失的粉尘和还原工艺设备散发的大量余热及车间内少量无组织排放的废气等，车间采用机械排风和自然通风相结合的通风措施，通过厂房顶设置天窗无组织排放到大气中。</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（2）镁电解生产工艺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①有组织废气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镁生产系统产生的废气主要来自于电解槽、澄清槽、坩埚精炼炉、工具清洗炉及坩埚清渣机；氯压机室氯气导管和袋式过滤器排出的升华物含氯气，当升华物用</w:t>
      </w:r>
      <w:r w:rsidRPr="00677D1F">
        <w:rPr>
          <w:rFonts w:ascii="宋体" w:eastAsia="宋体" w:hAnsi="宋体" w:cs="宋体" w:hint="eastAsia"/>
          <w:color w:val="000000"/>
          <w:kern w:val="0"/>
          <w:sz w:val="24"/>
          <w:szCs w:val="24"/>
        </w:rPr>
        <w:lastRenderedPageBreak/>
        <w:t>水溶解时释放出的氯气；氯压机室袋式过滤器更换布袋时需排出的残留氯气；废硫酸槽净化酸时用压缩空气吹出的氯气。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电解槽及渣分离槽渣产生的废气收集送入尾气处理工段处理。生产过程中坩埚精炼炉、工具清洗炉、坩埚清渣机产生的废气收集送入尾气处理工段处理。氯压机室氯气导管和袋式过滤器排出的升华物含氯气，当升华物用水溶解时释放出的氯气；氯压机室袋式过滤器更换布袋时需排出的残留氯气；废硫酸槽净化酸时用压缩空气吹出的氯气，收集送尾气处理工段处理。尾气处理工段设置2套洗涤系统，每套系统设置3台串联洗涤塔， 废气经碱液洗涤塔洗涤净化后通过50m高烟囱排放。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②无组织废气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镁电解槽及渣分离槽少量散至车间内无组织排放的HCl、Cl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，在厂房顶设置天窗自然通风。对镁电解槽及精炼炉散发的热量，采用局部强制通风换气措施；氯压机室工段在氯气过滤器室、氯压机室可能泄漏Cl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的区域设置事故通风，事故区域内换气次数不小于12次/时，排除的有害气体接入工艺尾气处理系统净化处理后排空；液氯储库及液氯蒸发工段对可能散发HCl、Cl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等有害气体的区域设置事故通风，换气次数不小于12次/时，排除的有害气体接入工艺尾气处理系统净化处理后排空；镁系统尾气及事故氯气处理工段对风机可能散发的微量HCl、Cl</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等有害气体，采用强制通风措施，全室换气。</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（3）钛（合金）铸锭及加工工艺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①熔铸车间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熔铸车间废气主要为酸性废气。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原料准备采用盐酸腐蚀处理表面，在使用盐酸腐蚀处理生产中所用的原料过程一部分挥发，形成酸雾，其污染物主要是盐酸雾。在酸洗槽上方采用吸气罩整个酸洗池和清洗槽通过设置在各段进出口处的抽风管与负压风机连接将酸雾引入BFN-35型钢酸雾净化塔采用碱液喷淋处理，尾气由15m高排气筒排入大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②锻造车间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锻造车间废气主要来自于燃气加热炉排放的烟气。</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③板带车间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板带生产过程中主要为板坯加热炉产生的烟气，冷轧机产生的油雾、表面处理产生的微量酸、碱，抛丸机产生的粉尘。油雾、酸、碱及烟（粉）尘均由设备随机带有的净化设备处理后外排。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④焊管车间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焊管车间废气主要为焊接烟气，厂房设置通风屋面。</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⑤无缝管车间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挤压过程有少量烟尘，厂房设置通风屋面，酸洗槽有酸雾产生，酸槽设有槽边排风装置。</w:t>
      </w:r>
    </w:p>
    <w:p w:rsidR="00D228BE" w:rsidRPr="00677D1F" w:rsidRDefault="00332EB6" w:rsidP="00677D1F">
      <w:pPr>
        <w:widowControl/>
        <w:spacing w:line="360" w:lineRule="auto"/>
        <w:ind w:firstLineChars="200" w:firstLine="480"/>
        <w:contextualSpacing/>
        <w:outlineLvl w:val="4"/>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（4）氯气生产工艺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装置开停车及事故状态时的氯气先在吸收塔内用循环槽来的碱液吸收，吸收反应后的尾气再进入吸收塔中与15%稀碱液逆流接触，吸收塔顶部的达标尾气经25m排气筒排入大气。</w:t>
      </w: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3.4.2.2 水污染物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生产废水主要来源于循环冷却系统排水、透平机及液氯蒸发排水、氯化尾气及精制尾气处理废水、氯压机室升华物溶解废水、镁电解尾气及事故氯气处理废水、氯气生产系统的螯合树脂塔排放的离子再生水、脱盐水单元混床再生时排放的过滤废盐水、电解生成的淡盐水以及高温湿氢气经冷却、洗涤、分离后产生冷凝水、洗涤水；钛加工系统的清洗废水等。生产排水分类进行处理，其中为节约新水用量，对设备冷却水设置循环水系统循环利用，本工程共设4个循环水系统；收尘渣冲渣水、四氯化钛制备尾气洗涤废液、电解系统废气洗涤废液、升华物溶解废液、加工系统产生的含酸废水先经中和处理后与其他生产废水和初期雨水一起进入废水处理站的生产废水处理设备进行处理，再采用二级反渗透处理工艺处理后用于循环水补充。生产废水处理系统处理能力200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/h。本工程最大日生产排水量1797m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本项目生活污水主要包括食堂、浴室、办公楼等处排水，生活污水量为181m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/d，经生活污水管网收集排入废水处理站的生活污水处理系统采用生活污水处理设备处理，生活污水处理系统污水处理能力为30m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/h，生活污水经处理后进入生产废水处理系统调节池与生产废水一起再进行处理，不外排。</w:t>
      </w:r>
    </w:p>
    <w:p w:rsidR="00D228BE" w:rsidRPr="00677D1F" w:rsidRDefault="00BB1D4E" w:rsidP="00677D1F">
      <w:pPr>
        <w:widowControl/>
        <w:spacing w:line="360" w:lineRule="auto"/>
        <w:contextualSpacing/>
        <w:jc w:val="center"/>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表3.4-10  运营期水污染物产排情况一览表</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2"/>
        <w:gridCol w:w="1153"/>
        <w:gridCol w:w="1404"/>
        <w:gridCol w:w="1406"/>
        <w:gridCol w:w="1702"/>
        <w:gridCol w:w="1705"/>
      </w:tblGrid>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污染源名称</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产生量</w:t>
            </w:r>
          </w:p>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（m</w:t>
            </w:r>
            <w:r w:rsidRPr="00677D1F">
              <w:rPr>
                <w:rFonts w:asciiTheme="minorEastAsia" w:eastAsiaTheme="minorEastAsia" w:hAnsiTheme="minorEastAsia" w:hint="eastAsia"/>
                <w:b/>
                <w:sz w:val="18"/>
                <w:szCs w:val="18"/>
                <w:vertAlign w:val="superscript"/>
              </w:rPr>
              <w:t>3</w:t>
            </w:r>
            <w:r w:rsidRPr="00677D1F">
              <w:rPr>
                <w:rFonts w:asciiTheme="minorEastAsia" w:eastAsiaTheme="minorEastAsia" w:hAnsiTheme="minorEastAsia" w:hint="eastAsia"/>
                <w:b/>
                <w:sz w:val="18"/>
                <w:szCs w:val="18"/>
              </w:rPr>
              <w:t>/d）</w:t>
            </w:r>
          </w:p>
        </w:tc>
        <w:tc>
          <w:tcPr>
            <w:tcW w:w="2810" w:type="dxa"/>
            <w:gridSpan w:val="2"/>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污染物</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排放方式/去向</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处理工艺</w:t>
            </w:r>
          </w:p>
        </w:tc>
      </w:tr>
      <w:tr w:rsidR="00D228BE" w:rsidRPr="00677D1F">
        <w:trPr>
          <w:trHeight w:val="340"/>
          <w:jc w:val="center"/>
        </w:trPr>
        <w:tc>
          <w:tcPr>
            <w:tcW w:w="1702" w:type="dxa"/>
            <w:vMerge/>
            <w:vAlign w:val="center"/>
          </w:tcPr>
          <w:p w:rsidR="00D228BE" w:rsidRPr="00677D1F" w:rsidRDefault="00D228BE" w:rsidP="00677D1F">
            <w:pPr>
              <w:contextualSpacing/>
              <w:jc w:val="center"/>
              <w:rPr>
                <w:rFonts w:asciiTheme="minorEastAsia" w:hAnsiTheme="minorEastAsia"/>
                <w:b/>
                <w:kern w:val="0"/>
                <w:sz w:val="18"/>
                <w:szCs w:val="18"/>
              </w:rPr>
            </w:pPr>
          </w:p>
        </w:tc>
        <w:tc>
          <w:tcPr>
            <w:tcW w:w="1153" w:type="dxa"/>
            <w:vMerge/>
            <w:vAlign w:val="center"/>
          </w:tcPr>
          <w:p w:rsidR="00D228BE" w:rsidRPr="00677D1F" w:rsidRDefault="00D228BE" w:rsidP="00677D1F">
            <w:pPr>
              <w:contextualSpacing/>
              <w:jc w:val="center"/>
              <w:rPr>
                <w:rFonts w:asciiTheme="minorEastAsia" w:hAnsiTheme="minorEastAsia"/>
                <w:b/>
                <w:kern w:val="0"/>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名称</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浓度（</w:t>
            </w:r>
            <w:r w:rsidRPr="00677D1F">
              <w:rPr>
                <w:rFonts w:asciiTheme="minorEastAsia" w:eastAsiaTheme="minorEastAsia" w:hAnsiTheme="minorEastAsia"/>
                <w:b/>
                <w:sz w:val="18"/>
                <w:szCs w:val="18"/>
              </w:rPr>
              <w:t>mg/L</w:t>
            </w:r>
            <w:r w:rsidRPr="00677D1F">
              <w:rPr>
                <w:rFonts w:asciiTheme="minorEastAsia" w:eastAsiaTheme="minorEastAsia" w:hAnsiTheme="minorEastAsia" w:hint="eastAsia"/>
                <w:b/>
                <w:sz w:val="18"/>
                <w:szCs w:val="18"/>
              </w:rPr>
              <w:t>）</w:t>
            </w:r>
          </w:p>
        </w:tc>
        <w:tc>
          <w:tcPr>
            <w:tcW w:w="1702"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705" w:type="dxa"/>
            <w:vMerge/>
            <w:vAlign w:val="center"/>
          </w:tcPr>
          <w:p w:rsidR="00D228BE" w:rsidRPr="00677D1F" w:rsidRDefault="00D228BE" w:rsidP="00677D1F">
            <w:pPr>
              <w:contextualSpacing/>
              <w:jc w:val="center"/>
              <w:rPr>
                <w:rFonts w:asciiTheme="minorEastAsia" w:hAnsiTheme="minorEastAsia"/>
                <w:kern w:val="0"/>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lastRenderedPageBreak/>
              <w:t>过滤废盐水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30</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≥20000</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间断/回用</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直接回用到化盐水系统</w:t>
            </w:r>
          </w:p>
        </w:tc>
      </w:tr>
      <w:tr w:rsidR="00D228BE" w:rsidRPr="00677D1F">
        <w:trPr>
          <w:trHeight w:val="340"/>
          <w:jc w:val="center"/>
        </w:trPr>
        <w:tc>
          <w:tcPr>
            <w:tcW w:w="1702" w:type="dxa"/>
            <w:vMerge/>
            <w:vAlign w:val="center"/>
          </w:tcPr>
          <w:p w:rsidR="00D228BE" w:rsidRPr="00677D1F" w:rsidRDefault="00D228BE" w:rsidP="00677D1F">
            <w:pPr>
              <w:contextualSpacing/>
              <w:jc w:val="center"/>
              <w:rPr>
                <w:rFonts w:asciiTheme="minorEastAsia" w:hAnsiTheme="minorEastAsia"/>
                <w:kern w:val="0"/>
                <w:sz w:val="18"/>
                <w:szCs w:val="18"/>
                <w:lang w:eastAsia="zh-CN"/>
              </w:rPr>
            </w:pPr>
          </w:p>
        </w:tc>
        <w:tc>
          <w:tcPr>
            <w:tcW w:w="1153" w:type="dxa"/>
            <w:vMerge/>
            <w:vAlign w:val="center"/>
          </w:tcPr>
          <w:p w:rsidR="00D228BE" w:rsidRPr="00677D1F" w:rsidRDefault="00D228BE" w:rsidP="00677D1F">
            <w:pPr>
              <w:contextualSpacing/>
              <w:jc w:val="center"/>
              <w:rPr>
                <w:rFonts w:asciiTheme="minorEastAsia" w:hAnsiTheme="minorEastAsia"/>
                <w:kern w:val="0"/>
                <w:sz w:val="18"/>
                <w:szCs w:val="18"/>
                <w:lang w:eastAsia="zh-CN"/>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w:t>
            </w:r>
          </w:p>
        </w:tc>
        <w:tc>
          <w:tcPr>
            <w:tcW w:w="1702"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705" w:type="dxa"/>
            <w:vMerge/>
            <w:vAlign w:val="center"/>
          </w:tcPr>
          <w:p w:rsidR="00D228BE" w:rsidRPr="00677D1F" w:rsidRDefault="00D228BE" w:rsidP="00677D1F">
            <w:pPr>
              <w:contextualSpacing/>
              <w:jc w:val="center"/>
              <w:rPr>
                <w:rFonts w:asciiTheme="minorEastAsia" w:hAnsiTheme="minorEastAsia"/>
                <w:kern w:val="0"/>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螯合树脂塔再生废水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17.4</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7-10</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间断/回用</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中和后直接回化盐系统</w:t>
            </w:r>
          </w:p>
        </w:tc>
      </w:tr>
      <w:tr w:rsidR="00D228BE" w:rsidRPr="00677D1F">
        <w:trPr>
          <w:trHeight w:val="340"/>
          <w:jc w:val="center"/>
        </w:trPr>
        <w:tc>
          <w:tcPr>
            <w:tcW w:w="1702" w:type="dxa"/>
            <w:vMerge/>
            <w:vAlign w:val="center"/>
          </w:tcPr>
          <w:p w:rsidR="00D228BE" w:rsidRPr="00677D1F" w:rsidRDefault="00D228BE" w:rsidP="00677D1F">
            <w:pPr>
              <w:contextualSpacing/>
              <w:jc w:val="center"/>
              <w:rPr>
                <w:rFonts w:asciiTheme="minorEastAsia" w:hAnsiTheme="minorEastAsia"/>
                <w:kern w:val="0"/>
                <w:sz w:val="18"/>
                <w:szCs w:val="18"/>
                <w:lang w:eastAsia="zh-CN"/>
              </w:rPr>
            </w:pPr>
          </w:p>
        </w:tc>
        <w:tc>
          <w:tcPr>
            <w:tcW w:w="1153" w:type="dxa"/>
            <w:vMerge/>
            <w:vAlign w:val="center"/>
          </w:tcPr>
          <w:p w:rsidR="00D228BE" w:rsidRPr="00677D1F" w:rsidRDefault="00D228BE" w:rsidP="00677D1F">
            <w:pPr>
              <w:contextualSpacing/>
              <w:jc w:val="center"/>
              <w:rPr>
                <w:rFonts w:asciiTheme="minorEastAsia" w:hAnsiTheme="minorEastAsia"/>
                <w:kern w:val="0"/>
                <w:sz w:val="18"/>
                <w:szCs w:val="18"/>
                <w:lang w:eastAsia="zh-CN"/>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106847</w:t>
            </w:r>
          </w:p>
        </w:tc>
        <w:tc>
          <w:tcPr>
            <w:tcW w:w="1702"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705" w:type="dxa"/>
            <w:vMerge/>
            <w:vAlign w:val="center"/>
          </w:tcPr>
          <w:p w:rsidR="00D228BE" w:rsidRPr="00677D1F" w:rsidRDefault="00D228BE" w:rsidP="00677D1F">
            <w:pPr>
              <w:contextualSpacing/>
              <w:jc w:val="center"/>
              <w:rPr>
                <w:rFonts w:asciiTheme="minorEastAsia" w:hAnsiTheme="minorEastAsia"/>
                <w:kern w:val="0"/>
                <w:sz w:val="18"/>
                <w:szCs w:val="18"/>
              </w:rPr>
            </w:pPr>
          </w:p>
        </w:tc>
      </w:tr>
      <w:tr w:rsidR="00D228BE" w:rsidRPr="00677D1F">
        <w:trPr>
          <w:trHeight w:val="340"/>
          <w:jc w:val="center"/>
        </w:trPr>
        <w:tc>
          <w:tcPr>
            <w:tcW w:w="1702"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153"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1702"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705" w:type="dxa"/>
            <w:vMerge/>
            <w:vAlign w:val="center"/>
          </w:tcPr>
          <w:p w:rsidR="00D228BE" w:rsidRPr="00677D1F" w:rsidRDefault="00D228BE" w:rsidP="00677D1F">
            <w:pPr>
              <w:contextualSpacing/>
              <w:jc w:val="center"/>
              <w:rPr>
                <w:rFonts w:asciiTheme="minorEastAsia" w:hAnsiTheme="minorEastAsia"/>
                <w:kern w:val="0"/>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氯气生产洗涤及</w:t>
            </w:r>
          </w:p>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hint="eastAsia"/>
                <w:sz w:val="18"/>
                <w:szCs w:val="18"/>
                <w:lang w:eastAsia="zh-CN"/>
              </w:rPr>
              <w:t>冷凝水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180</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NaOH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20ppm</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升华物溶解废液</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68</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3－7</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hint="eastAsia"/>
                <w:sz w:val="18"/>
                <w:szCs w:val="18"/>
                <w:lang w:eastAsia="zh-CN"/>
              </w:rPr>
              <w:t>镁电解尾气及事故氯气处理废水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60</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3－7</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连续/到污水处理站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hint="eastAsia"/>
                <w:sz w:val="18"/>
                <w:szCs w:val="18"/>
                <w:lang w:eastAsia="zh-CN"/>
              </w:rPr>
              <w:t>透平机及液氯蒸发排水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6</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3－7</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hint="eastAsia"/>
                <w:sz w:val="18"/>
                <w:szCs w:val="18"/>
                <w:lang w:eastAsia="zh-CN"/>
              </w:rPr>
              <w:t>四氯化钛制备尾气洗涤废液</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180</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3－7</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连续/到污水处理站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Cl-</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冲洗地坪排水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4</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7－8</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循环冷却系统排水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1480</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盐类</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≥1000</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7－8</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钛材加工清洗等排水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137</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生活污水</w:t>
            </w:r>
          </w:p>
        </w:tc>
        <w:tc>
          <w:tcPr>
            <w:tcW w:w="115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181</w:t>
            </w: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pH</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50</w:t>
            </w:r>
          </w:p>
        </w:tc>
        <w:tc>
          <w:tcPr>
            <w:tcW w:w="1702"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间断/到污水处理站</w:t>
            </w:r>
          </w:p>
        </w:tc>
        <w:tc>
          <w:tcPr>
            <w:tcW w:w="1705"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先到生活污水处理系统，然后到一体化净水器</w:t>
            </w: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lang w:eastAsia="zh-CN"/>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lang w:eastAsia="zh-CN"/>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SS</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3－7</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COD</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150</w:t>
            </w:r>
          </w:p>
        </w:tc>
        <w:tc>
          <w:tcPr>
            <w:tcW w:w="1702"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r w:rsidR="00D228BE" w:rsidRPr="00677D1F">
        <w:trPr>
          <w:trHeight w:val="340"/>
          <w:jc w:val="center"/>
        </w:trPr>
        <w:tc>
          <w:tcPr>
            <w:tcW w:w="1702"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15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4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氨氮</w:t>
            </w:r>
          </w:p>
        </w:tc>
        <w:tc>
          <w:tcPr>
            <w:tcW w:w="1406"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50</w:t>
            </w:r>
          </w:p>
        </w:tc>
        <w:tc>
          <w:tcPr>
            <w:tcW w:w="1702"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705"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bl>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lastRenderedPageBreak/>
        <w:t>3.4.2.3 噪声</w:t>
      </w:r>
    </w:p>
    <w:p w:rsidR="00D228BE" w:rsidRPr="00677D1F" w:rsidRDefault="00332EB6" w:rsidP="00677D1F">
      <w:pPr>
        <w:pStyle w:val="a4"/>
        <w:spacing w:line="360" w:lineRule="auto"/>
        <w:ind w:firstLineChars="200" w:firstLine="480"/>
        <w:contextualSpacing/>
        <w:jc w:val="both"/>
      </w:pPr>
      <w:r w:rsidRPr="00677D1F">
        <w:rPr>
          <w:rFonts w:asciiTheme="minorEastAsia" w:eastAsiaTheme="minorEastAsia" w:hAnsiTheme="minorEastAsia"/>
          <w:sz w:val="24"/>
          <w:szCs w:val="24"/>
        </w:rPr>
        <w:t>海绵钛生产系统的主要噪声源为成品破碎机、各类风机、空压机等， 镁生产系统主要噪声设备为氯压机、破碎机、球磨机、各类风机等，氯气生产系统主要噪声设备为氯压机、氢压机、空压机、引风机等各种机泵类。由于工程在设计中尽量采用低功率、低噪音的先进设备。本项目针对各类噪声采取了相应的防治措施，如对尾气风机设置风机房，风机设置减振装置，对空压机进出口设置消声器，将噪声设备安装于厂房内等，对噪声危害较大的工作区如空压站、海绵钛破碎工段等，则设置隔音值班室及操作工人配备个人防护用具等措施，尽量降低设备噪声影响。项目主要噪声源声级值及治理措施见表 3.4-32。</w:t>
      </w:r>
    </w:p>
    <w:p w:rsidR="00D228BE" w:rsidRPr="00677D1F" w:rsidRDefault="00332EB6" w:rsidP="00677D1F">
      <w:pPr>
        <w:tabs>
          <w:tab w:val="left" w:pos="1526"/>
        </w:tabs>
        <w:spacing w:line="195" w:lineRule="exact"/>
        <w:ind w:left="422"/>
        <w:contextualSpacing/>
        <w:jc w:val="center"/>
        <w:rPr>
          <w:rFonts w:ascii="黑体" w:eastAsia="黑体"/>
        </w:rPr>
      </w:pPr>
      <w:r w:rsidRPr="00677D1F">
        <w:rPr>
          <w:rFonts w:ascii="黑体" w:eastAsia="黑体" w:hint="eastAsia"/>
        </w:rPr>
        <w:t>表 3.4-32</w:t>
      </w:r>
      <w:r w:rsidRPr="00677D1F">
        <w:rPr>
          <w:rFonts w:ascii="黑体" w:eastAsia="黑体" w:hint="eastAsia"/>
        </w:rPr>
        <w:tab/>
        <w:t>噪声产生及治理情况</w:t>
      </w:r>
    </w:p>
    <w:tbl>
      <w:tblPr>
        <w:tblStyle w:val="TableNormal"/>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803"/>
        <w:gridCol w:w="1242"/>
        <w:gridCol w:w="1154"/>
        <w:gridCol w:w="587"/>
        <w:gridCol w:w="2568"/>
        <w:gridCol w:w="1718"/>
      </w:tblGrid>
      <w:tr w:rsidR="00D228BE" w:rsidRPr="00677D1F">
        <w:trPr>
          <w:trHeight w:val="340"/>
          <w:jc w:val="center"/>
        </w:trPr>
        <w:tc>
          <w:tcPr>
            <w:tcW w:w="1803"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工段</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设备名称</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声级值dB(A)</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数量</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治理措施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降噪效果（dB(A)）</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原料库</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厂房隔声、减震</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给料机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厂房隔声、减震</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输送机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厂房隔声、减震</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钛渣熔炼及冷却</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输送机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厂房隔声、减震</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13台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厂房隔声、减震</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铸锭机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捣炉机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采取消声、减振、隔声等措施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钛渣破碎及成品库</w:t>
            </w:r>
          </w:p>
        </w:tc>
        <w:tc>
          <w:tcPr>
            <w:tcW w:w="1242" w:type="dxa"/>
            <w:tcBorders>
              <w:bottom w:val="single" w:sz="4" w:space="0" w:color="auto"/>
            </w:tcBorders>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破碎机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给料机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输送机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提升机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采取减振、隔声、消声等措施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直线振动筛</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棒磨机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氯化原料库</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厂房隔声、减振等措施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给料机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皮带运输机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四氯化钛制备</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泵类</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196台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压缩机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风机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浓缩机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压滤机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搅拌器</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还原蒸馏</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厂房隔声、减震</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泵类</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242台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抬包拖车</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lastRenderedPageBreak/>
              <w:t>海绵钛破碎及成品库</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264台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破碎机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28台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输送机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振动筛</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砂轮机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油压机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电焊机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真空泵</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还蒸准备间</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氟塑料泵</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直流电焊机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砂轮机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砂轮切割机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r>
      <w:tr w:rsidR="00D228BE" w:rsidRPr="00677D1F">
        <w:trPr>
          <w:trHeight w:val="340"/>
          <w:jc w:val="center"/>
        </w:trPr>
        <w:tc>
          <w:tcPr>
            <w:tcW w:w="1803" w:type="dxa"/>
            <w:vMerge/>
            <w:tcBorders>
              <w:top w:val="nil"/>
            </w:tcBorders>
            <w:vAlign w:val="center"/>
          </w:tcPr>
          <w:p w:rsidR="00D228BE" w:rsidRPr="00677D1F" w:rsidRDefault="00D228BE" w:rsidP="00677D1F">
            <w:pPr>
              <w:contextualSpacing/>
              <w:jc w:val="center"/>
              <w:rPr>
                <w:rFonts w:asciiTheme="minorEastAsia" w:hAnsiTheme="minorEastAsia"/>
                <w:kern w:val="0"/>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台式钻床</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液</w:t>
            </w:r>
            <w:r w:rsidRPr="00677D1F">
              <w:rPr>
                <w:rFonts w:asciiTheme="minorEastAsia" w:eastAsiaTheme="minorEastAsia" w:hAnsiTheme="minorEastAsia" w:hint="eastAsia"/>
                <w:sz w:val="18"/>
                <w:szCs w:val="18"/>
              </w:rPr>
              <w:t>碱储库</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泵类</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spacing w:before="22"/>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vAlign w:val="center"/>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液氯储库及蒸发</w:t>
            </w: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透平压缩机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vAlign w:val="center"/>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9台</w:t>
            </w:r>
          </w:p>
        </w:tc>
        <w:tc>
          <w:tcPr>
            <w:tcW w:w="2568" w:type="dxa"/>
            <w:vAlign w:val="center"/>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风机</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vAlign w:val="center"/>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洗涤塔</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vAlign w:val="center"/>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砂浆泵</w:t>
            </w:r>
          </w:p>
        </w:tc>
        <w:tc>
          <w:tcPr>
            <w:tcW w:w="115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6台</w:t>
            </w:r>
          </w:p>
        </w:tc>
        <w:tc>
          <w:tcPr>
            <w:tcW w:w="2568" w:type="dxa"/>
            <w:vAlign w:val="center"/>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镁电解</w:t>
            </w: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13台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泵类</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离心风机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28台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精炼</w:t>
            </w: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台包运输车</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tcPr>
          <w:p w:rsidR="00D228BE" w:rsidRPr="00677D1F" w:rsidRDefault="00332EB6" w:rsidP="00677D1F">
            <w:pPr>
              <w:pStyle w:val="TableParagraph"/>
              <w:ind w:right="181"/>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水环真空泵</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电动机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ind w:left="195"/>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氯压机室</w:t>
            </w: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氯压机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泵类</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钛材加工</w:t>
            </w: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压块机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翻转机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快锻机组</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打磨机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38台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龙门铣床</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12台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龙门锯床</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龙门刨铣床</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卧式带锯床</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车床</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15台</w:t>
            </w:r>
          </w:p>
        </w:tc>
        <w:tc>
          <w:tcPr>
            <w:tcW w:w="2568" w:type="dxa"/>
          </w:tcPr>
          <w:p w:rsidR="00D228BE" w:rsidRPr="00677D1F" w:rsidRDefault="00332EB6" w:rsidP="00677D1F">
            <w:pPr>
              <w:pStyle w:val="TableParagraph"/>
              <w:ind w:right="184"/>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冷轧机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脱脂机组</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水切割机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纵横联合剪</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蔳板矫平机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纵剪机组</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板材杀光机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喷丸机组</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剪板机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圆盘锯</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剪断机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压力机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轧管机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油压挤压机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焊管机列</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16套</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精整检查机列</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8套</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移动式空压机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restart"/>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hint="eastAsia"/>
                <w:sz w:val="18"/>
                <w:szCs w:val="18"/>
              </w:rPr>
              <w:t>氯气生产</w:t>
            </w: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泵类</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51台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压缩机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冷却塔</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90</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r w:rsidR="00D228BE" w:rsidRPr="00677D1F">
        <w:trPr>
          <w:trHeight w:val="340"/>
          <w:jc w:val="center"/>
        </w:trPr>
        <w:tc>
          <w:tcPr>
            <w:tcW w:w="1803" w:type="dxa"/>
            <w:vMerge/>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242"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风机</w:t>
            </w:r>
          </w:p>
        </w:tc>
        <w:tc>
          <w:tcPr>
            <w:tcW w:w="1154"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85</w:t>
            </w:r>
          </w:p>
        </w:tc>
        <w:tc>
          <w:tcPr>
            <w:tcW w:w="587"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2台</w:t>
            </w:r>
          </w:p>
        </w:tc>
        <w:tc>
          <w:tcPr>
            <w:tcW w:w="2568" w:type="dxa"/>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采取减振、厂房隔声等措施</w:t>
            </w:r>
          </w:p>
        </w:tc>
        <w:tc>
          <w:tcPr>
            <w:tcW w:w="1718" w:type="dxa"/>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20</w:t>
            </w:r>
          </w:p>
        </w:tc>
      </w:tr>
    </w:tbl>
    <w:p w:rsidR="00D228BE" w:rsidRPr="00677D1F" w:rsidRDefault="00D228BE" w:rsidP="00677D1F">
      <w:pPr>
        <w:pStyle w:val="a4"/>
        <w:spacing w:before="4"/>
        <w:contextualSpacing/>
        <w:rPr>
          <w:rFonts w:ascii="Times New Roman"/>
          <w:sz w:val="3"/>
        </w:rPr>
      </w:pPr>
    </w:p>
    <w:p w:rsidR="00D228BE" w:rsidRPr="00677D1F" w:rsidRDefault="00D228BE" w:rsidP="00677D1F">
      <w:pPr>
        <w:contextualSpacing/>
        <w:jc w:val="center"/>
      </w:pPr>
    </w:p>
    <w:p w:rsidR="00D228BE" w:rsidRPr="00677D1F" w:rsidRDefault="00332EB6" w:rsidP="00677D1F">
      <w:pPr>
        <w:pStyle w:val="4"/>
        <w:spacing w:before="0" w:after="0" w:line="360" w:lineRule="auto"/>
        <w:contextualSpacing/>
        <w:rPr>
          <w:rFonts w:asciiTheme="minorEastAsia" w:eastAsiaTheme="minorEastAsia" w:hAnsiTheme="minorEastAsia"/>
          <w:sz w:val="24"/>
          <w:szCs w:val="24"/>
        </w:rPr>
      </w:pPr>
      <w:r w:rsidRPr="00677D1F">
        <w:rPr>
          <w:rFonts w:asciiTheme="minorEastAsia" w:eastAsiaTheme="minorEastAsia" w:hAnsiTheme="minorEastAsia" w:hint="eastAsia"/>
          <w:sz w:val="24"/>
          <w:szCs w:val="24"/>
        </w:rPr>
        <w:t>3.4.2.4 固体废物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固体废物鉴别导则（试行）》对固体废物的相关规定，本项目产生的固体废物主要为氯化炉渣、镁电解及精炼炉渣、钛渣电炉、电解槽和氯化炉的大修渣（耐火材料）、废水处理污泥、氯气生产一次盐水工序中，预处理器和膜过滤器等排出的盐泥浆等及职工的生活垃圾、废螯合树脂和离子膜。氯化炉渣回收炭后送往哈密市工业固体废弃物贮存、处置场堆放处理。电解及精炼炉渣全部送至哈密市工业固体废弃物贮存、处置场堆放处理，钛渣电炉、电解槽和氯化炉的大修渣（耐火材料）产生量为2740t/a，送往哈密市工业固体废弃物贮存、处置场堆放处理，废水处理污泥（废水处理系统的中和压滤渣）及收尘渣6800t/a，送往哈密市工业固体废弃物贮存、处置场堆放处理。一次盐水工序中，预处理器和膜过滤器等排出的盐泥浆含固率约28%采用板框压滤机进行过滤脱水，该废渣可外运送作为铺路、制砖等综合用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项目运营期产生的固体废物见表 3.4-13。</w:t>
      </w:r>
    </w:p>
    <w:p w:rsidR="00D228BE" w:rsidRPr="00677D1F" w:rsidRDefault="00332EB6" w:rsidP="00677D1F">
      <w:pPr>
        <w:tabs>
          <w:tab w:val="left" w:pos="4262"/>
        </w:tabs>
        <w:spacing w:line="360" w:lineRule="auto"/>
        <w:contextualSpacing/>
        <w:jc w:val="center"/>
        <w:outlineLvl w:val="8"/>
        <w:rPr>
          <w:rFonts w:ascii="黑体" w:eastAsia="黑体"/>
          <w:b/>
        </w:rPr>
      </w:pPr>
      <w:r w:rsidRPr="00677D1F">
        <w:rPr>
          <w:rFonts w:ascii="黑体" w:eastAsia="黑体" w:hint="eastAsia"/>
          <w:b/>
        </w:rPr>
        <w:lastRenderedPageBreak/>
        <w:t>表 3.4-13</w:t>
      </w:r>
      <w:r w:rsidR="003656C8" w:rsidRPr="00677D1F">
        <w:rPr>
          <w:rFonts w:ascii="黑体" w:eastAsia="黑体" w:hint="eastAsia"/>
          <w:b/>
        </w:rPr>
        <w:t xml:space="preserve">  </w:t>
      </w:r>
      <w:r w:rsidRPr="00677D1F">
        <w:rPr>
          <w:rFonts w:ascii="黑体" w:eastAsia="黑体" w:hint="eastAsia"/>
          <w:b/>
        </w:rPr>
        <w:t>固体废物排放汇总表</w:t>
      </w:r>
    </w:p>
    <w:tbl>
      <w:tblPr>
        <w:tblStyle w:val="TableNormal"/>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1"/>
        <w:gridCol w:w="1644"/>
        <w:gridCol w:w="1320"/>
        <w:gridCol w:w="1704"/>
        <w:gridCol w:w="1511"/>
        <w:gridCol w:w="2152"/>
      </w:tblGrid>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序号</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名称</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产生量</w:t>
            </w:r>
          </w:p>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hint="eastAsia"/>
                <w:b/>
                <w:sz w:val="18"/>
                <w:szCs w:val="18"/>
              </w:rPr>
              <w:t>（</w:t>
            </w:r>
            <w:r w:rsidRPr="00677D1F">
              <w:rPr>
                <w:rFonts w:asciiTheme="minorEastAsia" w:eastAsiaTheme="minorEastAsia" w:hAnsiTheme="minorEastAsia"/>
                <w:b/>
                <w:sz w:val="18"/>
                <w:szCs w:val="18"/>
              </w:rPr>
              <w:t>t/a</w:t>
            </w:r>
            <w:r w:rsidRPr="00677D1F">
              <w:rPr>
                <w:rFonts w:asciiTheme="minorEastAsia" w:eastAsiaTheme="minorEastAsia" w:hAnsiTheme="minorEastAsia" w:hint="eastAsia"/>
                <w:b/>
                <w:sz w:val="18"/>
                <w:szCs w:val="18"/>
              </w:rPr>
              <w:t>）</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组成及特性数据</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废物类别</w:t>
            </w:r>
          </w:p>
        </w:tc>
        <w:tc>
          <w:tcPr>
            <w:tcW w:w="2152" w:type="dxa"/>
            <w:vAlign w:val="center"/>
          </w:tcPr>
          <w:p w:rsidR="00D228BE" w:rsidRPr="00677D1F" w:rsidRDefault="00332EB6" w:rsidP="00677D1F">
            <w:pPr>
              <w:pStyle w:val="TableParagraph"/>
              <w:tabs>
                <w:tab w:val="left" w:pos="431"/>
              </w:tabs>
              <w:contextualSpacing/>
              <w:jc w:val="center"/>
              <w:rPr>
                <w:rFonts w:asciiTheme="minorEastAsia" w:eastAsiaTheme="minorEastAsia" w:hAnsiTheme="minorEastAsia"/>
                <w:b/>
                <w:sz w:val="18"/>
                <w:szCs w:val="18"/>
              </w:rPr>
            </w:pPr>
            <w:r w:rsidRPr="00677D1F">
              <w:rPr>
                <w:rFonts w:asciiTheme="minorEastAsia" w:eastAsiaTheme="minorEastAsia" w:hAnsiTheme="minorEastAsia"/>
                <w:b/>
                <w:sz w:val="18"/>
                <w:szCs w:val="18"/>
              </w:rPr>
              <w:t>去向</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生活垃圾</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367</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杂物</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垃圾填埋场</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污泥</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6800</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氯化钙和杂物</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固体废物填埋场处理</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3</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收尘渣</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14292.45</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氯化钙和杂物</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固体废物填埋场处理</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氯化炉渣</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4590.02</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Si、铁等</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固体废物填埋场处理</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5</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电解及精炼炉渣</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2230.8</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杂物等</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固体废物填埋场处理</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6</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大修渣</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2740</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耐火材料等</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固体废物填埋场处理</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7</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盐泥滤饼</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13611.51</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aCl:5；SS:9； CaCO</w:t>
            </w:r>
            <w:r w:rsidRPr="00677D1F">
              <w:rPr>
                <w:rFonts w:asciiTheme="minorEastAsia" w:eastAsiaTheme="minorEastAsia" w:hAnsiTheme="minorEastAsia"/>
                <w:sz w:val="18"/>
                <w:szCs w:val="18"/>
                <w:vertAlign w:val="subscript"/>
                <w:lang w:eastAsia="zh-CN"/>
              </w:rPr>
              <w:t>3</w:t>
            </w:r>
            <w:r w:rsidRPr="00677D1F">
              <w:rPr>
                <w:rFonts w:asciiTheme="minorEastAsia" w:eastAsiaTheme="minorEastAsia" w:hAnsiTheme="minorEastAsia"/>
                <w:sz w:val="18"/>
                <w:szCs w:val="18"/>
                <w:lang w:eastAsia="zh-CN"/>
              </w:rPr>
              <w:t>:34.6； Mg(OH)</w:t>
            </w:r>
            <w:r w:rsidRPr="00677D1F">
              <w:rPr>
                <w:rFonts w:asciiTheme="minorEastAsia" w:eastAsiaTheme="minorEastAsia" w:hAnsiTheme="minorEastAsia"/>
                <w:sz w:val="18"/>
                <w:szCs w:val="18"/>
                <w:vertAlign w:val="subscript"/>
                <w:lang w:eastAsia="zh-CN"/>
              </w:rPr>
              <w:t>2</w:t>
            </w:r>
            <w:r w:rsidRPr="00677D1F">
              <w:rPr>
                <w:rFonts w:asciiTheme="minorEastAsia" w:eastAsiaTheme="minorEastAsia" w:hAnsiTheme="minorEastAsia"/>
                <w:sz w:val="18"/>
                <w:szCs w:val="18"/>
                <w:lang w:eastAsia="zh-CN"/>
              </w:rPr>
              <w:t>:14.5；</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一般废物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外运送作为铺路、</w:t>
            </w:r>
          </w:p>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制砖等综合用料</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8</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废离子膜</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0.1</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全氟磺酸树脂/全氟羧酸树脂等</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危险废物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自治区危险废物处置中心</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废离子交换树脂</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0.288</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苯乙烯/二乙烯苯共聚物</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危险废物</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lang w:eastAsia="zh-CN"/>
              </w:rPr>
            </w:pPr>
            <w:r w:rsidRPr="00677D1F">
              <w:rPr>
                <w:rFonts w:asciiTheme="minorEastAsia" w:eastAsiaTheme="minorEastAsia" w:hAnsiTheme="minorEastAsia"/>
                <w:sz w:val="18"/>
                <w:szCs w:val="18"/>
                <w:lang w:eastAsia="zh-CN"/>
              </w:rPr>
              <w:t>自治区危险废物处置中心</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10</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干燥废硫酸</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982</w:t>
            </w:r>
          </w:p>
        </w:tc>
        <w:tc>
          <w:tcPr>
            <w:tcW w:w="170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H</w:t>
            </w:r>
            <w:r w:rsidRPr="00677D1F">
              <w:rPr>
                <w:rFonts w:asciiTheme="minorEastAsia" w:eastAsiaTheme="minorEastAsia" w:hAnsiTheme="minorEastAsia"/>
                <w:sz w:val="18"/>
                <w:szCs w:val="18"/>
                <w:vertAlign w:val="subscript"/>
              </w:rPr>
              <w:t>2</w:t>
            </w:r>
            <w:r w:rsidRPr="00677D1F">
              <w:rPr>
                <w:rFonts w:asciiTheme="minorEastAsia" w:eastAsiaTheme="minorEastAsia" w:hAnsiTheme="minorEastAsia"/>
                <w:sz w:val="18"/>
                <w:szCs w:val="18"/>
              </w:rPr>
              <w:t>SO</w:t>
            </w:r>
            <w:r w:rsidRPr="00677D1F">
              <w:rPr>
                <w:rFonts w:asciiTheme="minorEastAsia" w:eastAsiaTheme="minorEastAsia" w:hAnsiTheme="minorEastAsia"/>
                <w:sz w:val="18"/>
                <w:szCs w:val="18"/>
                <w:vertAlign w:val="subscript"/>
              </w:rPr>
              <w:t>4</w:t>
            </w:r>
            <w:r w:rsidRPr="00677D1F">
              <w:rPr>
                <w:rFonts w:asciiTheme="minorEastAsia" w:eastAsiaTheme="minorEastAsia" w:hAnsiTheme="minorEastAsia"/>
                <w:sz w:val="18"/>
                <w:szCs w:val="18"/>
              </w:rPr>
              <w:t>:75%</w:t>
            </w:r>
          </w:p>
        </w:tc>
        <w:tc>
          <w:tcPr>
            <w:tcW w:w="151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废液</w:t>
            </w:r>
          </w:p>
        </w:tc>
        <w:tc>
          <w:tcPr>
            <w:tcW w:w="2152"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外售</w:t>
            </w:r>
          </w:p>
        </w:tc>
      </w:tr>
      <w:tr w:rsidR="00D228BE" w:rsidRPr="00677D1F">
        <w:trPr>
          <w:trHeight w:val="340"/>
          <w:jc w:val="center"/>
        </w:trPr>
        <w:tc>
          <w:tcPr>
            <w:tcW w:w="741"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11</w:t>
            </w:r>
          </w:p>
        </w:tc>
        <w:tc>
          <w:tcPr>
            <w:tcW w:w="1644"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合计</w:t>
            </w:r>
          </w:p>
        </w:tc>
        <w:tc>
          <w:tcPr>
            <w:tcW w:w="1320" w:type="dxa"/>
            <w:vAlign w:val="center"/>
          </w:tcPr>
          <w:p w:rsidR="00D228BE" w:rsidRPr="00677D1F" w:rsidRDefault="00332EB6" w:rsidP="00677D1F">
            <w:pPr>
              <w:pStyle w:val="TableParagraph"/>
              <w:contextualSpacing/>
              <w:jc w:val="center"/>
              <w:rPr>
                <w:rFonts w:asciiTheme="minorEastAsia" w:eastAsiaTheme="minorEastAsia" w:hAnsiTheme="minorEastAsia"/>
                <w:sz w:val="18"/>
                <w:szCs w:val="18"/>
              </w:rPr>
            </w:pPr>
            <w:r w:rsidRPr="00677D1F">
              <w:rPr>
                <w:rFonts w:asciiTheme="minorEastAsia" w:eastAsiaTheme="minorEastAsia" w:hAnsiTheme="minorEastAsia"/>
                <w:sz w:val="18"/>
                <w:szCs w:val="18"/>
              </w:rPr>
              <w:t>45614.17</w:t>
            </w:r>
          </w:p>
        </w:tc>
        <w:tc>
          <w:tcPr>
            <w:tcW w:w="1704"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1511"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c>
          <w:tcPr>
            <w:tcW w:w="2152" w:type="dxa"/>
            <w:vAlign w:val="center"/>
          </w:tcPr>
          <w:p w:rsidR="00D228BE" w:rsidRPr="00677D1F" w:rsidRDefault="00D228BE" w:rsidP="00677D1F">
            <w:pPr>
              <w:pStyle w:val="TableParagraph"/>
              <w:contextualSpacing/>
              <w:jc w:val="center"/>
              <w:rPr>
                <w:rFonts w:asciiTheme="minorEastAsia" w:eastAsiaTheme="minorEastAsia" w:hAnsiTheme="minorEastAsia"/>
                <w:sz w:val="18"/>
                <w:szCs w:val="18"/>
              </w:rPr>
            </w:pPr>
          </w:p>
        </w:tc>
      </w:tr>
    </w:tbl>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3.</w:t>
      </w:r>
      <w:r w:rsidRPr="00677D1F">
        <w:rPr>
          <w:rFonts w:ascii="宋体" w:hAnsi="宋体" w:hint="eastAsia"/>
          <w:bCs w:val="0"/>
          <w:kern w:val="2"/>
          <w:sz w:val="30"/>
          <w:szCs w:val="30"/>
        </w:rPr>
        <w:t>6 清洁生产分析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清洁生产是我国工业可持续发展的一项重要战略，也是实现我国污染控制重点由末端控制向生产过程转变的重大措施。其实质是一种物料和能源消耗量最少化的人类生产活动的规划和管理，将废物减量化、资源化和无害化，或消灭于生产过程中。以科学管理、技术进步为手段，通过节能、降耗、减污，提高污染防治效果，降低污染防治费用，消除和减少工业生产对人体健康和环境的影响。</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中华人民共和国清洁生产促进法》第二条对清洁生产作了明确的定义：“本法所称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第十八条规定“新建、改建和扩建项目应当进行环境影响评价，对原料使用、资源消耗、资源综合利用以及污染物产生与处置等进行分析论证，优先采用资源利用率高以及污染物产生量少的清洁生产技术、工艺和设备。</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sectPr w:rsidR="00D228BE" w:rsidRPr="00677D1F" w:rsidSect="008D5F62">
          <w:headerReference w:type="default" r:id="rId33"/>
          <w:footerReference w:type="default" r:id="rId34"/>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4 环境现状调查与评价</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4.1</w:t>
      </w:r>
      <w:r w:rsidRPr="00677D1F">
        <w:rPr>
          <w:rFonts w:ascii="宋体" w:hAnsi="宋体" w:hint="eastAsia"/>
          <w:bCs w:val="0"/>
          <w:kern w:val="2"/>
          <w:sz w:val="30"/>
          <w:szCs w:val="30"/>
        </w:rPr>
        <w:t xml:space="preserve"> 自然环境现状调查与评价</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4.1.1</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地理位置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哈密市位于新疆维吾尔自治区东部，地理坐标介于东经</w:t>
      </w:r>
      <w:r w:rsidRPr="00677D1F">
        <w:rPr>
          <w:rFonts w:ascii="宋体" w:eastAsia="宋体" w:hAnsi="宋体" w:cs="宋体"/>
          <w:color w:val="000000"/>
          <w:kern w:val="0"/>
          <w:sz w:val="24"/>
          <w:szCs w:val="24"/>
        </w:rPr>
        <w:t>91°08′</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96°23′</w:t>
      </w:r>
      <w:r w:rsidRPr="00677D1F">
        <w:rPr>
          <w:rFonts w:ascii="宋体" w:eastAsia="宋体" w:hAnsi="宋体" w:cs="宋体" w:hint="eastAsia"/>
          <w:color w:val="000000"/>
          <w:kern w:val="0"/>
          <w:sz w:val="24"/>
          <w:szCs w:val="24"/>
        </w:rPr>
        <w:t>，北纬</w:t>
      </w:r>
      <w:r w:rsidRPr="00677D1F">
        <w:rPr>
          <w:rFonts w:ascii="宋体" w:eastAsia="宋体" w:hAnsi="宋体" w:cs="宋体"/>
          <w:color w:val="000000"/>
          <w:kern w:val="0"/>
          <w:sz w:val="24"/>
          <w:szCs w:val="24"/>
        </w:rPr>
        <w:t>40°43′</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43°43′</w:t>
      </w:r>
      <w:r w:rsidRPr="00677D1F">
        <w:rPr>
          <w:rFonts w:ascii="宋体" w:eastAsia="宋体" w:hAnsi="宋体" w:cs="宋体" w:hint="eastAsia"/>
          <w:color w:val="000000"/>
          <w:kern w:val="0"/>
          <w:sz w:val="24"/>
          <w:szCs w:val="24"/>
        </w:rPr>
        <w:t>之间。东连甘肃河西走廊，西接吐鲁番地区的鄯善县，北临巴里坤哈萨克自治县和伊吾县，南与巴音郭楞蒙古自治州相连，东北与蒙古人民共和国比邻。市区面积</w:t>
      </w:r>
      <w:r w:rsidRPr="00677D1F">
        <w:rPr>
          <w:rFonts w:ascii="宋体" w:eastAsia="宋体" w:hAnsi="宋体" w:cs="宋体"/>
          <w:color w:val="000000"/>
          <w:kern w:val="0"/>
          <w:sz w:val="24"/>
          <w:szCs w:val="24"/>
        </w:rPr>
        <w:t>27.98km</w:t>
      </w:r>
      <w:r w:rsidRPr="00677D1F">
        <w:rPr>
          <w:rFonts w:ascii="宋体" w:eastAsia="宋体" w:hAnsi="宋体" w:cs="宋体" w:hint="eastAsia"/>
          <w:color w:val="000000"/>
          <w:kern w:val="0"/>
          <w:sz w:val="24"/>
          <w:szCs w:val="24"/>
        </w:rPr>
        <w:t>，城区西距乌鲁木齐市</w:t>
      </w:r>
      <w:r w:rsidRPr="00677D1F">
        <w:rPr>
          <w:rFonts w:ascii="宋体" w:eastAsia="宋体" w:hAnsi="宋体" w:cs="宋体"/>
          <w:color w:val="000000"/>
          <w:kern w:val="0"/>
          <w:sz w:val="24"/>
          <w:szCs w:val="24"/>
        </w:rPr>
        <w:t>550km</w:t>
      </w:r>
      <w:r w:rsidRPr="00677D1F">
        <w:rPr>
          <w:rFonts w:ascii="宋体" w:eastAsia="宋体" w:hAnsi="宋体" w:cs="宋体" w:hint="eastAsia"/>
          <w:color w:val="000000"/>
          <w:kern w:val="0"/>
          <w:sz w:val="24"/>
          <w:szCs w:val="24"/>
        </w:rPr>
        <w:t>，东距星星峡约</w:t>
      </w:r>
      <w:r w:rsidRPr="00677D1F">
        <w:rPr>
          <w:rFonts w:ascii="宋体" w:eastAsia="宋体" w:hAnsi="宋体" w:cs="宋体"/>
          <w:color w:val="000000"/>
          <w:kern w:val="0"/>
          <w:sz w:val="24"/>
          <w:szCs w:val="24"/>
        </w:rPr>
        <w:t>200km</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本项目位于新疆维吾尔自治区哈密市哈密工业园区重工业加工区。哈密工业园区重工业加工区位于哈密市西南部，距哈密市环城南路</w:t>
      </w:r>
      <w:r w:rsidRPr="00677D1F">
        <w:rPr>
          <w:rFonts w:ascii="宋体" w:eastAsia="宋体" w:hAnsi="宋体" w:cs="宋体"/>
          <w:color w:val="000000"/>
          <w:kern w:val="0"/>
          <w:sz w:val="24"/>
          <w:szCs w:val="24"/>
        </w:rPr>
        <w:t>10km</w:t>
      </w:r>
      <w:r w:rsidRPr="00677D1F">
        <w:rPr>
          <w:rFonts w:ascii="宋体" w:eastAsia="宋体" w:hAnsi="宋体" w:cs="宋体" w:hint="eastAsia"/>
          <w:color w:val="000000"/>
          <w:kern w:val="0"/>
          <w:sz w:val="24"/>
          <w:szCs w:val="24"/>
        </w:rPr>
        <w:t>，距哈密市火车站</w:t>
      </w:r>
      <w:r w:rsidRPr="00677D1F">
        <w:rPr>
          <w:rFonts w:ascii="宋体" w:eastAsia="宋体" w:hAnsi="宋体" w:cs="宋体"/>
          <w:color w:val="000000"/>
          <w:kern w:val="0"/>
          <w:sz w:val="24"/>
          <w:szCs w:val="24"/>
        </w:rPr>
        <w:t>16km</w:t>
      </w:r>
      <w:r w:rsidRPr="00677D1F">
        <w:rPr>
          <w:rFonts w:ascii="宋体" w:eastAsia="宋体" w:hAnsi="宋体" w:cs="宋体" w:hint="eastAsia"/>
          <w:color w:val="000000"/>
          <w:kern w:val="0"/>
          <w:sz w:val="24"/>
          <w:szCs w:val="24"/>
        </w:rPr>
        <w:t>，北距</w:t>
      </w:r>
      <w:r w:rsidRPr="00677D1F">
        <w:rPr>
          <w:rFonts w:ascii="宋体" w:eastAsia="宋体" w:hAnsi="宋体" w:cs="宋体"/>
          <w:color w:val="000000"/>
          <w:kern w:val="0"/>
          <w:sz w:val="24"/>
          <w:szCs w:val="24"/>
        </w:rPr>
        <w:t>312</w:t>
      </w:r>
      <w:r w:rsidRPr="00677D1F">
        <w:rPr>
          <w:rFonts w:ascii="宋体" w:eastAsia="宋体" w:hAnsi="宋体" w:cs="宋体" w:hint="eastAsia"/>
          <w:color w:val="000000"/>
          <w:kern w:val="0"/>
          <w:sz w:val="24"/>
          <w:szCs w:val="24"/>
        </w:rPr>
        <w:t>国道</w:t>
      </w:r>
      <w:r w:rsidRPr="00677D1F">
        <w:rPr>
          <w:rFonts w:ascii="宋体" w:eastAsia="宋体" w:hAnsi="宋体" w:cs="宋体"/>
          <w:color w:val="000000"/>
          <w:kern w:val="0"/>
          <w:sz w:val="24"/>
          <w:szCs w:val="24"/>
        </w:rPr>
        <w:t>22km</w:t>
      </w:r>
      <w:r w:rsidRPr="00677D1F">
        <w:rPr>
          <w:rFonts w:ascii="宋体" w:eastAsia="宋体" w:hAnsi="宋体" w:cs="宋体" w:hint="eastAsia"/>
          <w:color w:val="000000"/>
          <w:kern w:val="0"/>
          <w:sz w:val="24"/>
          <w:szCs w:val="24"/>
        </w:rPr>
        <w:t>，与哈若公路毗邻。拟建项目厂址东、南西、北面是未规划用地，东面与</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（源银一、二线）</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（南泽线）电力线路廊道、哈密</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罗布泊供水管线、哈密</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罗布泊排水管线距离为</w:t>
      </w:r>
      <w:r w:rsidRPr="00677D1F">
        <w:rPr>
          <w:rFonts w:ascii="宋体" w:eastAsia="宋体" w:hAnsi="宋体" w:cs="宋体"/>
          <w:color w:val="000000"/>
          <w:kern w:val="0"/>
          <w:sz w:val="24"/>
          <w:szCs w:val="24"/>
        </w:rPr>
        <w:t>19300m</w:t>
      </w:r>
      <w:r w:rsidRPr="00677D1F">
        <w:rPr>
          <w:rFonts w:ascii="宋体" w:eastAsia="宋体" w:hAnsi="宋体" w:cs="宋体" w:hint="eastAsia"/>
          <w:color w:val="000000"/>
          <w:kern w:val="0"/>
          <w:sz w:val="24"/>
          <w:szCs w:val="24"/>
        </w:rPr>
        <w:t>，与哈罗铁路距离超过</w:t>
      </w:r>
      <w:r w:rsidRPr="00677D1F">
        <w:rPr>
          <w:rFonts w:ascii="宋体" w:eastAsia="宋体" w:hAnsi="宋体" w:cs="宋体"/>
          <w:color w:val="000000"/>
          <w:kern w:val="0"/>
          <w:sz w:val="24"/>
          <w:szCs w:val="24"/>
        </w:rPr>
        <w:t>2000m</w:t>
      </w:r>
      <w:r w:rsidRPr="00677D1F">
        <w:rPr>
          <w:rFonts w:ascii="宋体" w:eastAsia="宋体" w:hAnsi="宋体" w:cs="宋体" w:hint="eastAsia"/>
          <w:color w:val="000000"/>
          <w:kern w:val="0"/>
          <w:sz w:val="24"/>
          <w:szCs w:val="24"/>
        </w:rPr>
        <w:t>，与未规划用地之间有园区规划公路，北面厂界</w:t>
      </w:r>
      <w:r w:rsidRPr="00677D1F">
        <w:rPr>
          <w:rFonts w:ascii="宋体" w:eastAsia="宋体" w:hAnsi="宋体" w:cs="宋体"/>
          <w:color w:val="000000"/>
          <w:kern w:val="0"/>
          <w:sz w:val="24"/>
          <w:szCs w:val="24"/>
        </w:rPr>
        <w:t>200m</w:t>
      </w:r>
      <w:r w:rsidRPr="00677D1F">
        <w:rPr>
          <w:rFonts w:ascii="宋体" w:eastAsia="宋体" w:hAnsi="宋体" w:cs="宋体" w:hint="eastAsia"/>
          <w:color w:val="000000"/>
          <w:kern w:val="0"/>
          <w:sz w:val="24"/>
          <w:szCs w:val="24"/>
        </w:rPr>
        <w:t>以外埋地西气东输</w:t>
      </w:r>
      <w:r w:rsidRPr="00677D1F">
        <w:rPr>
          <w:rFonts w:ascii="宋体" w:eastAsia="宋体" w:hAnsi="宋体" w:cs="宋体"/>
          <w:color w:val="000000"/>
          <w:kern w:val="0"/>
          <w:sz w:val="24"/>
          <w:szCs w:val="24"/>
        </w:rPr>
        <w:t>Φ1000</w:t>
      </w:r>
      <w:r w:rsidRPr="00677D1F">
        <w:rPr>
          <w:rFonts w:ascii="宋体" w:eastAsia="宋体" w:hAnsi="宋体" w:cs="宋体" w:hint="eastAsia"/>
          <w:color w:val="000000"/>
          <w:kern w:val="0"/>
          <w:sz w:val="24"/>
          <w:szCs w:val="24"/>
        </w:rPr>
        <w:t>天然气管道，埋地天然气管道以北星光大道为目前园区进出公路。规划中东西道路从北至南有星光大道、友谊大道、伊吾大道、</w:t>
      </w:r>
      <w:r w:rsidRPr="00677D1F">
        <w:rPr>
          <w:rFonts w:ascii="宋体" w:eastAsia="宋体" w:hAnsi="宋体" w:cs="宋体"/>
          <w:color w:val="000000"/>
          <w:kern w:val="0"/>
          <w:sz w:val="24"/>
          <w:szCs w:val="24"/>
        </w:rPr>
        <w:t>P</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O</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M</w:t>
      </w:r>
      <w:r w:rsidRPr="00677D1F">
        <w:rPr>
          <w:rFonts w:ascii="宋体" w:eastAsia="宋体" w:hAnsi="宋体" w:cs="宋体" w:hint="eastAsia"/>
          <w:color w:val="000000"/>
          <w:kern w:val="0"/>
          <w:sz w:val="24"/>
          <w:szCs w:val="24"/>
        </w:rPr>
        <w:t>等未规划道路，道路间隔约为</w:t>
      </w:r>
      <w:r w:rsidRPr="00677D1F">
        <w:rPr>
          <w:rFonts w:ascii="宋体" w:eastAsia="宋体" w:hAnsi="宋体" w:cs="宋体"/>
          <w:color w:val="000000"/>
          <w:kern w:val="0"/>
          <w:sz w:val="24"/>
          <w:szCs w:val="24"/>
        </w:rPr>
        <w:t>600m</w:t>
      </w:r>
      <w:r w:rsidRPr="00677D1F">
        <w:rPr>
          <w:rFonts w:ascii="宋体" w:eastAsia="宋体" w:hAnsi="宋体" w:cs="宋体" w:hint="eastAsia"/>
          <w:color w:val="000000"/>
          <w:kern w:val="0"/>
          <w:sz w:val="24"/>
          <w:szCs w:val="24"/>
        </w:rPr>
        <w:t>，南北道路从东至西有湘江路、丽江路、</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B</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C</w:t>
      </w:r>
      <w:r w:rsidRPr="00677D1F">
        <w:rPr>
          <w:rFonts w:ascii="宋体" w:eastAsia="宋体" w:hAnsi="宋体" w:cs="宋体" w:hint="eastAsia"/>
          <w:color w:val="000000"/>
          <w:kern w:val="0"/>
          <w:sz w:val="24"/>
          <w:szCs w:val="24"/>
        </w:rPr>
        <w:t>等未规划道路，道路间隔约为</w:t>
      </w:r>
      <w:r w:rsidRPr="00677D1F">
        <w:rPr>
          <w:rFonts w:ascii="宋体" w:eastAsia="宋体" w:hAnsi="宋体" w:cs="宋体"/>
          <w:color w:val="000000"/>
          <w:kern w:val="0"/>
          <w:sz w:val="24"/>
          <w:szCs w:val="24"/>
        </w:rPr>
        <w:t>375m</w:t>
      </w:r>
      <w:r w:rsidRPr="00677D1F">
        <w:rPr>
          <w:rFonts w:ascii="宋体" w:eastAsia="宋体" w:hAnsi="宋体" w:cs="宋体" w:hint="eastAsia"/>
          <w:color w:val="000000"/>
          <w:kern w:val="0"/>
          <w:sz w:val="24"/>
          <w:szCs w:val="24"/>
        </w:rPr>
        <w:t>，项目用地在星光大道与</w:t>
      </w:r>
      <w:r w:rsidRPr="00677D1F">
        <w:rPr>
          <w:rFonts w:ascii="宋体" w:eastAsia="宋体" w:hAnsi="宋体" w:cs="宋体"/>
          <w:color w:val="000000"/>
          <w:kern w:val="0"/>
          <w:sz w:val="24"/>
          <w:szCs w:val="24"/>
        </w:rPr>
        <w:t>O</w:t>
      </w:r>
      <w:r w:rsidRPr="00677D1F">
        <w:rPr>
          <w:rFonts w:ascii="宋体" w:eastAsia="宋体" w:hAnsi="宋体" w:cs="宋体" w:hint="eastAsia"/>
          <w:color w:val="000000"/>
          <w:kern w:val="0"/>
          <w:sz w:val="24"/>
          <w:szCs w:val="24"/>
        </w:rPr>
        <w:t>道、</w:t>
      </w:r>
      <w:r w:rsidRPr="00677D1F">
        <w:rPr>
          <w:rFonts w:ascii="宋体" w:eastAsia="宋体" w:hAnsi="宋体" w:cs="宋体"/>
          <w:color w:val="000000"/>
          <w:kern w:val="0"/>
          <w:sz w:val="24"/>
          <w:szCs w:val="24"/>
        </w:rPr>
        <w:t>C</w:t>
      </w:r>
      <w:r w:rsidRPr="00677D1F">
        <w:rPr>
          <w:rFonts w:ascii="宋体" w:eastAsia="宋体" w:hAnsi="宋体" w:cs="宋体" w:hint="eastAsia"/>
          <w:color w:val="000000"/>
          <w:kern w:val="0"/>
          <w:sz w:val="24"/>
          <w:szCs w:val="24"/>
        </w:rPr>
        <w:t>道与</w:t>
      </w:r>
      <w:r w:rsidRPr="00677D1F">
        <w:rPr>
          <w:rFonts w:ascii="宋体" w:eastAsia="宋体" w:hAnsi="宋体" w:cs="宋体"/>
          <w:color w:val="000000"/>
          <w:kern w:val="0"/>
          <w:sz w:val="24"/>
          <w:szCs w:val="24"/>
        </w:rPr>
        <w:t>G</w:t>
      </w:r>
      <w:r w:rsidRPr="00677D1F">
        <w:rPr>
          <w:rFonts w:ascii="宋体" w:eastAsia="宋体" w:hAnsi="宋体" w:cs="宋体" w:hint="eastAsia"/>
          <w:color w:val="000000"/>
          <w:kern w:val="0"/>
          <w:sz w:val="24"/>
          <w:szCs w:val="24"/>
        </w:rPr>
        <w:t>道之间。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厂址中心点地理坐标为东经</w:t>
      </w:r>
      <w:r w:rsidRPr="00677D1F">
        <w:rPr>
          <w:rFonts w:ascii="宋体" w:eastAsia="宋体" w:hAnsi="宋体" w:cs="宋体"/>
          <w:color w:val="000000"/>
          <w:kern w:val="0"/>
          <w:sz w:val="24"/>
          <w:szCs w:val="24"/>
        </w:rPr>
        <w:t>93</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19'33.53"</w:t>
      </w:r>
      <w:r w:rsidRPr="00677D1F">
        <w:rPr>
          <w:rFonts w:ascii="宋体" w:eastAsia="宋体" w:hAnsi="宋体" w:cs="宋体" w:hint="eastAsia"/>
          <w:color w:val="000000"/>
          <w:kern w:val="0"/>
          <w:sz w:val="24"/>
          <w:szCs w:val="24"/>
        </w:rPr>
        <w:t>，北纬</w:t>
      </w:r>
      <w:r w:rsidRPr="00677D1F">
        <w:rPr>
          <w:rFonts w:ascii="宋体" w:eastAsia="宋体" w:hAnsi="宋体" w:cs="宋体"/>
          <w:color w:val="000000"/>
          <w:kern w:val="0"/>
          <w:sz w:val="24"/>
          <w:szCs w:val="24"/>
        </w:rPr>
        <w:t>42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41'9.34"</w:t>
      </w:r>
      <w:r w:rsidRPr="00677D1F">
        <w:rPr>
          <w:rFonts w:ascii="宋体" w:eastAsia="宋体" w:hAnsi="宋体" w:cs="宋体" w:hint="eastAsia"/>
          <w:color w:val="000000"/>
          <w:kern w:val="0"/>
          <w:sz w:val="24"/>
          <w:szCs w:val="24"/>
        </w:rPr>
        <w:t>。项目地理位置见图</w:t>
      </w:r>
      <w:r w:rsidRPr="00677D1F">
        <w:rPr>
          <w:rFonts w:ascii="宋体" w:eastAsia="宋体" w:hAnsi="宋体" w:cs="宋体"/>
          <w:color w:val="000000"/>
          <w:kern w:val="0"/>
          <w:sz w:val="24"/>
          <w:szCs w:val="24"/>
        </w:rPr>
        <w:t>3.1-1</w:t>
      </w:r>
      <w:r w:rsidRPr="00677D1F">
        <w:rPr>
          <w:rFonts w:ascii="宋体" w:eastAsia="宋体" w:hAnsi="宋体" w:cs="宋体" w:hint="eastAsia"/>
          <w:color w:val="000000"/>
          <w:kern w:val="0"/>
          <w:sz w:val="24"/>
          <w:szCs w:val="24"/>
        </w:rPr>
        <w:t>，厂区周围环境概况见图</w:t>
      </w:r>
      <w:r w:rsidRPr="00677D1F">
        <w:rPr>
          <w:rFonts w:ascii="宋体" w:eastAsia="宋体" w:hAnsi="宋体" w:cs="宋体"/>
          <w:color w:val="000000"/>
          <w:kern w:val="0"/>
          <w:sz w:val="24"/>
          <w:szCs w:val="24"/>
        </w:rPr>
        <w:t>2.5-1</w:t>
      </w:r>
      <w:r w:rsidRPr="00677D1F">
        <w:rPr>
          <w:rFonts w:ascii="宋体" w:eastAsia="宋体" w:hAnsi="宋体" w:cs="宋体" w:hint="eastAsia"/>
          <w:color w:val="000000"/>
          <w:kern w:val="0"/>
          <w:sz w:val="24"/>
          <w:szCs w:val="24"/>
        </w:rPr>
        <w:t>，厂址在哈密工业园区重工业加工区的示意位置见图</w:t>
      </w:r>
      <w:r w:rsidRPr="00677D1F">
        <w:rPr>
          <w:rFonts w:ascii="宋体" w:eastAsia="宋体" w:hAnsi="宋体" w:cs="宋体"/>
          <w:color w:val="000000"/>
          <w:kern w:val="0"/>
          <w:sz w:val="24"/>
          <w:szCs w:val="24"/>
        </w:rPr>
        <w:t>4.1-1</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4.1.2</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地形、地貌、地质</w:t>
      </w:r>
    </w:p>
    <w:p w:rsidR="00D228BE" w:rsidRPr="00677D1F" w:rsidRDefault="00332EB6" w:rsidP="00677D1F">
      <w:pPr>
        <w:widowControl/>
        <w:contextualSpacing/>
        <w:outlineLvl w:val="3"/>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4.1.2.1</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区域地形、地貌、地质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哈密市地处东天山南北麓。东天山是由几条平行山脉和其山间盆地组成的山系，北部以山地为主要特征的东天山余脉；东部、南部则以剥蚀形态为主要特征的高原地带；中部，西部是哈密盆地。哈密市具有</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两山夹一盆</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的地形地貌特点。位于市境内东北部的喀尔里克山主峰，终年不化，海拔</w:t>
      </w:r>
      <w:r w:rsidRPr="00677D1F">
        <w:rPr>
          <w:rFonts w:ascii="宋体" w:eastAsia="宋体" w:hAnsi="宋体" w:cs="宋体"/>
          <w:color w:val="000000"/>
          <w:kern w:val="0"/>
          <w:sz w:val="24"/>
          <w:szCs w:val="24"/>
        </w:rPr>
        <w:t>4886m</w:t>
      </w:r>
      <w:r w:rsidRPr="00677D1F">
        <w:rPr>
          <w:rFonts w:ascii="宋体" w:eastAsia="宋体" w:hAnsi="宋体" w:cs="宋体" w:hint="eastAsia"/>
          <w:color w:val="000000"/>
          <w:kern w:val="0"/>
          <w:sz w:val="24"/>
          <w:szCs w:val="24"/>
        </w:rPr>
        <w:t>，为全市最高点。市</w:t>
      </w:r>
      <w:r w:rsidRPr="00677D1F">
        <w:rPr>
          <w:rFonts w:ascii="宋体" w:eastAsia="宋体" w:hAnsi="宋体" w:cs="宋体" w:hint="eastAsia"/>
          <w:color w:val="000000"/>
          <w:kern w:val="0"/>
          <w:sz w:val="24"/>
          <w:szCs w:val="24"/>
        </w:rPr>
        <w:lastRenderedPageBreak/>
        <w:t>境西部戈壁深处的沙尔湖为哈密盆地的最低处，海拔仅</w:t>
      </w:r>
      <w:r w:rsidRPr="00677D1F">
        <w:rPr>
          <w:rFonts w:ascii="宋体" w:eastAsia="宋体" w:hAnsi="宋体" w:cs="宋体"/>
          <w:color w:val="000000"/>
          <w:kern w:val="0"/>
          <w:sz w:val="24"/>
          <w:szCs w:val="24"/>
        </w:rPr>
        <w:t>53m</w:t>
      </w:r>
      <w:r w:rsidRPr="00677D1F">
        <w:rPr>
          <w:rFonts w:ascii="宋体" w:eastAsia="宋体" w:hAnsi="宋体" w:cs="宋体" w:hint="eastAsia"/>
          <w:color w:val="000000"/>
          <w:kern w:val="0"/>
          <w:sz w:val="24"/>
          <w:szCs w:val="24"/>
        </w:rPr>
        <w:t>。哈密市地形呈北高南低，总的趋势由东北向西南倾斜。</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哈密市的地貌类型主要包括山地、高原和盆地三种类型。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）山地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哈密市北部天山自西向东横贯全境，绵延起伏</w:t>
      </w:r>
      <w:r w:rsidRPr="00677D1F">
        <w:rPr>
          <w:rFonts w:ascii="宋体" w:eastAsia="宋体" w:hAnsi="宋体" w:cs="宋体"/>
          <w:color w:val="000000"/>
          <w:kern w:val="0"/>
          <w:sz w:val="24"/>
          <w:szCs w:val="24"/>
        </w:rPr>
        <w:t>200</w:t>
      </w:r>
      <w:r w:rsidRPr="00677D1F">
        <w:rPr>
          <w:rFonts w:ascii="宋体" w:eastAsia="宋体" w:hAnsi="宋体" w:cs="宋体" w:hint="eastAsia"/>
          <w:color w:val="000000"/>
          <w:kern w:val="0"/>
          <w:sz w:val="24"/>
          <w:szCs w:val="24"/>
        </w:rPr>
        <w:t>余</w:t>
      </w:r>
      <w:r w:rsidRPr="00677D1F">
        <w:rPr>
          <w:rFonts w:ascii="宋体" w:eastAsia="宋体" w:hAnsi="宋体" w:cs="宋体"/>
          <w:color w:val="000000"/>
          <w:kern w:val="0"/>
          <w:sz w:val="24"/>
          <w:szCs w:val="24"/>
        </w:rPr>
        <w:t>km</w:t>
      </w:r>
      <w:r w:rsidRPr="00677D1F">
        <w:rPr>
          <w:rFonts w:ascii="宋体" w:eastAsia="宋体" w:hAnsi="宋体" w:cs="宋体" w:hint="eastAsia"/>
          <w:color w:val="000000"/>
          <w:kern w:val="0"/>
          <w:sz w:val="24"/>
          <w:szCs w:val="24"/>
        </w:rPr>
        <w:t>，海拔大体在</w:t>
      </w:r>
      <w:r w:rsidRPr="00677D1F">
        <w:rPr>
          <w:rFonts w:ascii="宋体" w:eastAsia="宋体" w:hAnsi="宋体" w:cs="宋体"/>
          <w:color w:val="000000"/>
          <w:kern w:val="0"/>
          <w:sz w:val="24"/>
          <w:szCs w:val="24"/>
        </w:rPr>
        <w:t>1500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4886m</w:t>
      </w:r>
      <w:r w:rsidRPr="00677D1F">
        <w:rPr>
          <w:rFonts w:ascii="宋体" w:eastAsia="宋体" w:hAnsi="宋体" w:cs="宋体" w:hint="eastAsia"/>
          <w:color w:val="000000"/>
          <w:kern w:val="0"/>
          <w:sz w:val="24"/>
          <w:szCs w:val="24"/>
        </w:rPr>
        <w:t>之间，喀尔里山主峰托木尔提终年积雪。次为巴尔库山主峰月牙山，海拔</w:t>
      </w:r>
      <w:r w:rsidRPr="00677D1F">
        <w:rPr>
          <w:rFonts w:ascii="宋体" w:eastAsia="宋体" w:hAnsi="宋体" w:cs="宋体"/>
          <w:color w:val="000000"/>
          <w:kern w:val="0"/>
          <w:sz w:val="24"/>
          <w:szCs w:val="24"/>
        </w:rPr>
        <w:t>4348m</w:t>
      </w:r>
      <w:r w:rsidRPr="00677D1F">
        <w:rPr>
          <w:rFonts w:ascii="宋体" w:eastAsia="宋体" w:hAnsi="宋体" w:cs="宋体" w:hint="eastAsia"/>
          <w:color w:val="000000"/>
          <w:kern w:val="0"/>
          <w:sz w:val="24"/>
          <w:szCs w:val="24"/>
        </w:rPr>
        <w:t>，从喀尔里克山往东山势逐渐平缓，海拔高度逐次降至</w:t>
      </w:r>
      <w:r w:rsidRPr="00677D1F">
        <w:rPr>
          <w:rFonts w:ascii="宋体" w:eastAsia="宋体" w:hAnsi="宋体" w:cs="宋体"/>
          <w:color w:val="000000"/>
          <w:kern w:val="0"/>
          <w:sz w:val="24"/>
          <w:szCs w:val="24"/>
        </w:rPr>
        <w:t>1200m</w:t>
      </w:r>
      <w:r w:rsidRPr="00677D1F">
        <w:rPr>
          <w:rFonts w:ascii="宋体" w:eastAsia="宋体" w:hAnsi="宋体" w:cs="宋体" w:hint="eastAsia"/>
          <w:color w:val="000000"/>
          <w:kern w:val="0"/>
          <w:sz w:val="24"/>
          <w:szCs w:val="24"/>
        </w:rPr>
        <w:t>左右。喀尔里克山山顶平坦，表明很少冰渍。边缘又若干小型冰川。南坡有明显的大断层，山麓露出杂色、青红色的云母花岗岩侵入体。山坡呈现梯级地形和棱角状轮廓。山内峻岭纵横，陡峭刃脊。天山南侧，自西向东有南北向大小山沟</w:t>
      </w:r>
      <w:r w:rsidRPr="00677D1F">
        <w:rPr>
          <w:rFonts w:ascii="宋体" w:eastAsia="宋体" w:hAnsi="宋体" w:cs="宋体"/>
          <w:color w:val="000000"/>
          <w:kern w:val="0"/>
          <w:sz w:val="24"/>
          <w:szCs w:val="24"/>
        </w:rPr>
        <w:t>29</w:t>
      </w:r>
      <w:r w:rsidRPr="00677D1F">
        <w:rPr>
          <w:rFonts w:ascii="宋体" w:eastAsia="宋体" w:hAnsi="宋体" w:cs="宋体" w:hint="eastAsia"/>
          <w:color w:val="000000"/>
          <w:kern w:val="0"/>
          <w:sz w:val="24"/>
          <w:szCs w:val="24"/>
        </w:rPr>
        <w:t>条。南北山麓广泛分布着巨大的洪积扇，洪积扇上部半埋着很多低山和丘陵。低山带有稀疏荒漠植被，高山南坡及中山带呈干草原分布，北坡比较阴湿的地方生长着蔬密不等的西伯利亚落叶松。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）高原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哈密市葛顺戈壁是一个准平原式的高原，位于新疆东南部。北为吐鲁番</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哈密盆地，南为罗布泊洼地和疏勒河下游谷地。葛顺戈壁大部分就分布在哈密东部河南部。葛顺戈壁地壳比较稳定，经长期剥蚀形成广阔的准平原。海拔大约</w:t>
      </w:r>
      <w:r w:rsidRPr="00677D1F">
        <w:rPr>
          <w:rFonts w:ascii="宋体" w:eastAsia="宋体" w:hAnsi="宋体" w:cs="宋体"/>
          <w:color w:val="000000"/>
          <w:kern w:val="0"/>
          <w:sz w:val="24"/>
          <w:szCs w:val="24"/>
        </w:rPr>
        <w:t>900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1000m</w:t>
      </w:r>
      <w:r w:rsidRPr="00677D1F">
        <w:rPr>
          <w:rFonts w:ascii="宋体" w:eastAsia="宋体" w:hAnsi="宋体" w:cs="宋体" w:hint="eastAsia"/>
          <w:color w:val="000000"/>
          <w:kern w:val="0"/>
          <w:sz w:val="24"/>
          <w:szCs w:val="24"/>
        </w:rPr>
        <w:t>之间。其间没有高大山地，大部分地区相对高度不足</w:t>
      </w:r>
      <w:r w:rsidRPr="00677D1F">
        <w:rPr>
          <w:rFonts w:ascii="宋体" w:eastAsia="宋体" w:hAnsi="宋体" w:cs="宋体"/>
          <w:color w:val="000000"/>
          <w:kern w:val="0"/>
          <w:sz w:val="24"/>
          <w:szCs w:val="24"/>
        </w:rPr>
        <w:t>50m</w:t>
      </w:r>
      <w:r w:rsidRPr="00677D1F">
        <w:rPr>
          <w:rFonts w:ascii="宋体" w:eastAsia="宋体" w:hAnsi="宋体" w:cs="宋体" w:hint="eastAsia"/>
          <w:color w:val="000000"/>
          <w:kern w:val="0"/>
          <w:sz w:val="24"/>
          <w:szCs w:val="24"/>
        </w:rPr>
        <w:t>，地形垂直分布现象不明显。葛顺戈壁的剥蚀形态为本区的地貌特征。本区气候特别干旱，是世界上大陆性气候最强烈的地区之一。地下水和地表水都很缺乏，到处呈现着干旱荒漠景观。封闭的盆地里的一些向心式的干涸河床，偶然在暴雨之后汇集一些暂时性的水流。由于风化的结果，山坡山麓覆盖着薄层碎石块，或被剥蚀成山麓面。少数由坚硬岩石形成的岛山突出在剥蚀平原上。本地区大部分地方终年盛行东北风，山坡风化物质经吹扬后，只留有粗大的砾石。在山谷里往往堆有薄层流沙，有的形成较大沙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）盆地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哈密市位于天山和葛顺戈壁之间。整个盆地的地势由东北向西南倾斜。发源于喀尔里克山、巴尔库山的短小河流携带下来的物质组成宽广的山前倾斜平原。盆地上部为许多复合的洪积扇，南北宽约</w:t>
      </w:r>
      <w:r w:rsidRPr="00677D1F">
        <w:rPr>
          <w:rFonts w:ascii="宋体" w:eastAsia="宋体" w:hAnsi="宋体" w:cs="宋体"/>
          <w:color w:val="000000"/>
          <w:kern w:val="0"/>
          <w:sz w:val="24"/>
          <w:szCs w:val="24"/>
        </w:rPr>
        <w:t>30km</w:t>
      </w:r>
      <w:r w:rsidRPr="00677D1F">
        <w:rPr>
          <w:rFonts w:ascii="宋体" w:eastAsia="宋体" w:hAnsi="宋体" w:cs="宋体" w:hint="eastAsia"/>
          <w:color w:val="000000"/>
          <w:kern w:val="0"/>
          <w:sz w:val="24"/>
          <w:szCs w:val="24"/>
        </w:rPr>
        <w:t>，主要有砾石组成。洪积扇的下部为古老的洪积平原，地形平缓，地下水位一般在</w:t>
      </w:r>
      <w:r w:rsidRPr="00677D1F">
        <w:rPr>
          <w:rFonts w:ascii="宋体" w:eastAsia="宋体" w:hAnsi="宋体" w:cs="宋体"/>
          <w:color w:val="000000"/>
          <w:kern w:val="0"/>
          <w:sz w:val="24"/>
          <w:szCs w:val="24"/>
        </w:rPr>
        <w:t>5</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7m</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盆地西部和西南部是十三间房</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南湖戈壁。这里广泛分布的第三纪地层，因受临时性降水形成的小河流的切割，形成一系列劣地形，地面十分破碎，由于地形影响，北部七角井、十三间房一带是天山南北通道，常年有大风。因此风蚀作用非常明显，形成许多风蚀残丘和风蚀洼地。哈密五堡以南著名的魔鬼城</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雅丹地貌就是由强风长期吹蚀而形成的。沙尔湖周围及供水河道两岸经风吹扬，形成许多密集的灌丛沙丘。</w:t>
      </w:r>
    </w:p>
    <w:p w:rsidR="00D228BE" w:rsidRPr="00677D1F" w:rsidRDefault="00332EB6" w:rsidP="00677D1F">
      <w:pPr>
        <w:widowControl/>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4.1.2.2</w:t>
      </w:r>
      <w:r w:rsidRPr="00677D1F">
        <w:rPr>
          <w:rFonts w:ascii="Times New Roman" w:eastAsia="宋体" w:hAnsi="Times New Roman" w:cs="Times New Roman" w:hint="eastAsia"/>
          <w:b/>
          <w:bCs/>
          <w:color w:val="000000"/>
          <w:kern w:val="0"/>
          <w:sz w:val="24"/>
          <w:szCs w:val="24"/>
        </w:rPr>
        <w:t>厂址地形、地貌、地质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项目厂址位于哈密市工业园区重工业加工区的西南，重工业加工区地形起伏不大，地形较平缓，总体上向东南略倾斜，地貌单元为山前冲洪积平原，微地貌类型为低缓沙丘。哈密市工业园区地处天山山前冲积倾斜平原，由干燥侵蚀平原和小片沙丘地组成，工程地质自地面向下大致可分为：粉细砂、中细砂、泥质砂岩，承载力特征值</w:t>
      </w:r>
      <w:r w:rsidRPr="00677D1F">
        <w:rPr>
          <w:rFonts w:ascii="宋体" w:eastAsia="宋体" w:hAnsi="宋体" w:cs="宋体"/>
          <w:color w:val="000000"/>
          <w:kern w:val="0"/>
          <w:sz w:val="24"/>
          <w:szCs w:val="24"/>
        </w:rPr>
        <w:t>150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600kPa</w:t>
      </w:r>
      <w:r w:rsidRPr="00677D1F">
        <w:rPr>
          <w:rFonts w:ascii="宋体" w:eastAsia="宋体" w:hAnsi="宋体" w:cs="宋体" w:hint="eastAsia"/>
          <w:color w:val="000000"/>
          <w:kern w:val="0"/>
          <w:sz w:val="24"/>
          <w:szCs w:val="24"/>
        </w:rPr>
        <w:t>。最大冻土深度</w:t>
      </w:r>
      <w:r w:rsidRPr="00677D1F">
        <w:rPr>
          <w:rFonts w:ascii="宋体" w:eastAsia="宋体" w:hAnsi="宋体" w:cs="宋体"/>
          <w:color w:val="000000"/>
          <w:kern w:val="0"/>
          <w:sz w:val="24"/>
          <w:szCs w:val="24"/>
        </w:rPr>
        <w:t>1.27m</w:t>
      </w:r>
      <w:r w:rsidRPr="00677D1F">
        <w:rPr>
          <w:rFonts w:ascii="宋体" w:eastAsia="宋体" w:hAnsi="宋体" w:cs="宋体" w:hint="eastAsia"/>
          <w:color w:val="000000"/>
          <w:kern w:val="0"/>
          <w:sz w:val="24"/>
          <w:szCs w:val="24"/>
        </w:rPr>
        <w:t>，建厂地区海拔高度为-</w:t>
      </w:r>
      <w:r w:rsidRPr="00677D1F">
        <w:rPr>
          <w:rFonts w:ascii="宋体" w:eastAsia="宋体" w:hAnsi="宋体" w:cs="宋体"/>
          <w:color w:val="000000"/>
          <w:kern w:val="0"/>
          <w:sz w:val="24"/>
          <w:szCs w:val="24"/>
        </w:rPr>
        <w:t>690m</w:t>
      </w:r>
      <w:r w:rsidRPr="00677D1F">
        <w:rPr>
          <w:rFonts w:ascii="宋体" w:eastAsia="宋体" w:hAnsi="宋体" w:cs="宋体" w:hint="eastAsia"/>
          <w:color w:val="000000"/>
          <w:kern w:val="0"/>
          <w:sz w:val="24"/>
          <w:szCs w:val="24"/>
        </w:rPr>
        <w:t>。厂址区域地形地貌见图</w:t>
      </w:r>
      <w:r w:rsidRPr="00677D1F">
        <w:rPr>
          <w:rFonts w:ascii="宋体" w:eastAsia="宋体" w:hAnsi="宋体" w:cs="宋体"/>
          <w:color w:val="000000"/>
          <w:kern w:val="0"/>
          <w:sz w:val="24"/>
          <w:szCs w:val="24"/>
        </w:rPr>
        <w:t>4.1-2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4.1.3</w:t>
      </w:r>
      <w:r w:rsidRPr="00677D1F">
        <w:rPr>
          <w:rFonts w:ascii="Times New Roman" w:eastAsia="宋体" w:hAnsi="Times New Roman" w:cs="Times New Roman" w:hint="eastAsia"/>
          <w:b/>
          <w:bCs/>
          <w:color w:val="000000"/>
          <w:kern w:val="0"/>
          <w:sz w:val="26"/>
          <w:szCs w:val="26"/>
        </w:rPr>
        <w:t>水文地质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该区域属吐鲁番</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哈密山间凹陷，是华力西褶皱基底上发展起来的中新生代凹陷。出露地层有三叠系、侏罗系、白垩系、第三系和第四系。沉降幅度北深南浅，沉积厚度</w:t>
      </w:r>
      <w:r w:rsidRPr="00677D1F">
        <w:rPr>
          <w:rFonts w:ascii="宋体" w:eastAsia="宋体" w:hAnsi="宋体" w:cs="宋体"/>
          <w:color w:val="000000"/>
          <w:kern w:val="0"/>
          <w:sz w:val="24"/>
          <w:szCs w:val="24"/>
        </w:rPr>
        <w:t>4000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8000m</w:t>
      </w:r>
      <w:r w:rsidRPr="00677D1F">
        <w:rPr>
          <w:rFonts w:ascii="宋体" w:eastAsia="宋体" w:hAnsi="宋体" w:cs="宋体" w:hint="eastAsia"/>
          <w:color w:val="000000"/>
          <w:kern w:val="0"/>
          <w:sz w:val="24"/>
          <w:szCs w:val="24"/>
        </w:rPr>
        <w:t>，断块的差异降为本凹陷的显著构造特色。根据收集的资料显示，项目区及附近无活动断裂发育。根据中国地震局编制《中国地震烈度区划图》，本区地震烈度为Ⅵ度。</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哈密市地表水多发源于天山之中的冰川，这些冰川多集中在天山主脉的哈尔里克山和巴里坤山，资源量达</w:t>
      </w:r>
      <w:r w:rsidRPr="00677D1F">
        <w:rPr>
          <w:rFonts w:ascii="宋体" w:eastAsia="宋体" w:hAnsi="宋体" w:cs="宋体"/>
          <w:color w:val="000000"/>
          <w:kern w:val="0"/>
          <w:sz w:val="24"/>
          <w:szCs w:val="24"/>
        </w:rPr>
        <w:t>67.5×108m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，市境内有大小山水沟</w:t>
      </w:r>
      <w:r w:rsidRPr="00677D1F">
        <w:rPr>
          <w:rFonts w:ascii="宋体" w:eastAsia="宋体" w:hAnsi="宋体" w:cs="宋体"/>
          <w:color w:val="000000"/>
          <w:kern w:val="0"/>
          <w:sz w:val="24"/>
          <w:szCs w:val="24"/>
        </w:rPr>
        <w:t>29</w:t>
      </w:r>
      <w:r w:rsidRPr="00677D1F">
        <w:rPr>
          <w:rFonts w:ascii="宋体" w:eastAsia="宋体" w:hAnsi="宋体" w:cs="宋体" w:hint="eastAsia"/>
          <w:color w:val="000000"/>
          <w:kern w:val="0"/>
          <w:sz w:val="24"/>
          <w:szCs w:val="24"/>
        </w:rPr>
        <w:t>条，北南流向，出山口处年均迳流量</w:t>
      </w:r>
      <w:r w:rsidRPr="00677D1F">
        <w:rPr>
          <w:rFonts w:ascii="宋体" w:eastAsia="宋体" w:hAnsi="宋体" w:cs="宋体"/>
          <w:color w:val="000000"/>
          <w:kern w:val="0"/>
          <w:sz w:val="24"/>
          <w:szCs w:val="24"/>
        </w:rPr>
        <w:t>4.5×108m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，有大小泉水近千眼，多集中在城区东西河坝，地下水储量</w:t>
      </w:r>
      <w:r w:rsidRPr="00677D1F">
        <w:rPr>
          <w:rFonts w:ascii="宋体" w:eastAsia="宋体" w:hAnsi="宋体" w:cs="宋体"/>
          <w:color w:val="000000"/>
          <w:kern w:val="0"/>
          <w:sz w:val="24"/>
          <w:szCs w:val="24"/>
        </w:rPr>
        <w:t>3.16×108m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，年开采量已达</w:t>
      </w:r>
      <w:r w:rsidRPr="00677D1F">
        <w:rPr>
          <w:rFonts w:ascii="宋体" w:eastAsia="宋体" w:hAnsi="宋体" w:cs="宋体"/>
          <w:color w:val="000000"/>
          <w:kern w:val="0"/>
          <w:sz w:val="24"/>
          <w:szCs w:val="24"/>
        </w:rPr>
        <w:t>5.23×108m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，开采方式多为机井、坎尔井等。哈密盆地内无常年流水河流，主要靠巴里坤山和哈尔里克山的</w:t>
      </w:r>
      <w:r w:rsidRPr="00677D1F">
        <w:rPr>
          <w:rFonts w:ascii="宋体" w:eastAsia="宋体" w:hAnsi="宋体" w:cs="宋体"/>
          <w:color w:val="000000"/>
          <w:kern w:val="0"/>
          <w:sz w:val="24"/>
          <w:szCs w:val="24"/>
        </w:rPr>
        <w:t>14</w:t>
      </w:r>
      <w:r w:rsidRPr="00677D1F">
        <w:rPr>
          <w:rFonts w:ascii="宋体" w:eastAsia="宋体" w:hAnsi="宋体" w:cs="宋体" w:hint="eastAsia"/>
          <w:color w:val="000000"/>
          <w:kern w:val="0"/>
          <w:sz w:val="24"/>
          <w:szCs w:val="24"/>
        </w:rPr>
        <w:t>条季节性河流和泉流向盆地内汇集，年径流量约</w:t>
      </w:r>
      <w:r w:rsidRPr="00677D1F">
        <w:rPr>
          <w:rFonts w:ascii="宋体" w:eastAsia="宋体" w:hAnsi="宋体" w:cs="宋体"/>
          <w:color w:val="000000"/>
          <w:kern w:val="0"/>
          <w:sz w:val="24"/>
          <w:szCs w:val="24"/>
        </w:rPr>
        <w:t>1×108m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。除部分河水如：石城子河、榆树沟、庙尔沟修建引水渠将河水引入灌区外，大部分河水流出山口后不远便在戈壁地带渗入地下，转化为地下径流，形成了哈密市以地表引水、地下提水并重的绿洲灌溉农业体系。</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项目区域内无长年性地表水流，且无季节性冲沟分布。曾经有季节水流的库尔克果勒，流向为南湖乡向西南方向的沙尔湖。由于上游来水减少，南湖水库和花园子水库的拦蓄，已于上世纪九十年代彻底断流。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根据《新疆哈密盆地地下水资源潜力研究》（</w:t>
      </w:r>
      <w:r w:rsidRPr="00677D1F">
        <w:rPr>
          <w:rFonts w:ascii="宋体" w:eastAsia="宋体" w:hAnsi="宋体" w:cs="宋体"/>
          <w:color w:val="000000"/>
          <w:kern w:val="0"/>
          <w:sz w:val="24"/>
          <w:szCs w:val="24"/>
        </w:rPr>
        <w:t>2002</w:t>
      </w:r>
      <w:r w:rsidRPr="00677D1F">
        <w:rPr>
          <w:rFonts w:ascii="宋体" w:eastAsia="宋体" w:hAnsi="宋体" w:cs="宋体" w:hint="eastAsia"/>
          <w:color w:val="000000"/>
          <w:kern w:val="0"/>
          <w:sz w:val="24"/>
          <w:szCs w:val="24"/>
        </w:rPr>
        <w:t>年），项目所在的哈密盆地以沙诺尔湖——库如克郭勒沟——长干沟为界分为两个地下水系统，即北部巴坤山——哈尔里克山山前倾斜平原地下水系统和南部觉罗塔格山北麓地下水系统，北部巴坤山区为哈尔里克山山前倾斜平原地下水系统的地下水的补给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沙诺尔湖为哈密盆地地下水最终排泄处，受气象、水文、地形地貌、</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补给条件、地层岩性，区域构造等多种因素的控制，地下水的形成与富集，以库如克郭勒沟——南湖断裂为界；北部山区——平原区降水丰富，地表水丰富、地下水补给条件好，含水层厚度大、富水性好；南部低山丘陵区降水较少，地下水补给条件差，且风化裂隙和构造裂隙分布不均，地下水极为贫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新疆哈密盆地地下水按其赋存特征、含水层岩性及水动力特征，可划分为：第四系松散岩类孔隙水、第三系碎屑岩类孔隙裂隙水和基岩裂隙水三种基本类型。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（1）第四系松散岩类孔隙潜水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主要分布于山前冲洪积平原，按地下水类型可划分为第四系松散岩类孔隙潜水和第四系松散岩类孔隙水—承压水及自流水。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①四系松散岩类孔隙潜水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哈密盆地地下水资源潜力研究》（2002年），哈密盆地第四系松散岩类孔隙潜水主要分布于连霍高速公路（G30线）以北的戈壁砾石带，含水层岩性为卵砾石、砂砾石和含砾中粗砂，由扇顶至扇缘，含水层颗粒由粗变细，含水层厚度由厚变薄，水位埋深由深变浅。连霍高速公路（G30线）北部含水层厚度20～80m，潜水埋深20～80m，二堡拱拜尔湾——火石镇单井涌水量1000～3000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/d，渗透系数6～45m/d；拱拜尔湾以西单井涌水量500～1000m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/d，渗透系数5～21m/d；火石镇以东至大泉湾四道城一带，单井涌水量大于3000m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/d，平均渗透系数27.74m/d；碱泉子和平原区中下部的骆驼圈子一带，单井涌水量为100～1000m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/d，平均渗透系数11.66m/d。地下水动态类型为水文性，枯水期为8～9月份，丰水期为5月份，地下水化学类型为HCO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-Ca·Na、HCO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-Na·Ca或HCO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-Ca·Na型，矿化度一般小于0.5g/L，地下水平均水力坡度6～9‰，径流条件较好。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②第四系松散岩类孔隙潜水——承压水哈密盆地第四系松散岩类孔隙潜水——承压水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主要分布在梯子——骆驼圈子一带、连霍高速公路（G30线）沿线以南的细土平原。上部潜水含水层厚度一般2～7m，岩性为中细砂，水位埋深小于5m，渗透系数3～5m/d，单井涌水量小于100m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/d，水化学类型为SO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Cl-Na·Ca型，矿化度0.7～3g/L，多以溢出泉、潜水蒸发形式排泄。承压含水层厚度20～40m，岩性多为砂砾石、中细砂，顶板埋深小于30m，水位埋深小于15m，低洼地带丰水期地下水自流，水头高于地面0.35～1.0m，火石泉以东、连霍高速公路（G30线）以南3km内，单井涌水量大于3000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/d，含水层渗透系数为15～70m/d；二堡以东，回城、红星四场以北，单井涌水量多为1000～3000m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/d，渗透系数3～50m/d；二堡以西，三道岭——四堡——开可尔吐尔以北单井涌水量500～1000m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/d，渗透系数为4～21m/d；梯子泉以南3km、三道岭——居吉木布拉克——支边农场——拉克苏木——ZK12孔以北，含水层厚度变为10～30m，单井涌水量为100～500m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/d，渗透系数为4～100m/d；该带以南，第四系厚度仅为数米或出露第三系，其第四系单井涌水量小于100m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/d，供水意义不大。水化学类型由北向南由HCO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-Ca·Na变为Cl·SO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Ca·Na型，矿化度0.5～3g/L，地下水流向西部75º或东部225º；潜水动态变化为开采型或气象型，年水位变幅较小，一般为0.3～0.7m，承压水动态变化为水文——开采型，受地表径流和地下水开采影响，枯水期为8月份，丰水期为4月份，年水位变幅0.3～3.0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（2）第三系碎屑岩类孔隙水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A、第三系浅水层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①第三系碎屑岩类孔隙潜水在区内南部出露，范围不大，由于区内降水稀少，蒸发强烈，且该带所处地势较高，不利于地下水补给。此外，含水层颗粒较细。因此，富水性较差，单井涌水量一般小于100m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/d，水质差，多为Cl·SO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-Na·Mg型或Cl-Na型水。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第三系碎屑岩类孔隙承压水主要出露于五堡——长流水——骆驼圈子一带，或下伏于第四系地层之下，分布面积大。含水层多由第三系葡萄沟组砂岩、砂砾岩或泥质粉砂岩组成。据钻孔揭露100m深度内，有两个较稳定的含水层，含水层总厚度为15～50m。含水层顶板埋深由北向南变浅，由钻孔揭露200m深度范围为20～</w:t>
      </w:r>
      <w:r w:rsidRPr="00677D1F">
        <w:rPr>
          <w:rFonts w:ascii="宋体" w:eastAsia="宋体" w:hAnsi="宋体" w:cs="宋体" w:hint="eastAsia"/>
          <w:color w:val="000000"/>
          <w:kern w:val="0"/>
          <w:sz w:val="24"/>
          <w:szCs w:val="24"/>
        </w:rPr>
        <w:lastRenderedPageBreak/>
        <w:t>130m，其中以红光车站——三道城——骆驼圈子——庙尔沟为界，北部顶板埋深大于50m，南部至沙尔湖一带小于50m，东部骆驼圈子—庙尔沟以南地带大于100m。火石镇——十里牛房—红星四场以北单井涌水量大于1000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/d，渗透系数10～64.9m/d，水化学类型为HCO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-Ca·Na型，矿化度小于0.5g/L；该带以南，柳树泉农场——长流水以北，单井涌水量一般为500～1000m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/d，渗透系数15～34.34m/d，水化学类型多为Cl·SO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-Na·Mg型，矿化度在1.0～4.3g/L，五堡——长流水一带水质较好，矿化度小于0.5g/L，为HCO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-Na·Ca型水；该带以南单井涌水量小于500m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渗透系数14.4～21.74m/d。根据测试，第三系浅层地下水（80～150m）与第四系地下水具有同一补给源，上游区含水层由于颗粒较粗，孔隙、裂隙发育，地下水径流条件较好。第三系浅层水与第四系含水层之间水力联系密切，共同构成北部巴里坤山——哈尔里克山山前倾斜平原地下水系统的一个子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B、第三系深层承压水（第四系下伏60～100m以下的地下水）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①顶板隔水层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区内钻孔资料，第三系深层承压水隔水顶板埋深80～150m，厚度一般20～35m，厚者大于100m。岩性为泥岩、沙质泥岩。该层在平原区基本构成了一个较完整的隔水层，使上层第四系—第三系浅层含水层与深层第三系承压含水层相对水力联系微弱，构成北部巴里坤山—哈尔里克山山前倾斜平原地下水系统的另一子系统，形成上下两个单独的地下水亚系统。</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②含水层岩性、厚度及涌水量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哈密盆地地下水资源潜力研究》（2002年），哈密盆地第三系深层承压含水层主要为第三系上新统葡萄沟组第二层孔隙、裂隙承压含水岩组，该含水层主要接受山区基岩裂隙水的侧向径流补给，水量较丰富，水质良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（3）基岩裂隙水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为赋存于古生代地层及侵入岩等各种成因的裂隙中的地下水，广泛分布于北部基岩山区及南部低山丘陵区。其富水性受岩性、构造、地形、地貌和补给因素控制，尤以降水分配影响最为明显，随地势的变化，呈现出中高山区水量丰富，低山区中等，丘陵区贫乏的规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北部山区水量大，具有丰富的冰雪融水分布，补给条件好，故含水层富水性较好，其单泉流量1.05～19.641L/s，水化学类型为HCO</w:t>
      </w:r>
      <w:r w:rsidRPr="00677D1F">
        <w:rPr>
          <w:rFonts w:ascii="宋体" w:eastAsia="宋体" w:hAnsi="宋体" w:cs="宋体" w:hint="eastAsia"/>
          <w:color w:val="000000"/>
          <w:kern w:val="0"/>
          <w:sz w:val="24"/>
          <w:szCs w:val="24"/>
          <w:vertAlign w:val="subscript"/>
        </w:rPr>
        <w:t>3</w:t>
      </w:r>
      <w:r w:rsidRPr="00677D1F">
        <w:rPr>
          <w:rFonts w:ascii="宋体" w:eastAsia="宋体" w:hAnsi="宋体" w:cs="宋体" w:hint="eastAsia"/>
          <w:color w:val="000000"/>
          <w:kern w:val="0"/>
          <w:sz w:val="24"/>
          <w:szCs w:val="24"/>
        </w:rPr>
        <w:t>-Ca型，矿化度小于0.3g/L；</w:t>
      </w:r>
      <w:r w:rsidRPr="00677D1F">
        <w:rPr>
          <w:rFonts w:ascii="宋体" w:eastAsia="宋体" w:hAnsi="宋体" w:cs="宋体" w:hint="eastAsia"/>
          <w:color w:val="000000"/>
          <w:kern w:val="0"/>
          <w:sz w:val="24"/>
          <w:szCs w:val="24"/>
        </w:rPr>
        <w:lastRenderedPageBreak/>
        <w:t>南部低山丘陵区，由于补给条件差，水量贫乏，一般水位埋深大于20m，单井涌水量小于10m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/d，多为Cl·SO</w:t>
      </w:r>
      <w:r w:rsidRPr="00677D1F">
        <w:rPr>
          <w:rFonts w:ascii="宋体" w:eastAsia="宋体" w:hAnsi="宋体" w:cs="宋体" w:hint="eastAsia"/>
          <w:color w:val="000000"/>
          <w:kern w:val="0"/>
          <w:sz w:val="24"/>
          <w:szCs w:val="24"/>
          <w:vertAlign w:val="subscript"/>
        </w:rPr>
        <w:t>4</w:t>
      </w:r>
      <w:r w:rsidRPr="00677D1F">
        <w:rPr>
          <w:rFonts w:ascii="宋体" w:eastAsia="宋体" w:hAnsi="宋体" w:cs="宋体" w:hint="eastAsia"/>
          <w:color w:val="000000"/>
          <w:kern w:val="0"/>
          <w:sz w:val="24"/>
          <w:szCs w:val="24"/>
        </w:rPr>
        <w:t>-Na型，矿化度14～40g/L。</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4.1.4</w:t>
      </w:r>
      <w:r w:rsidRPr="00677D1F">
        <w:rPr>
          <w:rFonts w:ascii="Times New Roman" w:eastAsia="宋体" w:hAnsi="Times New Roman" w:cs="Times New Roman" w:hint="eastAsia"/>
          <w:b/>
          <w:bCs/>
          <w:color w:val="000000"/>
          <w:kern w:val="0"/>
          <w:sz w:val="26"/>
          <w:szCs w:val="26"/>
        </w:rPr>
        <w:t>水资源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（1）水环境功能区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哈密市划定水环境特殊功能区总计二类</w:t>
      </w:r>
      <w:r w:rsidRPr="00677D1F">
        <w:rPr>
          <w:rFonts w:ascii="宋体" w:eastAsia="宋体" w:hAnsi="宋体" w:cs="宋体"/>
          <w:color w:val="000000"/>
          <w:kern w:val="0"/>
          <w:sz w:val="24"/>
          <w:szCs w:val="24"/>
        </w:rPr>
        <w:t>7</w:t>
      </w:r>
      <w:r w:rsidRPr="00677D1F">
        <w:rPr>
          <w:rFonts w:ascii="宋体" w:eastAsia="宋体" w:hAnsi="宋体" w:cs="宋体" w:hint="eastAsia"/>
          <w:color w:val="000000"/>
          <w:kern w:val="0"/>
          <w:sz w:val="24"/>
          <w:szCs w:val="24"/>
        </w:rPr>
        <w:t>个，总面积</w:t>
      </w:r>
      <w:r w:rsidRPr="00677D1F">
        <w:rPr>
          <w:rFonts w:ascii="宋体" w:eastAsia="宋体" w:hAnsi="宋体" w:cs="宋体"/>
          <w:color w:val="000000"/>
          <w:kern w:val="0"/>
          <w:sz w:val="24"/>
          <w:szCs w:val="24"/>
        </w:rPr>
        <w:t>242.95km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，占哈密市国土总面积的</w:t>
      </w:r>
      <w:r w:rsidRPr="00677D1F">
        <w:rPr>
          <w:rFonts w:ascii="宋体" w:eastAsia="宋体" w:hAnsi="宋体" w:cs="宋体"/>
          <w:color w:val="000000"/>
          <w:kern w:val="0"/>
          <w:sz w:val="24"/>
          <w:szCs w:val="24"/>
        </w:rPr>
        <w:t>0.29%</w:t>
      </w:r>
      <w:r w:rsidRPr="00677D1F">
        <w:rPr>
          <w:rFonts w:ascii="宋体" w:eastAsia="宋体" w:hAnsi="宋体" w:cs="宋体" w:hint="eastAsia"/>
          <w:color w:val="000000"/>
          <w:kern w:val="0"/>
          <w:sz w:val="24"/>
          <w:szCs w:val="24"/>
        </w:rPr>
        <w:t>（哈密市国土总面积</w:t>
      </w:r>
      <w:r w:rsidRPr="00677D1F">
        <w:rPr>
          <w:rFonts w:ascii="宋体" w:eastAsia="宋体" w:hAnsi="宋体" w:cs="宋体"/>
          <w:color w:val="000000"/>
          <w:kern w:val="0"/>
          <w:sz w:val="24"/>
          <w:szCs w:val="24"/>
        </w:rPr>
        <w:t>8.5</w:t>
      </w:r>
      <w:r w:rsidRPr="00677D1F">
        <w:rPr>
          <w:rFonts w:ascii="宋体" w:eastAsia="宋体" w:hAnsi="宋体" w:cs="宋体" w:hint="eastAsia"/>
          <w:color w:val="000000"/>
          <w:kern w:val="0"/>
          <w:sz w:val="24"/>
          <w:szCs w:val="24"/>
        </w:rPr>
        <w:t>万</w:t>
      </w:r>
      <w:r w:rsidRPr="00677D1F">
        <w:rPr>
          <w:rFonts w:ascii="宋体" w:eastAsia="宋体" w:hAnsi="宋体" w:cs="宋体"/>
          <w:color w:val="000000"/>
          <w:kern w:val="0"/>
          <w:sz w:val="24"/>
          <w:szCs w:val="24"/>
        </w:rPr>
        <w:t>km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）。其中地表水域区</w:t>
      </w:r>
      <w:r w:rsidRPr="00677D1F">
        <w:rPr>
          <w:rFonts w:ascii="宋体" w:eastAsia="宋体" w:hAnsi="宋体" w:cs="宋体"/>
          <w:color w:val="000000"/>
          <w:kern w:val="0"/>
          <w:sz w:val="24"/>
          <w:szCs w:val="24"/>
        </w:rPr>
        <w:t>6</w:t>
      </w:r>
      <w:r w:rsidRPr="00677D1F">
        <w:rPr>
          <w:rFonts w:ascii="宋体" w:eastAsia="宋体" w:hAnsi="宋体" w:cs="宋体" w:hint="eastAsia"/>
          <w:color w:val="000000"/>
          <w:kern w:val="0"/>
          <w:sz w:val="24"/>
          <w:szCs w:val="24"/>
        </w:rPr>
        <w:t>个，面积</w:t>
      </w:r>
      <w:r w:rsidRPr="00677D1F">
        <w:rPr>
          <w:rFonts w:ascii="宋体" w:eastAsia="宋体" w:hAnsi="宋体" w:cs="宋体"/>
          <w:color w:val="000000"/>
          <w:kern w:val="0"/>
          <w:sz w:val="24"/>
          <w:szCs w:val="24"/>
        </w:rPr>
        <w:t>215.95km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，占水环境特殊功能区总面积的</w:t>
      </w:r>
      <w:r w:rsidRPr="00677D1F">
        <w:rPr>
          <w:rFonts w:ascii="宋体" w:eastAsia="宋体" w:hAnsi="宋体" w:cs="宋体"/>
          <w:color w:val="000000"/>
          <w:kern w:val="0"/>
          <w:sz w:val="24"/>
          <w:szCs w:val="24"/>
        </w:rPr>
        <w:t>88.89%</w:t>
      </w:r>
      <w:r w:rsidRPr="00677D1F">
        <w:rPr>
          <w:rFonts w:ascii="宋体" w:eastAsia="宋体" w:hAnsi="宋体" w:cs="宋体" w:hint="eastAsia"/>
          <w:color w:val="000000"/>
          <w:kern w:val="0"/>
          <w:sz w:val="24"/>
          <w:szCs w:val="24"/>
        </w:rPr>
        <w:t>，地下水源区</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个，面积</w:t>
      </w:r>
      <w:r w:rsidRPr="00677D1F">
        <w:rPr>
          <w:rFonts w:ascii="宋体" w:eastAsia="宋体" w:hAnsi="宋体" w:cs="宋体"/>
          <w:color w:val="000000"/>
          <w:kern w:val="0"/>
          <w:sz w:val="24"/>
          <w:szCs w:val="24"/>
        </w:rPr>
        <w:t>27km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，占水环境特殊功能区总面积的</w:t>
      </w:r>
      <w:r w:rsidRPr="00677D1F">
        <w:rPr>
          <w:rFonts w:ascii="宋体" w:eastAsia="宋体" w:hAnsi="宋体" w:cs="宋体"/>
          <w:color w:val="000000"/>
          <w:kern w:val="0"/>
          <w:sz w:val="24"/>
          <w:szCs w:val="24"/>
        </w:rPr>
        <w:t>11.11%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水环境功能区划结果详见表</w:t>
      </w:r>
      <w:r w:rsidRPr="00677D1F">
        <w:rPr>
          <w:rFonts w:ascii="宋体" w:eastAsia="宋体" w:hAnsi="宋体" w:cs="宋体"/>
          <w:color w:val="000000"/>
          <w:kern w:val="0"/>
          <w:sz w:val="24"/>
          <w:szCs w:val="24"/>
        </w:rPr>
        <w:t>4.1-1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表4.1-1哈密地区水环境特殊功能区划表</w:t>
      </w:r>
    </w:p>
    <w:tbl>
      <w:tblPr>
        <w:tblStyle w:val="aa"/>
        <w:tblW w:w="9072" w:type="dxa"/>
        <w:jc w:val="center"/>
        <w:tblLayout w:type="fixed"/>
        <w:tblLook w:val="04A0" w:firstRow="1" w:lastRow="0" w:firstColumn="1" w:lastColumn="0" w:noHBand="0" w:noVBand="1"/>
      </w:tblPr>
      <w:tblGrid>
        <w:gridCol w:w="2267"/>
        <w:gridCol w:w="2267"/>
        <w:gridCol w:w="2269"/>
        <w:gridCol w:w="2269"/>
      </w:tblGrid>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编号</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名称</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属性</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面积（km</w:t>
            </w:r>
            <w:r w:rsidRPr="00677D1F">
              <w:rPr>
                <w:rFonts w:ascii="宋体" w:eastAsia="宋体" w:hAnsi="宋体" w:cs="宋体" w:hint="eastAsia"/>
                <w:b/>
                <w:color w:val="000000"/>
                <w:kern w:val="0"/>
                <w:szCs w:val="21"/>
                <w:vertAlign w:val="superscript"/>
              </w:rPr>
              <w:t>2</w:t>
            </w:r>
            <w:r w:rsidRPr="00677D1F">
              <w:rPr>
                <w:rFonts w:ascii="宋体" w:eastAsia="宋体" w:hAnsi="宋体" w:cs="宋体" w:hint="eastAsia"/>
                <w:b/>
                <w:color w:val="000000"/>
                <w:kern w:val="0"/>
                <w:szCs w:val="21"/>
              </w:rPr>
              <w:t>）</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大南湖水库</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灌溉用水</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26.25</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五堡水库</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灌溉用水</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20.8</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花园水库</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灌溉用水</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9.9</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五道沟引水干渠</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引水干渠</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74</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石城子水库引水干渠</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引水干渠</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39</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6</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榆树沟水库引水干渠</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引水干渠</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46</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哈密市二水源地</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地下饮用水源地</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27</w:t>
            </w:r>
          </w:p>
        </w:tc>
      </w:tr>
    </w:tbl>
    <w:p w:rsidR="00D228BE" w:rsidRPr="00677D1F" w:rsidRDefault="00D228BE" w:rsidP="00677D1F">
      <w:pPr>
        <w:widowControl/>
        <w:contextualSpacing/>
        <w:rPr>
          <w:rFonts w:ascii="宋体" w:eastAsia="宋体" w:hAnsi="宋体" w:cs="宋体"/>
          <w:color w:val="000000"/>
          <w:kern w:val="0"/>
          <w:sz w:val="18"/>
          <w:szCs w:val="18"/>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（2）饮用水源保护区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①一水源地情况说明</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一水源地建于上世纪八十年代，长期以来一直未划定保护范围，现已处于市区内。目前，居民住宅楼及一些建筑设施搬迁困难，建议将来做为备用水源。目前该水源地有水源井</w:t>
      </w:r>
      <w:r w:rsidRPr="00677D1F">
        <w:rPr>
          <w:rFonts w:ascii="宋体" w:eastAsia="宋体" w:hAnsi="宋体" w:cs="宋体"/>
          <w:color w:val="000000"/>
          <w:kern w:val="0"/>
          <w:sz w:val="24"/>
          <w:szCs w:val="24"/>
        </w:rPr>
        <w:t>7</w:t>
      </w:r>
      <w:r w:rsidRPr="00677D1F">
        <w:rPr>
          <w:rFonts w:ascii="宋体" w:eastAsia="宋体" w:hAnsi="宋体" w:cs="宋体" w:hint="eastAsia"/>
          <w:color w:val="000000"/>
          <w:kern w:val="0"/>
          <w:sz w:val="24"/>
          <w:szCs w:val="24"/>
        </w:rPr>
        <w:t>眼，报废</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眼。供水量约占市区供水总量的</w:t>
      </w:r>
      <w:r w:rsidRPr="00677D1F">
        <w:rPr>
          <w:rFonts w:ascii="宋体" w:eastAsia="宋体" w:hAnsi="宋体" w:cs="宋体"/>
          <w:color w:val="000000"/>
          <w:kern w:val="0"/>
          <w:sz w:val="24"/>
          <w:szCs w:val="24"/>
        </w:rPr>
        <w:t>40%</w:t>
      </w:r>
      <w:r w:rsidRPr="00677D1F">
        <w:rPr>
          <w:rFonts w:ascii="宋体" w:eastAsia="宋体" w:hAnsi="宋体" w:cs="宋体" w:hint="eastAsia"/>
          <w:color w:val="000000"/>
          <w:kern w:val="0"/>
          <w:sz w:val="24"/>
          <w:szCs w:val="24"/>
        </w:rPr>
        <w:t>。在用井的地理坐标为：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号井</w:t>
      </w:r>
      <w:r w:rsidRPr="00677D1F">
        <w:rPr>
          <w:rFonts w:ascii="宋体" w:eastAsia="宋体" w:hAnsi="宋体" w:cs="宋体"/>
          <w:color w:val="000000"/>
          <w:kern w:val="0"/>
          <w:sz w:val="24"/>
          <w:szCs w:val="24"/>
        </w:rPr>
        <w:t>N42°50′9″</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E93°31′56″</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5</w:t>
      </w:r>
      <w:r w:rsidRPr="00677D1F">
        <w:rPr>
          <w:rFonts w:ascii="宋体" w:eastAsia="宋体" w:hAnsi="宋体" w:cs="宋体" w:hint="eastAsia"/>
          <w:color w:val="000000"/>
          <w:kern w:val="0"/>
          <w:sz w:val="24"/>
          <w:szCs w:val="24"/>
        </w:rPr>
        <w:t>号井</w:t>
      </w:r>
      <w:r w:rsidRPr="00677D1F">
        <w:rPr>
          <w:rFonts w:ascii="宋体" w:eastAsia="宋体" w:hAnsi="宋体" w:cs="宋体"/>
          <w:color w:val="000000"/>
          <w:kern w:val="0"/>
          <w:sz w:val="24"/>
          <w:szCs w:val="24"/>
        </w:rPr>
        <w:t>N42°50′55″</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E93°32′24″</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6</w:t>
      </w:r>
      <w:r w:rsidRPr="00677D1F">
        <w:rPr>
          <w:rFonts w:ascii="宋体" w:eastAsia="宋体" w:hAnsi="宋体" w:cs="宋体" w:hint="eastAsia"/>
          <w:color w:val="000000"/>
          <w:kern w:val="0"/>
          <w:sz w:val="24"/>
          <w:szCs w:val="24"/>
        </w:rPr>
        <w:t>号井</w:t>
      </w:r>
      <w:r w:rsidRPr="00677D1F">
        <w:rPr>
          <w:rFonts w:ascii="宋体" w:eastAsia="宋体" w:hAnsi="宋体" w:cs="宋体"/>
          <w:color w:val="000000"/>
          <w:kern w:val="0"/>
          <w:sz w:val="24"/>
          <w:szCs w:val="24"/>
        </w:rPr>
        <w:t>N42°50′39″</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E93°32′30″</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7</w:t>
      </w:r>
      <w:r w:rsidRPr="00677D1F">
        <w:rPr>
          <w:rFonts w:ascii="宋体" w:eastAsia="宋体" w:hAnsi="宋体" w:cs="宋体" w:hint="eastAsia"/>
          <w:color w:val="000000"/>
          <w:kern w:val="0"/>
          <w:sz w:val="24"/>
          <w:szCs w:val="24"/>
        </w:rPr>
        <w:t>号井</w:t>
      </w:r>
      <w:r w:rsidRPr="00677D1F">
        <w:rPr>
          <w:rFonts w:ascii="宋体" w:eastAsia="宋体" w:hAnsi="宋体" w:cs="宋体"/>
          <w:color w:val="000000"/>
          <w:kern w:val="0"/>
          <w:sz w:val="24"/>
          <w:szCs w:val="24"/>
        </w:rPr>
        <w:t>N42°51′7″</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E93°32′33″</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②二水源地保护区范围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饮用水源保护区范围：西起八一路与</w:t>
      </w:r>
      <w:r w:rsidRPr="00677D1F">
        <w:rPr>
          <w:rFonts w:ascii="宋体" w:eastAsia="宋体" w:hAnsi="宋体" w:cs="宋体"/>
          <w:color w:val="000000"/>
          <w:kern w:val="0"/>
          <w:sz w:val="24"/>
          <w:szCs w:val="24"/>
        </w:rPr>
        <w:t>312</w:t>
      </w:r>
      <w:r w:rsidRPr="00677D1F">
        <w:rPr>
          <w:rFonts w:ascii="宋体" w:eastAsia="宋体" w:hAnsi="宋体" w:cs="宋体" w:hint="eastAsia"/>
          <w:color w:val="000000"/>
          <w:kern w:val="0"/>
          <w:sz w:val="24"/>
          <w:szCs w:val="24"/>
        </w:rPr>
        <w:t>国道交汇点向北延伸至高速公路新线，东至</w:t>
      </w:r>
      <w:r w:rsidRPr="00677D1F">
        <w:rPr>
          <w:rFonts w:ascii="宋体" w:eastAsia="宋体" w:hAnsi="宋体" w:cs="宋体"/>
          <w:color w:val="000000"/>
          <w:kern w:val="0"/>
          <w:sz w:val="24"/>
          <w:szCs w:val="24"/>
        </w:rPr>
        <w:t>303</w:t>
      </w:r>
      <w:r w:rsidRPr="00677D1F">
        <w:rPr>
          <w:rFonts w:ascii="宋体" w:eastAsia="宋体" w:hAnsi="宋体" w:cs="宋体" w:hint="eastAsia"/>
          <w:color w:val="000000"/>
          <w:kern w:val="0"/>
          <w:sz w:val="24"/>
          <w:szCs w:val="24"/>
        </w:rPr>
        <w:t>省道以西</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km处，南起</w:t>
      </w:r>
      <w:r w:rsidRPr="00677D1F">
        <w:rPr>
          <w:rFonts w:ascii="宋体" w:eastAsia="宋体" w:hAnsi="宋体" w:cs="宋体"/>
          <w:color w:val="000000"/>
          <w:kern w:val="0"/>
          <w:sz w:val="24"/>
          <w:szCs w:val="24"/>
        </w:rPr>
        <w:t>312</w:t>
      </w:r>
      <w:r w:rsidRPr="00677D1F">
        <w:rPr>
          <w:rFonts w:ascii="宋体" w:eastAsia="宋体" w:hAnsi="宋体" w:cs="宋体" w:hint="eastAsia"/>
          <w:color w:val="000000"/>
          <w:kern w:val="0"/>
          <w:sz w:val="24"/>
          <w:szCs w:val="24"/>
        </w:rPr>
        <w:t>国道，北至高速公路新线，总面积约</w:t>
      </w:r>
      <w:r w:rsidRPr="00677D1F">
        <w:rPr>
          <w:rFonts w:ascii="宋体" w:eastAsia="宋体" w:hAnsi="宋体" w:cs="宋体"/>
          <w:color w:val="000000"/>
          <w:kern w:val="0"/>
          <w:sz w:val="24"/>
          <w:szCs w:val="24"/>
        </w:rPr>
        <w:t>24</w:t>
      </w:r>
      <w:r w:rsidRPr="00677D1F">
        <w:rPr>
          <w:rFonts w:ascii="宋体" w:eastAsia="宋体" w:hAnsi="宋体" w:cs="宋体" w:hint="eastAsia"/>
          <w:color w:val="000000"/>
          <w:kern w:val="0"/>
          <w:sz w:val="24"/>
          <w:szCs w:val="24"/>
        </w:rPr>
        <w:t>km</w:t>
      </w:r>
      <w:r w:rsidRPr="00677D1F">
        <w:rPr>
          <w:rFonts w:ascii="宋体" w:eastAsia="宋体" w:hAnsi="宋体" w:cs="宋体" w:hint="eastAsia"/>
          <w:color w:val="000000"/>
          <w:kern w:val="0"/>
          <w:sz w:val="24"/>
          <w:szCs w:val="24"/>
          <w:vertAlign w:val="superscript"/>
        </w:rPr>
        <w:t>2</w:t>
      </w:r>
      <w:r w:rsidRPr="00677D1F">
        <w:rPr>
          <w:rFonts w:ascii="宋体" w:eastAsia="宋体" w:hAnsi="宋体" w:cs="宋体" w:hint="eastAsia"/>
          <w:color w:val="000000"/>
          <w:kern w:val="0"/>
          <w:sz w:val="24"/>
          <w:szCs w:val="24"/>
        </w:rPr>
        <w:t>。其中，该区域内以二水厂集水井为中心，半径</w:t>
      </w:r>
      <w:r w:rsidRPr="00677D1F">
        <w:rPr>
          <w:rFonts w:ascii="宋体" w:eastAsia="宋体" w:hAnsi="宋体" w:cs="宋体"/>
          <w:color w:val="000000"/>
          <w:kern w:val="0"/>
          <w:sz w:val="24"/>
          <w:szCs w:val="24"/>
        </w:rPr>
        <w:t>500</w:t>
      </w:r>
      <w:r w:rsidRPr="00677D1F">
        <w:rPr>
          <w:rFonts w:ascii="宋体" w:eastAsia="宋体" w:hAnsi="宋体" w:cs="宋体" w:hint="eastAsia"/>
          <w:color w:val="000000"/>
          <w:kern w:val="0"/>
          <w:sz w:val="24"/>
          <w:szCs w:val="24"/>
        </w:rPr>
        <w:t>m范围为饮用水源一级保护区。保护区北部上游补给区为准保护区。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地理坐标：</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东边界：</w:t>
      </w:r>
      <w:r w:rsidRPr="00677D1F">
        <w:rPr>
          <w:rFonts w:ascii="宋体" w:eastAsia="宋体" w:hAnsi="宋体" w:cs="宋体"/>
          <w:color w:val="000000"/>
          <w:kern w:val="0"/>
          <w:sz w:val="24"/>
          <w:szCs w:val="24"/>
        </w:rPr>
        <w:t>N42°52′48″</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E93°29′49″</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N42°55′5″</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E93°29′49″</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西边界：</w:t>
      </w:r>
      <w:r w:rsidRPr="00677D1F">
        <w:rPr>
          <w:rFonts w:ascii="宋体" w:eastAsia="宋体" w:hAnsi="宋体" w:cs="宋体"/>
          <w:color w:val="000000"/>
          <w:kern w:val="0"/>
          <w:sz w:val="24"/>
          <w:szCs w:val="24"/>
        </w:rPr>
        <w:t>N42°52′48″</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E93°32′31″</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N42°55′5″</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E93°32′31″</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（3）水源地与本项目关系</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本项目距离最近的地表水为南湖水库，距离约为</w:t>
      </w:r>
      <w:r w:rsidRPr="00677D1F">
        <w:rPr>
          <w:rFonts w:ascii="宋体" w:eastAsia="宋体" w:hAnsi="宋体" w:cs="宋体"/>
          <w:color w:val="000000"/>
          <w:kern w:val="0"/>
          <w:sz w:val="24"/>
          <w:szCs w:val="24"/>
        </w:rPr>
        <w:t>4km</w:t>
      </w:r>
      <w:r w:rsidRPr="00677D1F">
        <w:rPr>
          <w:rFonts w:ascii="宋体" w:eastAsia="宋体" w:hAnsi="宋体" w:cs="宋体" w:hint="eastAsia"/>
          <w:color w:val="000000"/>
          <w:kern w:val="0"/>
          <w:sz w:val="24"/>
          <w:szCs w:val="24"/>
        </w:rPr>
        <w:t>。距离哈密第二引用或水源保护区的距离约为</w:t>
      </w:r>
      <w:r w:rsidRPr="00677D1F">
        <w:rPr>
          <w:rFonts w:ascii="宋体" w:eastAsia="宋体" w:hAnsi="宋体" w:cs="宋体"/>
          <w:color w:val="000000"/>
          <w:kern w:val="0"/>
          <w:sz w:val="24"/>
          <w:szCs w:val="24"/>
        </w:rPr>
        <w:t>23km</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（4）哈密市水利工程建设现状</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哈密市目前已建有山区及平原水库</w:t>
      </w:r>
      <w:r w:rsidRPr="00677D1F">
        <w:rPr>
          <w:rFonts w:ascii="宋体" w:eastAsia="宋体" w:hAnsi="宋体" w:cs="宋体"/>
          <w:color w:val="000000"/>
          <w:kern w:val="0"/>
          <w:sz w:val="24"/>
          <w:szCs w:val="24"/>
        </w:rPr>
        <w:t>15</w:t>
      </w:r>
      <w:r w:rsidRPr="00677D1F">
        <w:rPr>
          <w:rFonts w:ascii="宋体" w:eastAsia="宋体" w:hAnsi="宋体" w:cs="宋体" w:hint="eastAsia"/>
          <w:color w:val="000000"/>
          <w:kern w:val="0"/>
          <w:sz w:val="24"/>
          <w:szCs w:val="24"/>
        </w:rPr>
        <w:t>座，总库容</w:t>
      </w:r>
      <w:r w:rsidRPr="00677D1F">
        <w:rPr>
          <w:rFonts w:ascii="宋体" w:eastAsia="宋体" w:hAnsi="宋体" w:cs="宋体"/>
          <w:color w:val="000000"/>
          <w:kern w:val="0"/>
          <w:sz w:val="24"/>
          <w:szCs w:val="24"/>
        </w:rPr>
        <w:t>5560×10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，哈密市农区有各级渠道</w:t>
      </w:r>
      <w:r w:rsidRPr="00677D1F">
        <w:rPr>
          <w:rFonts w:ascii="宋体" w:eastAsia="宋体" w:hAnsi="宋体" w:cs="宋体"/>
          <w:color w:val="000000"/>
          <w:kern w:val="0"/>
          <w:sz w:val="24"/>
          <w:szCs w:val="24"/>
        </w:rPr>
        <w:t>2739km</w:t>
      </w:r>
      <w:r w:rsidRPr="00677D1F">
        <w:rPr>
          <w:rFonts w:ascii="宋体" w:eastAsia="宋体" w:hAnsi="宋体" w:cs="宋体" w:hint="eastAsia"/>
          <w:color w:val="000000"/>
          <w:kern w:val="0"/>
          <w:sz w:val="24"/>
          <w:szCs w:val="24"/>
        </w:rPr>
        <w:t>，已防渗</w:t>
      </w:r>
      <w:r w:rsidRPr="00677D1F">
        <w:rPr>
          <w:rFonts w:ascii="宋体" w:eastAsia="宋体" w:hAnsi="宋体" w:cs="宋体"/>
          <w:color w:val="000000"/>
          <w:kern w:val="0"/>
          <w:sz w:val="24"/>
          <w:szCs w:val="24"/>
        </w:rPr>
        <w:t>2403km</w:t>
      </w:r>
      <w:r w:rsidRPr="00677D1F">
        <w:rPr>
          <w:rFonts w:ascii="宋体" w:eastAsia="宋体" w:hAnsi="宋体" w:cs="宋体" w:hint="eastAsia"/>
          <w:color w:val="000000"/>
          <w:kern w:val="0"/>
          <w:sz w:val="24"/>
          <w:szCs w:val="24"/>
        </w:rPr>
        <w:t>。石城子水库、榆树沟水库、庙尔沟水库有干、支、斗、农渠道</w:t>
      </w:r>
      <w:r w:rsidRPr="00677D1F">
        <w:rPr>
          <w:rFonts w:ascii="宋体" w:eastAsia="宋体" w:hAnsi="宋体" w:cs="宋体"/>
          <w:color w:val="000000"/>
          <w:kern w:val="0"/>
          <w:sz w:val="24"/>
          <w:szCs w:val="24"/>
        </w:rPr>
        <w:t>1841.16km</w:t>
      </w:r>
      <w:r w:rsidRPr="00677D1F">
        <w:rPr>
          <w:rFonts w:ascii="宋体" w:eastAsia="宋体" w:hAnsi="宋体" w:cs="宋体" w:hint="eastAsia"/>
          <w:color w:val="000000"/>
          <w:kern w:val="0"/>
          <w:sz w:val="24"/>
          <w:szCs w:val="24"/>
        </w:rPr>
        <w:t>，已防渗</w:t>
      </w:r>
      <w:r w:rsidRPr="00677D1F">
        <w:rPr>
          <w:rFonts w:ascii="宋体" w:eastAsia="宋体" w:hAnsi="宋体" w:cs="宋体"/>
          <w:color w:val="000000"/>
          <w:kern w:val="0"/>
          <w:sz w:val="24"/>
          <w:szCs w:val="24"/>
        </w:rPr>
        <w:t>1330km</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石城子水库位于相距哈密市</w:t>
      </w:r>
      <w:r w:rsidRPr="00677D1F">
        <w:rPr>
          <w:rFonts w:ascii="宋体" w:eastAsia="宋体" w:hAnsi="宋体" w:cs="宋体"/>
          <w:color w:val="000000"/>
          <w:kern w:val="0"/>
          <w:sz w:val="24"/>
          <w:szCs w:val="24"/>
        </w:rPr>
        <w:t>38km</w:t>
      </w:r>
      <w:r w:rsidRPr="00677D1F">
        <w:rPr>
          <w:rFonts w:ascii="宋体" w:eastAsia="宋体" w:hAnsi="宋体" w:cs="宋体" w:hint="eastAsia"/>
          <w:color w:val="000000"/>
          <w:kern w:val="0"/>
          <w:sz w:val="24"/>
          <w:szCs w:val="24"/>
        </w:rPr>
        <w:t>。水库于</w:t>
      </w:r>
      <w:r w:rsidRPr="00677D1F">
        <w:rPr>
          <w:rFonts w:ascii="宋体" w:eastAsia="宋体" w:hAnsi="宋体" w:cs="宋体"/>
          <w:color w:val="000000"/>
          <w:kern w:val="0"/>
          <w:sz w:val="24"/>
          <w:szCs w:val="24"/>
        </w:rPr>
        <w:t>1975</w:t>
      </w:r>
      <w:r w:rsidRPr="00677D1F">
        <w:rPr>
          <w:rFonts w:ascii="宋体" w:eastAsia="宋体" w:hAnsi="宋体" w:cs="宋体" w:hint="eastAsia"/>
          <w:color w:val="000000"/>
          <w:kern w:val="0"/>
          <w:sz w:val="24"/>
          <w:szCs w:val="24"/>
        </w:rPr>
        <w:t>年</w:t>
      </w:r>
      <w:r w:rsidRPr="00677D1F">
        <w:rPr>
          <w:rFonts w:ascii="宋体" w:eastAsia="宋体" w:hAnsi="宋体" w:cs="宋体"/>
          <w:color w:val="000000"/>
          <w:kern w:val="0"/>
          <w:sz w:val="24"/>
          <w:szCs w:val="24"/>
        </w:rPr>
        <w:t>12</w:t>
      </w:r>
      <w:r w:rsidRPr="00677D1F">
        <w:rPr>
          <w:rFonts w:ascii="宋体" w:eastAsia="宋体" w:hAnsi="宋体" w:cs="宋体" w:hint="eastAsia"/>
          <w:color w:val="000000"/>
          <w:kern w:val="0"/>
          <w:sz w:val="24"/>
          <w:szCs w:val="24"/>
        </w:rPr>
        <w:t>月</w:t>
      </w:r>
      <w:r w:rsidRPr="00677D1F">
        <w:rPr>
          <w:rFonts w:ascii="宋体" w:eastAsia="宋体" w:hAnsi="宋体" w:cs="宋体"/>
          <w:color w:val="000000"/>
          <w:kern w:val="0"/>
          <w:sz w:val="24"/>
          <w:szCs w:val="24"/>
        </w:rPr>
        <w:t>7</w:t>
      </w:r>
      <w:r w:rsidRPr="00677D1F">
        <w:rPr>
          <w:rFonts w:ascii="宋体" w:eastAsia="宋体" w:hAnsi="宋体" w:cs="宋体" w:hint="eastAsia"/>
          <w:color w:val="000000"/>
          <w:kern w:val="0"/>
          <w:sz w:val="24"/>
          <w:szCs w:val="24"/>
        </w:rPr>
        <w:t>日动工兴建，</w:t>
      </w:r>
      <w:r w:rsidRPr="00677D1F">
        <w:rPr>
          <w:rFonts w:ascii="宋体" w:eastAsia="宋体" w:hAnsi="宋体" w:cs="宋体"/>
          <w:color w:val="000000"/>
          <w:kern w:val="0"/>
          <w:sz w:val="24"/>
          <w:szCs w:val="24"/>
        </w:rPr>
        <w:t>1982</w:t>
      </w:r>
      <w:r w:rsidRPr="00677D1F">
        <w:rPr>
          <w:rFonts w:ascii="宋体" w:eastAsia="宋体" w:hAnsi="宋体" w:cs="宋体" w:hint="eastAsia"/>
          <w:color w:val="000000"/>
          <w:kern w:val="0"/>
          <w:sz w:val="24"/>
          <w:szCs w:val="24"/>
        </w:rPr>
        <w:t>年竣工投入运行。水库坝址以上集水面积</w:t>
      </w:r>
      <w:r w:rsidRPr="00677D1F">
        <w:rPr>
          <w:rFonts w:ascii="宋体" w:eastAsia="宋体" w:hAnsi="宋体" w:cs="宋体"/>
          <w:color w:val="000000"/>
          <w:kern w:val="0"/>
          <w:sz w:val="24"/>
          <w:szCs w:val="24"/>
        </w:rPr>
        <w:t>802km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，石城子水库总库容</w:t>
      </w:r>
      <w:r w:rsidRPr="00677D1F">
        <w:rPr>
          <w:rFonts w:ascii="宋体" w:eastAsia="宋体" w:hAnsi="宋体" w:cs="宋体"/>
          <w:color w:val="000000"/>
          <w:kern w:val="0"/>
          <w:sz w:val="24"/>
          <w:szCs w:val="24"/>
        </w:rPr>
        <w:t>2060×10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，水库设计洪水标准百年一遇，相应流量</w:t>
      </w:r>
      <w:r w:rsidRPr="00677D1F">
        <w:rPr>
          <w:rFonts w:ascii="宋体" w:eastAsia="宋体" w:hAnsi="宋体" w:cs="宋体"/>
          <w:color w:val="000000"/>
          <w:kern w:val="0"/>
          <w:sz w:val="24"/>
          <w:szCs w:val="24"/>
        </w:rPr>
        <w:t>360m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，水库校核洪水千年一遇，相应流量</w:t>
      </w:r>
      <w:r w:rsidRPr="00677D1F">
        <w:rPr>
          <w:rFonts w:ascii="宋体" w:eastAsia="宋体" w:hAnsi="宋体" w:cs="宋体"/>
          <w:color w:val="000000"/>
          <w:kern w:val="0"/>
          <w:sz w:val="24"/>
          <w:szCs w:val="24"/>
        </w:rPr>
        <w:t>795m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。石城子水库为年调节水库，通过水库调蓄能将夏、秋季节丰水期水量调配给冬、春季节枯水期用水，可满足下游一年四季供水要求。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榆树沟水库位于哈密市榆树沟乡，距哈密市</w:t>
      </w:r>
      <w:r w:rsidRPr="00677D1F">
        <w:rPr>
          <w:rFonts w:ascii="宋体" w:eastAsia="宋体" w:hAnsi="宋体" w:cs="宋体"/>
          <w:color w:val="000000"/>
          <w:kern w:val="0"/>
          <w:sz w:val="24"/>
          <w:szCs w:val="24"/>
        </w:rPr>
        <w:t>50km</w:t>
      </w:r>
      <w:r w:rsidRPr="00677D1F">
        <w:rPr>
          <w:rFonts w:ascii="宋体" w:eastAsia="宋体" w:hAnsi="宋体" w:cs="宋体" w:hint="eastAsia"/>
          <w:color w:val="000000"/>
          <w:kern w:val="0"/>
          <w:sz w:val="24"/>
          <w:szCs w:val="24"/>
        </w:rPr>
        <w:t>。水库于</w:t>
      </w:r>
      <w:r w:rsidRPr="00677D1F">
        <w:rPr>
          <w:rFonts w:ascii="宋体" w:eastAsia="宋体" w:hAnsi="宋体" w:cs="宋体"/>
          <w:color w:val="000000"/>
          <w:kern w:val="0"/>
          <w:sz w:val="24"/>
          <w:szCs w:val="24"/>
        </w:rPr>
        <w:t>1998</w:t>
      </w:r>
      <w:r w:rsidRPr="00677D1F">
        <w:rPr>
          <w:rFonts w:ascii="宋体" w:eastAsia="宋体" w:hAnsi="宋体" w:cs="宋体" w:hint="eastAsia"/>
          <w:color w:val="000000"/>
          <w:kern w:val="0"/>
          <w:sz w:val="24"/>
          <w:szCs w:val="24"/>
        </w:rPr>
        <w:t>年</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月动工兴建，</w:t>
      </w:r>
      <w:r w:rsidRPr="00677D1F">
        <w:rPr>
          <w:rFonts w:ascii="宋体" w:eastAsia="宋体" w:hAnsi="宋体" w:cs="宋体"/>
          <w:color w:val="000000"/>
          <w:kern w:val="0"/>
          <w:sz w:val="24"/>
          <w:szCs w:val="24"/>
        </w:rPr>
        <w:t>2001</w:t>
      </w:r>
      <w:r w:rsidRPr="00677D1F">
        <w:rPr>
          <w:rFonts w:ascii="宋体" w:eastAsia="宋体" w:hAnsi="宋体" w:cs="宋体" w:hint="eastAsia"/>
          <w:color w:val="000000"/>
          <w:kern w:val="0"/>
          <w:sz w:val="24"/>
          <w:szCs w:val="24"/>
        </w:rPr>
        <w:t>年</w:t>
      </w:r>
      <w:r w:rsidRPr="00677D1F">
        <w:rPr>
          <w:rFonts w:ascii="宋体" w:eastAsia="宋体" w:hAnsi="宋体" w:cs="宋体"/>
          <w:color w:val="000000"/>
          <w:kern w:val="0"/>
          <w:sz w:val="24"/>
          <w:szCs w:val="24"/>
        </w:rPr>
        <w:t>11</w:t>
      </w:r>
      <w:r w:rsidRPr="00677D1F">
        <w:rPr>
          <w:rFonts w:ascii="宋体" w:eastAsia="宋体" w:hAnsi="宋体" w:cs="宋体" w:hint="eastAsia"/>
          <w:color w:val="000000"/>
          <w:kern w:val="0"/>
          <w:sz w:val="24"/>
          <w:szCs w:val="24"/>
        </w:rPr>
        <w:t>月完工。榆树沟水库集水面积</w:t>
      </w:r>
      <w:r w:rsidRPr="00677D1F">
        <w:rPr>
          <w:rFonts w:ascii="宋体" w:eastAsia="宋体" w:hAnsi="宋体" w:cs="宋体"/>
          <w:color w:val="000000"/>
          <w:kern w:val="0"/>
          <w:sz w:val="24"/>
          <w:szCs w:val="24"/>
        </w:rPr>
        <w:t>308km</w:t>
      </w:r>
      <w:r w:rsidRPr="00677D1F">
        <w:rPr>
          <w:rFonts w:ascii="宋体" w:eastAsia="宋体" w:hAnsi="宋体" w:cs="宋体"/>
          <w:color w:val="000000"/>
          <w:kern w:val="0"/>
          <w:sz w:val="24"/>
          <w:szCs w:val="24"/>
          <w:vertAlign w:val="superscript"/>
        </w:rPr>
        <w:t>2</w:t>
      </w:r>
      <w:r w:rsidRPr="00677D1F">
        <w:rPr>
          <w:rFonts w:ascii="宋体" w:eastAsia="宋体" w:hAnsi="宋体" w:cs="宋体" w:hint="eastAsia"/>
          <w:color w:val="000000"/>
          <w:kern w:val="0"/>
          <w:sz w:val="24"/>
          <w:szCs w:val="24"/>
        </w:rPr>
        <w:t>，榆树沟水库总库容</w:t>
      </w:r>
      <w:r w:rsidRPr="00677D1F">
        <w:rPr>
          <w:rFonts w:ascii="宋体" w:eastAsia="宋体" w:hAnsi="宋体" w:cs="宋体"/>
          <w:color w:val="000000"/>
          <w:kern w:val="0"/>
          <w:sz w:val="24"/>
          <w:szCs w:val="24"/>
        </w:rPr>
        <w:t>1100×10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，榆树沟水库设计洪水采用</w:t>
      </w:r>
      <w:r w:rsidRPr="00677D1F">
        <w:rPr>
          <w:rFonts w:ascii="宋体" w:eastAsia="宋体" w:hAnsi="宋体" w:cs="宋体"/>
          <w:color w:val="000000"/>
          <w:kern w:val="0"/>
          <w:sz w:val="24"/>
          <w:szCs w:val="24"/>
        </w:rPr>
        <w:t>50</w:t>
      </w:r>
      <w:r w:rsidRPr="00677D1F">
        <w:rPr>
          <w:rFonts w:ascii="宋体" w:eastAsia="宋体" w:hAnsi="宋体" w:cs="宋体" w:hint="eastAsia"/>
          <w:color w:val="000000"/>
          <w:kern w:val="0"/>
          <w:sz w:val="24"/>
          <w:szCs w:val="24"/>
        </w:rPr>
        <w:t>年一遇标准，流量</w:t>
      </w:r>
      <w:r w:rsidRPr="00677D1F">
        <w:rPr>
          <w:rFonts w:ascii="宋体" w:eastAsia="宋体" w:hAnsi="宋体" w:cs="宋体"/>
          <w:color w:val="000000"/>
          <w:kern w:val="0"/>
          <w:sz w:val="24"/>
          <w:szCs w:val="24"/>
        </w:rPr>
        <w:t>126m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；校核洪水采用千年一遇的标准，流量</w:t>
      </w:r>
      <w:r w:rsidRPr="00677D1F">
        <w:rPr>
          <w:rFonts w:ascii="宋体" w:eastAsia="宋体" w:hAnsi="宋体" w:cs="宋体"/>
          <w:color w:val="000000"/>
          <w:kern w:val="0"/>
          <w:sz w:val="24"/>
          <w:szCs w:val="24"/>
        </w:rPr>
        <w:t>398m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。设计洪水位</w:t>
      </w:r>
      <w:r w:rsidRPr="00677D1F">
        <w:rPr>
          <w:rFonts w:ascii="宋体" w:eastAsia="宋体" w:hAnsi="宋体" w:cs="宋体"/>
          <w:color w:val="000000"/>
          <w:kern w:val="0"/>
          <w:sz w:val="24"/>
          <w:szCs w:val="24"/>
        </w:rPr>
        <w:t>1996.73m</w:t>
      </w:r>
      <w:r w:rsidRPr="00677D1F">
        <w:rPr>
          <w:rFonts w:ascii="宋体" w:eastAsia="宋体" w:hAnsi="宋体" w:cs="宋体" w:hint="eastAsia"/>
          <w:color w:val="000000"/>
          <w:kern w:val="0"/>
          <w:sz w:val="24"/>
          <w:szCs w:val="24"/>
        </w:rPr>
        <w:t>，校核洪水为</w:t>
      </w:r>
      <w:r w:rsidRPr="00677D1F">
        <w:rPr>
          <w:rFonts w:ascii="宋体" w:eastAsia="宋体" w:hAnsi="宋体" w:cs="宋体"/>
          <w:color w:val="000000"/>
          <w:kern w:val="0"/>
          <w:sz w:val="24"/>
          <w:szCs w:val="24"/>
        </w:rPr>
        <w:t>1998.68m</w:t>
      </w:r>
      <w:r w:rsidRPr="00677D1F">
        <w:rPr>
          <w:rFonts w:ascii="宋体" w:eastAsia="宋体" w:hAnsi="宋体" w:cs="宋体" w:hint="eastAsia"/>
          <w:color w:val="000000"/>
          <w:kern w:val="0"/>
          <w:sz w:val="24"/>
          <w:szCs w:val="24"/>
        </w:rPr>
        <w:t>，正常蓄水位</w:t>
      </w:r>
      <w:r w:rsidRPr="00677D1F">
        <w:rPr>
          <w:rFonts w:ascii="宋体" w:eastAsia="宋体" w:hAnsi="宋体" w:cs="宋体"/>
          <w:color w:val="000000"/>
          <w:kern w:val="0"/>
          <w:sz w:val="24"/>
          <w:szCs w:val="24"/>
        </w:rPr>
        <w:t>1994.7m</w:t>
      </w:r>
      <w:r w:rsidRPr="00677D1F">
        <w:rPr>
          <w:rFonts w:ascii="宋体" w:eastAsia="宋体" w:hAnsi="宋体" w:cs="宋体" w:hint="eastAsia"/>
          <w:color w:val="000000"/>
          <w:kern w:val="0"/>
          <w:sz w:val="24"/>
          <w:szCs w:val="24"/>
        </w:rPr>
        <w:t>，死水位</w:t>
      </w:r>
      <w:r w:rsidRPr="00677D1F">
        <w:rPr>
          <w:rFonts w:ascii="宋体" w:eastAsia="宋体" w:hAnsi="宋体" w:cs="宋体"/>
          <w:color w:val="000000"/>
          <w:kern w:val="0"/>
          <w:sz w:val="24"/>
          <w:szCs w:val="24"/>
        </w:rPr>
        <w:t>1953m</w:t>
      </w:r>
      <w:r w:rsidRPr="00677D1F">
        <w:rPr>
          <w:rFonts w:ascii="宋体" w:eastAsia="宋体" w:hAnsi="宋体" w:cs="宋体" w:hint="eastAsia"/>
          <w:color w:val="000000"/>
          <w:kern w:val="0"/>
          <w:sz w:val="24"/>
          <w:szCs w:val="24"/>
        </w:rPr>
        <w:t>。设计洪水下泄流量</w:t>
      </w:r>
      <w:r w:rsidRPr="00677D1F">
        <w:rPr>
          <w:rFonts w:ascii="宋体" w:eastAsia="宋体" w:hAnsi="宋体" w:cs="宋体"/>
          <w:color w:val="000000"/>
          <w:kern w:val="0"/>
          <w:sz w:val="24"/>
          <w:szCs w:val="24"/>
        </w:rPr>
        <w:t>108m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。校核洪水下泄流量</w:t>
      </w:r>
      <w:r w:rsidRPr="00677D1F">
        <w:rPr>
          <w:rFonts w:ascii="宋体" w:eastAsia="宋体" w:hAnsi="宋体" w:cs="宋体"/>
          <w:color w:val="000000"/>
          <w:kern w:val="0"/>
          <w:sz w:val="24"/>
          <w:szCs w:val="24"/>
        </w:rPr>
        <w:t>295m</w:t>
      </w:r>
      <w:r w:rsidRPr="00677D1F">
        <w:rPr>
          <w:rFonts w:ascii="宋体" w:eastAsia="宋体" w:hAnsi="宋体" w:cs="宋体"/>
          <w:color w:val="000000"/>
          <w:kern w:val="0"/>
          <w:sz w:val="24"/>
          <w:szCs w:val="24"/>
          <w:vertAlign w:val="superscript"/>
        </w:rPr>
        <w:t>3</w:t>
      </w:r>
      <w:r w:rsidRPr="00677D1F">
        <w:rPr>
          <w:rFonts w:ascii="宋体" w:eastAsia="宋体" w:hAnsi="宋体" w:cs="宋体"/>
          <w:color w:val="000000"/>
          <w:kern w:val="0"/>
          <w:sz w:val="24"/>
          <w:szCs w:val="24"/>
        </w:rPr>
        <w:t>/s</w:t>
      </w:r>
      <w:r w:rsidRPr="00677D1F">
        <w:rPr>
          <w:rFonts w:ascii="宋体" w:eastAsia="宋体" w:hAnsi="宋体" w:cs="宋体" w:hint="eastAsia"/>
          <w:color w:val="000000"/>
          <w:kern w:val="0"/>
          <w:sz w:val="24"/>
          <w:szCs w:val="24"/>
        </w:rPr>
        <w:t>。榆树沟水库已建成向工业供水的输水管道。</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庙儿沟水库坐落在哈密市庙儿沟村西边的山脚下，水库左边有一条引水渠道，渠道长约</w:t>
      </w:r>
      <w:r w:rsidRPr="00677D1F">
        <w:rPr>
          <w:rFonts w:ascii="宋体" w:eastAsia="宋体" w:hAnsi="宋体" w:cs="宋体"/>
          <w:color w:val="000000"/>
          <w:kern w:val="0"/>
          <w:sz w:val="24"/>
          <w:szCs w:val="24"/>
        </w:rPr>
        <w:t>3km</w:t>
      </w:r>
      <w:r w:rsidRPr="00677D1F">
        <w:rPr>
          <w:rFonts w:ascii="宋体" w:eastAsia="宋体" w:hAnsi="宋体" w:cs="宋体" w:hint="eastAsia"/>
          <w:color w:val="000000"/>
          <w:kern w:val="0"/>
          <w:sz w:val="24"/>
          <w:szCs w:val="24"/>
        </w:rPr>
        <w:t>，庙儿沟水库库容</w:t>
      </w:r>
      <w:r w:rsidRPr="00677D1F">
        <w:rPr>
          <w:rFonts w:ascii="宋体" w:eastAsia="宋体" w:hAnsi="宋体" w:cs="宋体"/>
          <w:color w:val="000000"/>
          <w:kern w:val="0"/>
          <w:sz w:val="24"/>
          <w:szCs w:val="24"/>
        </w:rPr>
        <w:t>300×10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w:t>
      </w:r>
      <w:r w:rsidRPr="00677D1F">
        <w:rPr>
          <w:rFonts w:ascii="宋体" w:eastAsia="宋体" w:hAnsi="宋体" w:cs="宋体"/>
          <w:color w:val="000000"/>
          <w:kern w:val="0"/>
          <w:sz w:val="24"/>
          <w:szCs w:val="24"/>
        </w:rPr>
        <w:t>5</w:t>
      </w:r>
      <w:r w:rsidRPr="00677D1F">
        <w:rPr>
          <w:rFonts w:ascii="宋体" w:eastAsia="宋体" w:hAnsi="宋体" w:cs="宋体" w:hint="eastAsia"/>
          <w:color w:val="000000"/>
          <w:kern w:val="0"/>
          <w:sz w:val="24"/>
          <w:szCs w:val="24"/>
        </w:rPr>
        <w:t>）水资源开发利用现状</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哈密市人均水资源总量仅为</w:t>
      </w:r>
      <w:r w:rsidRPr="00677D1F">
        <w:rPr>
          <w:rFonts w:ascii="宋体" w:eastAsia="宋体" w:hAnsi="宋体" w:cs="宋体"/>
          <w:color w:val="000000"/>
          <w:kern w:val="0"/>
          <w:sz w:val="24"/>
          <w:szCs w:val="24"/>
        </w:rPr>
        <w:t>1500m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，低于国际公认的</w:t>
      </w:r>
      <w:r w:rsidRPr="00677D1F">
        <w:rPr>
          <w:rFonts w:ascii="宋体" w:eastAsia="宋体" w:hAnsi="宋体" w:cs="宋体"/>
          <w:color w:val="000000"/>
          <w:kern w:val="0"/>
          <w:sz w:val="24"/>
          <w:szCs w:val="24"/>
        </w:rPr>
        <w:t>1700m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的警戒线，因此哈密市属于严重的资源型缺水地区。表</w:t>
      </w:r>
      <w:r w:rsidRPr="00677D1F">
        <w:rPr>
          <w:rFonts w:ascii="宋体" w:eastAsia="宋体" w:hAnsi="宋体" w:cs="宋体"/>
          <w:color w:val="000000"/>
          <w:kern w:val="0"/>
          <w:sz w:val="24"/>
          <w:szCs w:val="24"/>
        </w:rPr>
        <w:t>4.1-2</w:t>
      </w:r>
      <w:r w:rsidRPr="00677D1F">
        <w:rPr>
          <w:rFonts w:ascii="宋体" w:eastAsia="宋体" w:hAnsi="宋体" w:cs="宋体" w:hint="eastAsia"/>
          <w:color w:val="000000"/>
          <w:kern w:val="0"/>
          <w:sz w:val="24"/>
          <w:szCs w:val="24"/>
        </w:rPr>
        <w:t>反映出了哈密市近年各行业用水量情况，但是没有考虑环境生态用水水量。</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4.1-2</w:t>
      </w:r>
      <w:r w:rsidRPr="00677D1F">
        <w:rPr>
          <w:rFonts w:ascii="黑体" w:eastAsia="黑体" w:hAnsi="黑体" w:cs="宋体" w:hint="eastAsia"/>
          <w:b/>
          <w:color w:val="000000"/>
          <w:kern w:val="0"/>
          <w:szCs w:val="21"/>
        </w:rPr>
        <w:t>哈密市现状各行业用水量汇总表</w:t>
      </w:r>
    </w:p>
    <w:tbl>
      <w:tblPr>
        <w:tblStyle w:val="aa"/>
        <w:tblW w:w="9072" w:type="dxa"/>
        <w:jc w:val="center"/>
        <w:tblLayout w:type="fixed"/>
        <w:tblLook w:val="04A0" w:firstRow="1" w:lastRow="0" w:firstColumn="1" w:lastColumn="0" w:noHBand="0" w:noVBand="1"/>
      </w:tblPr>
      <w:tblGrid>
        <w:gridCol w:w="2267"/>
        <w:gridCol w:w="2267"/>
        <w:gridCol w:w="2269"/>
        <w:gridCol w:w="2269"/>
      </w:tblGrid>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用水项目</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用水总量（1×10</w:t>
            </w:r>
            <w:r w:rsidRPr="00677D1F">
              <w:rPr>
                <w:rFonts w:ascii="宋体" w:eastAsia="宋体" w:hAnsi="宋体" w:cs="宋体" w:hint="eastAsia"/>
                <w:color w:val="000000"/>
                <w:kern w:val="0"/>
                <w:szCs w:val="21"/>
                <w:vertAlign w:val="superscript"/>
              </w:rPr>
              <w:t>4</w:t>
            </w:r>
            <w:r w:rsidRPr="00677D1F">
              <w:rPr>
                <w:rFonts w:ascii="宋体" w:eastAsia="宋体" w:hAnsi="宋体" w:cs="宋体" w:hint="eastAsia"/>
                <w:color w:val="000000"/>
                <w:kern w:val="0"/>
                <w:szCs w:val="21"/>
              </w:rPr>
              <w:t>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地表水（1×10</w:t>
            </w:r>
            <w:r w:rsidRPr="00677D1F">
              <w:rPr>
                <w:rFonts w:ascii="宋体" w:eastAsia="宋体" w:hAnsi="宋体" w:cs="宋体" w:hint="eastAsia"/>
                <w:color w:val="000000"/>
                <w:kern w:val="0"/>
                <w:szCs w:val="21"/>
                <w:vertAlign w:val="superscript"/>
              </w:rPr>
              <w:t>4</w:t>
            </w:r>
            <w:r w:rsidRPr="00677D1F">
              <w:rPr>
                <w:rFonts w:ascii="宋体" w:eastAsia="宋体" w:hAnsi="宋体" w:cs="宋体" w:hint="eastAsia"/>
                <w:color w:val="000000"/>
                <w:kern w:val="0"/>
                <w:szCs w:val="21"/>
              </w:rPr>
              <w:t>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地下水（1×10</w:t>
            </w:r>
            <w:r w:rsidRPr="00677D1F">
              <w:rPr>
                <w:rFonts w:ascii="宋体" w:eastAsia="宋体" w:hAnsi="宋体" w:cs="宋体" w:hint="eastAsia"/>
                <w:color w:val="000000"/>
                <w:kern w:val="0"/>
                <w:szCs w:val="21"/>
                <w:vertAlign w:val="superscript"/>
              </w:rPr>
              <w:t>4</w:t>
            </w:r>
            <w:r w:rsidRPr="00677D1F">
              <w:rPr>
                <w:rFonts w:ascii="宋体" w:eastAsia="宋体" w:hAnsi="宋体" w:cs="宋体" w:hint="eastAsia"/>
                <w:color w:val="000000"/>
                <w:kern w:val="0"/>
                <w:szCs w:val="21"/>
              </w:rPr>
              <w:t>m</w:t>
            </w:r>
            <w:r w:rsidRPr="00677D1F">
              <w:rPr>
                <w:rFonts w:ascii="宋体" w:eastAsia="宋体" w:hAnsi="宋体" w:cs="宋体" w:hint="eastAsia"/>
                <w:color w:val="000000"/>
                <w:kern w:val="0"/>
                <w:szCs w:val="21"/>
                <w:vertAlign w:val="superscript"/>
              </w:rPr>
              <w:t>3</w:t>
            </w:r>
            <w:r w:rsidRPr="00677D1F">
              <w:rPr>
                <w:rFonts w:ascii="宋体" w:eastAsia="宋体" w:hAnsi="宋体" w:cs="宋体" w:hint="eastAsia"/>
                <w:color w:val="000000"/>
                <w:kern w:val="0"/>
                <w:szCs w:val="21"/>
              </w:rPr>
              <w:t>）</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农业用水</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17192</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6279</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10913</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城市生活用水</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2391</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2391</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工业用水</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1945</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1945</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农村人畜用水</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249</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249</w:t>
            </w:r>
          </w:p>
        </w:tc>
      </w:tr>
      <w:tr w:rsidR="00D228BE" w:rsidRPr="00677D1F">
        <w:trPr>
          <w:trHeight w:val="340"/>
          <w:jc w:val="center"/>
        </w:trPr>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总用水量</w:t>
            </w:r>
          </w:p>
        </w:tc>
        <w:tc>
          <w:tcPr>
            <w:tcW w:w="22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21776（不含生态）</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6279</w:t>
            </w:r>
          </w:p>
        </w:tc>
        <w:tc>
          <w:tcPr>
            <w:tcW w:w="226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15497</w:t>
            </w:r>
          </w:p>
        </w:tc>
      </w:tr>
    </w:tbl>
    <w:p w:rsidR="00D228BE" w:rsidRPr="00677D1F" w:rsidRDefault="00D228BE" w:rsidP="00677D1F">
      <w:pPr>
        <w:widowControl/>
        <w:spacing w:line="240" w:lineRule="exact"/>
        <w:ind w:firstLineChars="200" w:firstLine="480"/>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由表</w:t>
      </w:r>
      <w:r w:rsidRPr="00677D1F">
        <w:rPr>
          <w:rFonts w:ascii="宋体" w:eastAsia="宋体" w:hAnsi="宋体" w:cs="宋体"/>
          <w:color w:val="000000"/>
          <w:kern w:val="0"/>
          <w:sz w:val="24"/>
          <w:szCs w:val="24"/>
        </w:rPr>
        <w:t>4.1-2</w:t>
      </w:r>
      <w:r w:rsidRPr="00677D1F">
        <w:rPr>
          <w:rFonts w:ascii="宋体" w:eastAsia="宋体" w:hAnsi="宋体" w:cs="宋体" w:hint="eastAsia"/>
          <w:color w:val="000000"/>
          <w:kern w:val="0"/>
          <w:sz w:val="24"/>
          <w:szCs w:val="24"/>
        </w:rPr>
        <w:t>可知，哈密市总用水量（不含生态用水）约</w:t>
      </w:r>
      <w:r w:rsidRPr="00677D1F">
        <w:rPr>
          <w:rFonts w:ascii="宋体" w:eastAsia="宋体" w:hAnsi="宋体" w:cs="宋体"/>
          <w:color w:val="000000"/>
          <w:kern w:val="0"/>
          <w:sz w:val="24"/>
          <w:szCs w:val="24"/>
        </w:rPr>
        <w:t>2.18×10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，其中地表水约</w:t>
      </w:r>
      <w:r w:rsidRPr="00677D1F">
        <w:rPr>
          <w:rFonts w:ascii="宋体" w:eastAsia="宋体" w:hAnsi="宋体" w:cs="宋体"/>
          <w:color w:val="000000"/>
          <w:kern w:val="0"/>
          <w:sz w:val="24"/>
          <w:szCs w:val="24"/>
        </w:rPr>
        <w:t>0.63×10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，地下水约</w:t>
      </w:r>
      <w:r w:rsidRPr="00677D1F">
        <w:rPr>
          <w:rFonts w:ascii="宋体" w:eastAsia="宋体" w:hAnsi="宋体" w:cs="宋体"/>
          <w:color w:val="000000"/>
          <w:kern w:val="0"/>
          <w:sz w:val="24"/>
          <w:szCs w:val="24"/>
        </w:rPr>
        <w:t>1.55×10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。农业用水</w:t>
      </w:r>
      <w:r w:rsidRPr="00677D1F">
        <w:rPr>
          <w:rFonts w:ascii="宋体" w:eastAsia="宋体" w:hAnsi="宋体" w:cs="宋体"/>
          <w:color w:val="000000"/>
          <w:kern w:val="0"/>
          <w:sz w:val="24"/>
          <w:szCs w:val="24"/>
        </w:rPr>
        <w:t>17192×10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，其中地表水</w:t>
      </w:r>
      <w:r w:rsidRPr="00677D1F">
        <w:rPr>
          <w:rFonts w:ascii="宋体" w:eastAsia="宋体" w:hAnsi="宋体" w:cs="宋体"/>
          <w:color w:val="000000"/>
          <w:kern w:val="0"/>
          <w:sz w:val="24"/>
          <w:szCs w:val="24"/>
        </w:rPr>
        <w:t>6279×10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，地下水约</w:t>
      </w:r>
      <w:r w:rsidRPr="00677D1F">
        <w:rPr>
          <w:rFonts w:ascii="宋体" w:eastAsia="宋体" w:hAnsi="宋体" w:cs="宋体"/>
          <w:color w:val="000000"/>
          <w:kern w:val="0"/>
          <w:sz w:val="24"/>
          <w:szCs w:val="24"/>
        </w:rPr>
        <w:t>10913×10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。工业用水</w:t>
      </w:r>
      <w:r w:rsidRPr="00677D1F">
        <w:rPr>
          <w:rFonts w:ascii="宋体" w:eastAsia="宋体" w:hAnsi="宋体" w:cs="宋体"/>
          <w:color w:val="000000"/>
          <w:kern w:val="0"/>
          <w:sz w:val="24"/>
          <w:szCs w:val="24"/>
        </w:rPr>
        <w:t>1945×10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，不采用地表水，地下水为</w:t>
      </w:r>
      <w:r w:rsidRPr="00677D1F">
        <w:rPr>
          <w:rFonts w:ascii="宋体" w:eastAsia="宋体" w:hAnsi="宋体" w:cs="宋体"/>
          <w:color w:val="000000"/>
          <w:kern w:val="0"/>
          <w:sz w:val="24"/>
          <w:szCs w:val="24"/>
        </w:rPr>
        <w:t>1945×10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哈密地区水源分布情况见图</w:t>
      </w:r>
      <w:r w:rsidRPr="00677D1F">
        <w:rPr>
          <w:rFonts w:ascii="宋体" w:eastAsia="宋体" w:hAnsi="宋体" w:cs="宋体"/>
          <w:color w:val="000000"/>
          <w:kern w:val="0"/>
          <w:sz w:val="24"/>
          <w:szCs w:val="24"/>
        </w:rPr>
        <w:t>4.1-3</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4.1.5</w:t>
      </w:r>
      <w:r w:rsidRPr="00677D1F">
        <w:rPr>
          <w:rFonts w:ascii="Times New Roman" w:eastAsia="宋体" w:hAnsi="Times New Roman" w:cs="Times New Roman" w:hint="eastAsia"/>
          <w:b/>
          <w:bCs/>
          <w:color w:val="000000"/>
          <w:kern w:val="0"/>
          <w:sz w:val="26"/>
          <w:szCs w:val="26"/>
        </w:rPr>
        <w:t>气候与气象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地区位于中纬度亚欧大陆腹地，由于天山山脉橫亘于北部，加之山南多为荒漠戈壁，本地区具有很强的大陆性温带干旱气候特点，本项目所在的哈密盆地的气候分区为暖温带极干旱区。气候特征为：干燥少雨，光照充沛，年、日温差大，春季多风，冷暖多变，夏季酷热，蒸发强烈，秋季晴朗，降温迅速，冬季严寒酷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哈密气象站资料：</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最热月平均气温          </w:t>
      </w:r>
      <w:r w:rsidRPr="00677D1F">
        <w:rPr>
          <w:rFonts w:ascii="宋体" w:eastAsia="宋体" w:hAnsi="宋体" w:cs="宋体"/>
          <w:color w:val="000000"/>
          <w:kern w:val="0"/>
          <w:sz w:val="24"/>
          <w:szCs w:val="24"/>
        </w:rPr>
        <w:t>27.2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最冷月平均气温          </w:t>
      </w:r>
      <w:r w:rsidRPr="00677D1F">
        <w:rPr>
          <w:rFonts w:ascii="宋体" w:eastAsia="宋体" w:hAnsi="宋体" w:cs="宋体"/>
          <w:color w:val="000000"/>
          <w:kern w:val="0"/>
          <w:sz w:val="24"/>
          <w:szCs w:val="24"/>
        </w:rPr>
        <w:t>-9.0</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极端最高气温            </w:t>
      </w:r>
      <w:r w:rsidRPr="00677D1F">
        <w:rPr>
          <w:rFonts w:ascii="宋体" w:eastAsia="宋体" w:hAnsi="宋体" w:cs="宋体"/>
          <w:color w:val="000000"/>
          <w:kern w:val="0"/>
          <w:sz w:val="24"/>
          <w:szCs w:val="24"/>
        </w:rPr>
        <w:t>43.9</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极端最低气温            </w:t>
      </w:r>
      <w:r w:rsidRPr="00677D1F">
        <w:rPr>
          <w:rFonts w:ascii="宋体" w:eastAsia="宋体" w:hAnsi="宋体" w:cs="宋体"/>
          <w:color w:val="000000"/>
          <w:kern w:val="0"/>
          <w:sz w:val="24"/>
          <w:szCs w:val="24"/>
        </w:rPr>
        <w:t>-32.0</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年平均气温              </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年降水量                </w:t>
      </w:r>
      <w:r w:rsidRPr="00677D1F">
        <w:rPr>
          <w:rFonts w:ascii="宋体" w:eastAsia="宋体" w:hAnsi="宋体" w:cs="宋体"/>
          <w:color w:val="000000"/>
          <w:kern w:val="0"/>
          <w:sz w:val="24"/>
          <w:szCs w:val="24"/>
        </w:rPr>
        <w:t>34.6mm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一日最大降水量          </w:t>
      </w:r>
      <w:r w:rsidRPr="00677D1F">
        <w:rPr>
          <w:rFonts w:ascii="宋体" w:eastAsia="宋体" w:hAnsi="宋体" w:cs="宋体"/>
          <w:color w:val="000000"/>
          <w:kern w:val="0"/>
          <w:sz w:val="24"/>
          <w:szCs w:val="24"/>
        </w:rPr>
        <w:t>19.9mm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年最大降水量            </w:t>
      </w:r>
      <w:r w:rsidRPr="00677D1F">
        <w:rPr>
          <w:rFonts w:ascii="宋体" w:eastAsia="宋体" w:hAnsi="宋体" w:cs="宋体"/>
          <w:color w:val="000000"/>
          <w:kern w:val="0"/>
          <w:sz w:val="24"/>
          <w:szCs w:val="24"/>
        </w:rPr>
        <w:t>66.3mm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 xml:space="preserve">年最小降水量            </w:t>
      </w:r>
      <w:r w:rsidRPr="00677D1F">
        <w:rPr>
          <w:rFonts w:ascii="宋体" w:eastAsia="宋体" w:hAnsi="宋体" w:cs="宋体"/>
          <w:color w:val="000000"/>
          <w:kern w:val="0"/>
          <w:sz w:val="24"/>
          <w:szCs w:val="24"/>
        </w:rPr>
        <w:t>9.6mm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蒸发量                  </w:t>
      </w:r>
      <w:r w:rsidRPr="00677D1F">
        <w:rPr>
          <w:rFonts w:ascii="宋体" w:eastAsia="宋体" w:hAnsi="宋体" w:cs="宋体"/>
          <w:color w:val="000000"/>
          <w:kern w:val="0"/>
          <w:sz w:val="24"/>
          <w:szCs w:val="24"/>
        </w:rPr>
        <w:t>3092mm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年大风天数              </w:t>
      </w:r>
      <w:r w:rsidRPr="00677D1F">
        <w:rPr>
          <w:rFonts w:ascii="宋体" w:eastAsia="宋体" w:hAnsi="宋体" w:cs="宋体"/>
          <w:color w:val="000000"/>
          <w:kern w:val="0"/>
          <w:sz w:val="24"/>
          <w:szCs w:val="24"/>
        </w:rPr>
        <w:t>22.2</w:t>
      </w:r>
      <w:r w:rsidRPr="00677D1F">
        <w:rPr>
          <w:rFonts w:ascii="宋体" w:eastAsia="宋体" w:hAnsi="宋体" w:cs="宋体" w:hint="eastAsia"/>
          <w:color w:val="000000"/>
          <w:kern w:val="0"/>
          <w:sz w:val="24"/>
          <w:szCs w:val="24"/>
        </w:rPr>
        <w:t>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瞬时最大风速            </w:t>
      </w:r>
      <w:r w:rsidRPr="00677D1F">
        <w:rPr>
          <w:rFonts w:ascii="宋体" w:eastAsia="宋体" w:hAnsi="宋体" w:cs="宋体"/>
          <w:color w:val="000000"/>
          <w:kern w:val="0"/>
          <w:sz w:val="24"/>
          <w:szCs w:val="24"/>
        </w:rPr>
        <w:t>26m/s</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平均风速                </w:t>
      </w:r>
      <w:r w:rsidRPr="00677D1F">
        <w:rPr>
          <w:rFonts w:ascii="宋体" w:eastAsia="宋体" w:hAnsi="宋体" w:cs="宋体"/>
          <w:color w:val="000000"/>
          <w:kern w:val="0"/>
          <w:sz w:val="24"/>
          <w:szCs w:val="24"/>
        </w:rPr>
        <w:t>2.8m/s</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主导风向                东北风</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最大积雪深度            </w:t>
      </w:r>
      <w:r w:rsidRPr="00677D1F">
        <w:rPr>
          <w:rFonts w:ascii="宋体" w:eastAsia="宋体" w:hAnsi="宋体" w:cs="宋体"/>
          <w:color w:val="000000"/>
          <w:kern w:val="0"/>
          <w:sz w:val="24"/>
          <w:szCs w:val="24"/>
        </w:rPr>
        <w:t>16.0mm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 xml:space="preserve">最大冻土深度            </w:t>
      </w:r>
      <w:r w:rsidRPr="00677D1F">
        <w:rPr>
          <w:rFonts w:ascii="宋体" w:eastAsia="宋体" w:hAnsi="宋体" w:cs="宋体"/>
          <w:color w:val="000000"/>
          <w:kern w:val="0"/>
          <w:sz w:val="24"/>
          <w:szCs w:val="24"/>
        </w:rPr>
        <w:t>127.0cm</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4.1.6</w:t>
      </w:r>
      <w:r w:rsidRPr="00677D1F">
        <w:rPr>
          <w:rFonts w:ascii="Times New Roman" w:eastAsia="宋体" w:hAnsi="Times New Roman" w:cs="Times New Roman" w:hint="eastAsia"/>
          <w:b/>
          <w:bCs/>
          <w:color w:val="000000"/>
          <w:kern w:val="0"/>
          <w:sz w:val="26"/>
          <w:szCs w:val="26"/>
        </w:rPr>
        <w:t>自然景观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（1）自然景观特征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项目区地处南湖戈壁，为典型的戈壁景观特征。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为封闭型盆地，北部为东天山博格达山余脉，东、西及南部皆为剥蚀低山丘陵环抱，北高南低，北部山区为中生界、古生界基岩组成。北部天山海拔在3000～4000m，最高的喀尔里克山海拔4888m，山上有茂密的针叶林。北部山区由东至西有太阳沟、白杨沟等29条山沟，呈梳状排列，沟深坡陡，生长稀疏的榆树及多种灌木、半灌木植被。</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中部平原：为洪积——冲积倾斜平原，地处洪积扇下部及扇缘地带，为古老冲积平原。海拔高度由北部山根的1500m降至南部的200～500m，地形平缓，土层深厚，是哈密绿洲的主要农业区。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东、南、西部丘陵：盆地东、西、南部扩大地区，主要为第三系和中生界岩系裸露的剥蚀残丘，局部有白垩系及侏罗系基岩露于表面。受风蚀、水蚀影响，形成大大小小的侵蚀盆地、低山残蚀丘陵，平缓的谷地、暴雨形成的间歇性河谷等，在残蚀丘陵上部分区域复盖着以星月形沙丘为主的零散流动沙漠，但在东部形成一条自北而南移动的宽约7～8km，长80多km的流动性哈密库姆塔格沙漠，沙丘高度多高达20～30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哈密重工业加工区位于哈密市南部丘陵边缘，地表为荒漠戈壁地貌，植被稀疏或荒芜。</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（2）自然保护区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罗布泊野骆驼国家级自然保护区范围为东经89°00′～93°30′，北纬38°42′～42°34′。保护区在地域上包括了罗布泊北部面积广阔的嘎顺戈壁、库鲁克塔格山东段东部的阿奇克谷地、东南部的库姆塔格沙漠和南部的阿尔金山北麓。保护区所属的行政区域包括吐鲁番地区、哈密地区和巴音郭楞蒙古自治州。保护区总面积7.78×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km</w:t>
      </w:r>
      <w:r w:rsidRPr="00677D1F">
        <w:rPr>
          <w:rFonts w:ascii="宋体" w:eastAsia="宋体" w:hAnsi="宋体" w:cs="宋体" w:hint="eastAsia"/>
          <w:color w:val="000000"/>
          <w:kern w:val="0"/>
          <w:sz w:val="24"/>
          <w:szCs w:val="24"/>
          <w:vertAlign w:val="superscript"/>
        </w:rPr>
        <w:t>2</w:t>
      </w:r>
      <w:r w:rsidRPr="00677D1F">
        <w:rPr>
          <w:rFonts w:ascii="宋体" w:eastAsia="宋体" w:hAnsi="宋体" w:cs="宋体" w:hint="eastAsia"/>
          <w:color w:val="000000"/>
          <w:kern w:val="0"/>
          <w:sz w:val="24"/>
          <w:szCs w:val="24"/>
        </w:rPr>
        <w:t>，呈横凹字形，是目前国内规划面积最大的干旱荒漠自然保护区。保护区内分布有野生动物19科69种，共11个植物群系类型；野生脊椎动物30科50种以上。区域分布有我国二级保护植物裸果木和三级保护植物胡杨、梭梭、白梭梭、肉苁蓉及当地特有种塔克拉玛干柽柳和塔克拉玛干沙拐枣等珍稀荒漠植被；在罗布泊湖盆北部山地和临近区域，分布着我国一类保护动物雪豹、北山羊、藏野驴及二类保护动物草原斑猫、棕熊、鹅喉羚、盘羊、岩羊、马鹿、猞猁、兔狲、塔里木兔等兽类；在荒漠地带亦有兀鹫、金雕、草原、猎隼、红隼等多种猛禽活动，它们是干旱荒漠生态系统的重要组成部分。保护区的保护目标是保护野双峰驼纯血统种群。</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4.1.7</w:t>
      </w:r>
      <w:r w:rsidRPr="00677D1F">
        <w:rPr>
          <w:rFonts w:ascii="Times New Roman" w:eastAsia="宋体" w:hAnsi="Times New Roman" w:cs="Times New Roman" w:hint="eastAsia"/>
          <w:b/>
          <w:bCs/>
          <w:color w:val="000000"/>
          <w:kern w:val="0"/>
          <w:sz w:val="26"/>
          <w:szCs w:val="26"/>
        </w:rPr>
        <w:t>文化遗产及旅游资源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）文物古迹</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哈密市的古迹主要有：白杨沟古遗址、拉甫乔克古城、石人子破城子古城、哈密市回城、焉来拉克唐城；上述文物古迹，距离本项目均在</w:t>
      </w:r>
      <w:r w:rsidRPr="00677D1F">
        <w:rPr>
          <w:rFonts w:ascii="宋体" w:eastAsia="宋体" w:hAnsi="宋体" w:cs="宋体"/>
          <w:color w:val="000000"/>
          <w:kern w:val="0"/>
          <w:sz w:val="24"/>
          <w:szCs w:val="24"/>
        </w:rPr>
        <w:t>40km</w:t>
      </w:r>
      <w:r w:rsidRPr="00677D1F">
        <w:rPr>
          <w:rFonts w:ascii="宋体" w:eastAsia="宋体" w:hAnsi="宋体" w:cs="宋体" w:hint="eastAsia"/>
          <w:color w:val="000000"/>
          <w:kern w:val="0"/>
          <w:sz w:val="24"/>
          <w:szCs w:val="24"/>
        </w:rPr>
        <w:t>以外，因此评价区内没有受本项目影响的文物古迹。</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）旅游资源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哈密市的名胜景点主要有：八大石、白石头及庙尔沟，此三处风景区均远离本项目评价范围。</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4.2</w:t>
      </w:r>
      <w:r w:rsidRPr="00677D1F">
        <w:rPr>
          <w:rFonts w:ascii="宋体" w:hAnsi="宋体" w:hint="eastAsia"/>
          <w:bCs w:val="0"/>
          <w:kern w:val="2"/>
          <w:sz w:val="30"/>
          <w:szCs w:val="30"/>
        </w:rPr>
        <w:t>生态环境现状调查与评价</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4.2.1</w:t>
      </w:r>
      <w:r w:rsidRPr="00677D1F">
        <w:rPr>
          <w:rFonts w:ascii="Times New Roman" w:eastAsia="宋体" w:hAnsi="Times New Roman" w:cs="Times New Roman" w:hint="eastAsia"/>
          <w:b/>
          <w:bCs/>
          <w:color w:val="000000"/>
          <w:kern w:val="0"/>
          <w:sz w:val="26"/>
          <w:szCs w:val="26"/>
        </w:rPr>
        <w:t>嘎顺一南湖戈壁荒漠植被及野生动物保护生态功能区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哈密重工业加工区位于嘎顺一南湖戈壁荒漠植被及野生动物保护生态功能区。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在行政区划上该区属于吐鲁番地区鄯善县、哈密地区哈密市。位于鄯善县东南部、哈密市的大部，该功能区东部及东南部与甘肃省酒泉地区相连，东北部与蒙古国接壤。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该区为吐鲁番和哈密盆地之间及哈密东部、南部第三系隆起区，主要分布以泥岩为主的夹砂砾岩层，组成的剥蚀岗状平原，通称嘎顺戈壁，海拔均在</w:t>
      </w:r>
      <w:r w:rsidRPr="00677D1F">
        <w:rPr>
          <w:rFonts w:ascii="宋体" w:eastAsia="宋体" w:hAnsi="宋体" w:cs="宋体"/>
          <w:color w:val="000000"/>
          <w:kern w:val="0"/>
          <w:sz w:val="24"/>
          <w:szCs w:val="24"/>
        </w:rPr>
        <w:t>1000m</w:t>
      </w:r>
      <w:r w:rsidRPr="00677D1F">
        <w:rPr>
          <w:rFonts w:ascii="宋体" w:eastAsia="宋体" w:hAnsi="宋体" w:cs="宋体" w:hint="eastAsia"/>
          <w:color w:val="000000"/>
          <w:kern w:val="0"/>
          <w:sz w:val="24"/>
          <w:szCs w:val="24"/>
        </w:rPr>
        <w:t>以上，最低地为沙尔湖，海拔</w:t>
      </w:r>
      <w:r w:rsidRPr="00677D1F">
        <w:rPr>
          <w:rFonts w:ascii="宋体" w:eastAsia="宋体" w:hAnsi="宋体" w:cs="宋体"/>
          <w:color w:val="000000"/>
          <w:kern w:val="0"/>
          <w:sz w:val="24"/>
          <w:szCs w:val="24"/>
        </w:rPr>
        <w:t>41m</w:t>
      </w:r>
      <w:r w:rsidRPr="00677D1F">
        <w:rPr>
          <w:rFonts w:ascii="宋体" w:eastAsia="宋体" w:hAnsi="宋体" w:cs="宋体" w:hint="eastAsia"/>
          <w:color w:val="000000"/>
          <w:kern w:val="0"/>
          <w:sz w:val="24"/>
          <w:szCs w:val="24"/>
        </w:rPr>
        <w:t>。这里的气候特点是干燥少雨、蒸发量大、夏季酷热、冬季严寒、昼夜温差大、日照时间长、光热资源丰富。其中低山和平原区不仅风大，而且更为干燥，年降水量仅</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66mm</w:t>
      </w:r>
      <w:r w:rsidRPr="00677D1F">
        <w:rPr>
          <w:rFonts w:ascii="宋体" w:eastAsia="宋体" w:hAnsi="宋体" w:cs="宋体" w:hint="eastAsia"/>
          <w:color w:val="000000"/>
          <w:kern w:val="0"/>
          <w:sz w:val="24"/>
          <w:szCs w:val="24"/>
        </w:rPr>
        <w:t>。处于“百里风区”的十三间房，全年</w:t>
      </w:r>
      <w:r w:rsidRPr="00677D1F">
        <w:rPr>
          <w:rFonts w:ascii="宋体" w:eastAsia="宋体" w:hAnsi="宋体" w:cs="宋体"/>
          <w:color w:val="000000"/>
          <w:kern w:val="0"/>
          <w:sz w:val="24"/>
          <w:szCs w:val="24"/>
        </w:rPr>
        <w:t>8</w:t>
      </w:r>
      <w:r w:rsidRPr="00677D1F">
        <w:rPr>
          <w:rFonts w:ascii="宋体" w:eastAsia="宋体" w:hAnsi="宋体" w:cs="宋体" w:hint="eastAsia"/>
          <w:color w:val="000000"/>
          <w:kern w:val="0"/>
          <w:sz w:val="24"/>
          <w:szCs w:val="24"/>
        </w:rPr>
        <w:t>级以上大风日数达</w:t>
      </w:r>
      <w:r w:rsidRPr="00677D1F">
        <w:rPr>
          <w:rFonts w:ascii="宋体" w:eastAsia="宋体" w:hAnsi="宋体" w:cs="宋体"/>
          <w:color w:val="000000"/>
          <w:kern w:val="0"/>
          <w:sz w:val="24"/>
          <w:szCs w:val="24"/>
        </w:rPr>
        <w:t>136</w:t>
      </w:r>
      <w:r w:rsidRPr="00677D1F">
        <w:rPr>
          <w:rFonts w:ascii="宋体" w:eastAsia="宋体" w:hAnsi="宋体" w:cs="宋体" w:hint="eastAsia"/>
          <w:color w:val="000000"/>
          <w:kern w:val="0"/>
          <w:sz w:val="24"/>
          <w:szCs w:val="24"/>
        </w:rPr>
        <w:t>天，仅次于阿拉山口，属全疆第二，其平均风速达</w:t>
      </w:r>
      <w:r w:rsidRPr="00677D1F">
        <w:rPr>
          <w:rFonts w:ascii="宋体" w:eastAsia="宋体" w:hAnsi="宋体" w:cs="宋体"/>
          <w:color w:val="000000"/>
          <w:kern w:val="0"/>
          <w:sz w:val="24"/>
          <w:szCs w:val="24"/>
        </w:rPr>
        <w:t>79m/s</w:t>
      </w:r>
      <w:r w:rsidRPr="00677D1F">
        <w:rPr>
          <w:rFonts w:ascii="宋体" w:eastAsia="宋体" w:hAnsi="宋体" w:cs="宋体" w:hint="eastAsia"/>
          <w:color w:val="000000"/>
          <w:kern w:val="0"/>
          <w:sz w:val="24"/>
          <w:szCs w:val="24"/>
        </w:rPr>
        <w:t>，居全疆之首。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该区降水稀少，洪流发育，无常年地表径流，地下水资源贫乏，但在大型汇水洼地内有地下水分布和积水出露，其量很小水质尚好。荒漠植被盖度较低，主要分布在七角井至东南部马宗山一带广阔的低山丘陵、冲积平原和剥蚀平原区。土壤主要为棕漠上，石膏棕漠土，质地以砂砾质和砾质为主。受气候、土壤和基质条件的制约，草场植被以超旱生的小半乔木、灌木、小半灌木为主，因干旱缺水，部分草地作冬场利用，应该实行退牧还草和封育保护。</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嘎顺戈壁亦称嘎顺沙漠，主要为沙地、裸地和稀疏植被景观，无常年地表径流，生态系统极其脆弱，非常容易破坏，一旦破坏恢复相当困难。因此，这些地区应以保护为主，防止进一步沙化和引起沙尘暴等生态问题。这里分布有野骆驼、鹅喉羚等国家一、二类保护动物，应严禁捕猎，使其更好地繁衍生息。该区东南部有煤、锰、钒、钛等矿产，开采时应把生态保护放在第一位，尽量少占地和避免破坏植被。</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根据《新疆生态功能区划》，该区的生态功能区划见表</w:t>
      </w:r>
      <w:r w:rsidRPr="00677D1F">
        <w:rPr>
          <w:rFonts w:ascii="宋体" w:eastAsia="宋体" w:hAnsi="宋体" w:cs="宋体"/>
          <w:color w:val="000000"/>
          <w:kern w:val="0"/>
          <w:sz w:val="24"/>
          <w:szCs w:val="24"/>
        </w:rPr>
        <w:t>4.2-1</w:t>
      </w:r>
      <w:r w:rsidRPr="00677D1F">
        <w:rPr>
          <w:rFonts w:ascii="宋体" w:eastAsia="宋体" w:hAnsi="宋体" w:cs="宋体" w:hint="eastAsia"/>
          <w:color w:val="000000"/>
          <w:kern w:val="0"/>
          <w:sz w:val="24"/>
          <w:szCs w:val="24"/>
        </w:rPr>
        <w:t>，新疆生态功能区划图见</w:t>
      </w:r>
      <w:r w:rsidRPr="00677D1F">
        <w:rPr>
          <w:rFonts w:ascii="宋体" w:eastAsia="宋体" w:hAnsi="宋体" w:cs="宋体"/>
          <w:color w:val="000000"/>
          <w:kern w:val="0"/>
          <w:sz w:val="24"/>
          <w:szCs w:val="24"/>
        </w:rPr>
        <w:t>4.2-1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表4.2-1项目所在地生态功能区划</w:t>
      </w:r>
    </w:p>
    <w:tbl>
      <w:tblPr>
        <w:tblStyle w:val="aa"/>
        <w:tblW w:w="9072" w:type="dxa"/>
        <w:jc w:val="center"/>
        <w:tblLayout w:type="fixed"/>
        <w:tblLook w:val="04A0" w:firstRow="1" w:lastRow="0" w:firstColumn="1" w:lastColumn="0" w:noHBand="0" w:noVBand="1"/>
      </w:tblPr>
      <w:tblGrid>
        <w:gridCol w:w="1295"/>
        <w:gridCol w:w="1295"/>
        <w:gridCol w:w="1295"/>
        <w:gridCol w:w="1296"/>
        <w:gridCol w:w="1297"/>
        <w:gridCol w:w="1297"/>
        <w:gridCol w:w="1297"/>
      </w:tblGrid>
      <w:tr w:rsidR="00D228BE" w:rsidRPr="00677D1F">
        <w:trPr>
          <w:trHeight w:val="340"/>
          <w:jc w:val="center"/>
        </w:trPr>
        <w:tc>
          <w:tcPr>
            <w:tcW w:w="3885" w:type="dxa"/>
            <w:gridSpan w:val="3"/>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生态功能分区单元</w:t>
            </w:r>
          </w:p>
        </w:tc>
        <w:tc>
          <w:tcPr>
            <w:tcW w:w="1296"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隶属行政区</w:t>
            </w:r>
          </w:p>
        </w:tc>
        <w:tc>
          <w:tcPr>
            <w:tcW w:w="1297"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主要生态服务功能</w:t>
            </w:r>
          </w:p>
        </w:tc>
        <w:tc>
          <w:tcPr>
            <w:tcW w:w="1297"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主要生态环境问题</w:t>
            </w:r>
          </w:p>
        </w:tc>
        <w:tc>
          <w:tcPr>
            <w:tcW w:w="1297"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生态敏感因子敏感程度</w:t>
            </w:r>
          </w:p>
        </w:tc>
      </w:tr>
      <w:tr w:rsidR="00D228BE" w:rsidRPr="00677D1F">
        <w:trPr>
          <w:trHeight w:val="340"/>
          <w:jc w:val="center"/>
        </w:trPr>
        <w:tc>
          <w:tcPr>
            <w:tcW w:w="129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生态区</w:t>
            </w:r>
          </w:p>
        </w:tc>
        <w:tc>
          <w:tcPr>
            <w:tcW w:w="129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生态亚区</w:t>
            </w:r>
          </w:p>
        </w:tc>
        <w:tc>
          <w:tcPr>
            <w:tcW w:w="129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生态功能区</w:t>
            </w:r>
          </w:p>
        </w:tc>
        <w:tc>
          <w:tcPr>
            <w:tcW w:w="1296"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1297"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1297"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1297"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1295"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Ⅲ天山山地干旱草原——针叶林生态区</w:t>
            </w:r>
          </w:p>
        </w:tc>
        <w:tc>
          <w:tcPr>
            <w:tcW w:w="1295"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Ⅲ</w:t>
            </w:r>
            <w:r w:rsidRPr="00677D1F">
              <w:rPr>
                <w:rFonts w:ascii="宋体" w:eastAsia="宋体" w:hAnsi="宋体" w:cs="宋体" w:hint="eastAsia"/>
                <w:color w:val="000000"/>
                <w:kern w:val="0"/>
                <w:szCs w:val="21"/>
                <w:vertAlign w:val="subscript"/>
              </w:rPr>
              <w:t>4</w:t>
            </w:r>
            <w:r w:rsidRPr="00677D1F">
              <w:rPr>
                <w:rFonts w:ascii="宋体" w:eastAsia="宋体" w:hAnsi="宋体" w:cs="宋体" w:hint="eastAsia"/>
                <w:color w:val="000000"/>
                <w:kern w:val="0"/>
                <w:szCs w:val="21"/>
              </w:rPr>
              <w:t>天山南坡吐鲁番—哈密盆地戈壁荒漠、绿洲农业生态亚区</w:t>
            </w:r>
          </w:p>
        </w:tc>
        <w:tc>
          <w:tcPr>
            <w:tcW w:w="1295"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53．嘎顺——南湖戈壁荒漠风蚀敏感生态功能区</w:t>
            </w:r>
          </w:p>
        </w:tc>
        <w:tc>
          <w:tcPr>
            <w:tcW w:w="1296"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鄯善县、哈密市</w:t>
            </w:r>
          </w:p>
        </w:tc>
        <w:tc>
          <w:tcPr>
            <w:tcW w:w="1297"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荒漠化控制、生物多样性维护、矿产资源</w:t>
            </w:r>
          </w:p>
        </w:tc>
        <w:tc>
          <w:tcPr>
            <w:tcW w:w="1297"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风沙危害铁路公路、地表形态破坏</w:t>
            </w:r>
          </w:p>
        </w:tc>
        <w:tc>
          <w:tcPr>
            <w:tcW w:w="1297" w:type="dxa"/>
            <w:vAlign w:val="center"/>
          </w:tcPr>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生物多样性和生境不敏感、高度敏感，土壤侵蚀极度敏感，土地沙漠化轻度敏感、不敏感，土壤盐渍化不敏感。</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4.2.2</w:t>
      </w:r>
      <w:r w:rsidRPr="00677D1F">
        <w:rPr>
          <w:rFonts w:ascii="Times New Roman" w:eastAsia="宋体" w:hAnsi="Times New Roman" w:cs="Times New Roman" w:hint="eastAsia"/>
          <w:b/>
          <w:bCs/>
          <w:color w:val="000000"/>
          <w:kern w:val="0"/>
          <w:sz w:val="26"/>
          <w:szCs w:val="26"/>
        </w:rPr>
        <w:t>生态环境现状</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）土壤类型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哈密重工业加工区大部分位于嘎顺</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南湖戈壁的北部边缘冲积平原和残蚀丘陵区。土壤类型以棕漠土为主，其中石膏盐盘棕漠土占有较大的面积，另外也有流动风沙土、残余盐土等，在人工绿洲中有古老的绿洲黄土分布。规划区无耕地、无农田，属于未利用地，土壤基本未受人为活动污染，基本保持近乎原始状态的面貌。土壤质地以砂砾质和砾质为主。</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该区砾质石膏盐盘棕漠土剖面状况见表</w:t>
      </w:r>
      <w:r w:rsidRPr="00677D1F">
        <w:rPr>
          <w:rFonts w:ascii="宋体" w:eastAsia="宋体" w:hAnsi="宋体" w:cs="宋体"/>
          <w:color w:val="000000"/>
          <w:kern w:val="0"/>
          <w:sz w:val="24"/>
          <w:szCs w:val="24"/>
        </w:rPr>
        <w:t>4.2-2</w:t>
      </w:r>
      <w:r w:rsidRPr="00677D1F">
        <w:rPr>
          <w:rFonts w:ascii="宋体" w:eastAsia="宋体" w:hAnsi="宋体" w:cs="宋体" w:hint="eastAsia"/>
          <w:color w:val="000000"/>
          <w:kern w:val="0"/>
          <w:sz w:val="24"/>
          <w:szCs w:val="24"/>
        </w:rPr>
        <w:t>，地表几乎无植被。</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表4.2-2哈密重工业加工区砾质石膏盐盘棕漠土剖面结构</w:t>
      </w:r>
    </w:p>
    <w:tbl>
      <w:tblPr>
        <w:tblStyle w:val="aa"/>
        <w:tblW w:w="9072" w:type="dxa"/>
        <w:jc w:val="center"/>
        <w:tblLayout w:type="fixed"/>
        <w:tblLook w:val="04A0" w:firstRow="1" w:lastRow="0" w:firstColumn="1" w:lastColumn="0" w:noHBand="0" w:noVBand="1"/>
      </w:tblPr>
      <w:tblGrid>
        <w:gridCol w:w="1926"/>
        <w:gridCol w:w="7146"/>
      </w:tblGrid>
      <w:tr w:rsidR="00D228BE" w:rsidRPr="00677D1F">
        <w:trPr>
          <w:trHeight w:val="340"/>
          <w:jc w:val="center"/>
        </w:trPr>
        <w:tc>
          <w:tcPr>
            <w:tcW w:w="192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深度</w:t>
            </w:r>
          </w:p>
        </w:tc>
        <w:tc>
          <w:tcPr>
            <w:tcW w:w="71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土壤状况</w:t>
            </w:r>
          </w:p>
        </w:tc>
      </w:tr>
      <w:tr w:rsidR="00D228BE" w:rsidRPr="00677D1F">
        <w:trPr>
          <w:trHeight w:val="340"/>
          <w:jc w:val="center"/>
        </w:trPr>
        <w:tc>
          <w:tcPr>
            <w:tcW w:w="192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0～3cm</w:t>
            </w:r>
          </w:p>
        </w:tc>
        <w:tc>
          <w:tcPr>
            <w:tcW w:w="71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棕色，砂砾层，孔状结皮，松，中量细孔，无根系，干。</w:t>
            </w:r>
          </w:p>
        </w:tc>
      </w:tr>
      <w:tr w:rsidR="00D228BE" w:rsidRPr="00677D1F">
        <w:trPr>
          <w:trHeight w:val="340"/>
          <w:jc w:val="center"/>
        </w:trPr>
        <w:tc>
          <w:tcPr>
            <w:tcW w:w="192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3～16cm</w:t>
            </w:r>
          </w:p>
        </w:tc>
        <w:tc>
          <w:tcPr>
            <w:tcW w:w="714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棕色砂砾层，块状，松，多孔隙，干。</w:t>
            </w:r>
          </w:p>
        </w:tc>
      </w:tr>
      <w:tr w:rsidR="00D228BE" w:rsidRPr="00677D1F">
        <w:trPr>
          <w:trHeight w:val="340"/>
          <w:jc w:val="center"/>
        </w:trPr>
        <w:tc>
          <w:tcPr>
            <w:tcW w:w="192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16～35cm</w:t>
            </w:r>
          </w:p>
        </w:tc>
        <w:tc>
          <w:tcPr>
            <w:tcW w:w="71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灰棕色砂砾层，块状，松，干。</w:t>
            </w:r>
          </w:p>
        </w:tc>
      </w:tr>
      <w:tr w:rsidR="00D228BE" w:rsidRPr="00677D1F">
        <w:trPr>
          <w:trHeight w:val="340"/>
          <w:jc w:val="center"/>
        </w:trPr>
        <w:tc>
          <w:tcPr>
            <w:tcW w:w="192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35～50cm</w:t>
            </w:r>
          </w:p>
        </w:tc>
        <w:tc>
          <w:tcPr>
            <w:tcW w:w="71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棕色夹白色石膏层，多孔隙，紧实，无根系，为盐盘层。</w:t>
            </w:r>
          </w:p>
        </w:tc>
      </w:tr>
      <w:tr w:rsidR="00D228BE" w:rsidRPr="00677D1F">
        <w:trPr>
          <w:trHeight w:val="340"/>
          <w:jc w:val="center"/>
        </w:trPr>
        <w:tc>
          <w:tcPr>
            <w:tcW w:w="192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50～100cm</w:t>
            </w:r>
          </w:p>
        </w:tc>
        <w:tc>
          <w:tcPr>
            <w:tcW w:w="71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黄棕夹锈黄色，为松散岩残积扬风化物，干。</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）植被类型及质量状况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区域植物类型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位于天山南麓，辖区四周被高山丘陵环绕，中间低缓，形成哈密绿洲盆地。区内林木类型不同区域主要有：北部天山山区针叶林主要以西伯利亚落叶松为主，并混生有天山云杉；河谷区域阔叶林主要以白杨树、榆树、柳树为主；平原农业区人工林主要以防护林以及用材林树种的银白杨、新疆杨、柳树、洋槐、榆树、白蜡、毛柳等为主，经济林和果木林有杏、桃、梨、桑、苹果、核桃、红枣、葡萄等；戈壁荒漠区域主要分布林木植被有胡杨，灌木梭梭、红柳，小灌木琵琶柴、沙拐枣、麻黄，半灌木白刺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牧草地主要有：山地高山亚高山草原带生长着多种苔草和蒿草等；森林草原带生长的早熟禾、黑燕麦、苔草、蒿属、菊科、蒲公英等杂类草；干旱草原带生长的羊茅草、蒿属、针茅、芨芨、野苜蓿等；草原荒漠草原与绿洲过滤带生长有梭梭、沙拐枣、麻黄、琵琶柴、驼绒藜、合头草、沙生针茅、白刺、猪毛菜、芨芨、甘草、骆驼刺、苦豆子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绿洲农作物有小麦、高粱、玉米、糜子、豆类、油料、洋芋等。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哈密重工业加工区植被类型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加工区大部分位于嘎顺戈壁，降水稀少，无常年地表径流，主要为裸地和稀疏植被景观，生态系统极其脆弱，非常容易破坏，一旦破坏，恢复相当困难。该区域地下水位在4～10m不等，自然植被有柽柳、假木贼、琵琶柴、骆驼刺、盐生草等，分布极不均匀，植被盖度在1%以下，大部分地表裸露，因此，这些地区应以保护地表为主，防止地表结皮层破坏，而进一步引起沙化沙尘暴等生态问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（3）野生动物类型及分布状况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区域动物类型及种类</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哈密地区境内茂密的森林、复杂的地形地貌为野生动物的生息繁衍提供了有利的环境。野生动物种类繁多，据初步统计，境内野生动物约40目172科617种，以北部天山山区种类最多。</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哈密重工业加工区动物类型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哈密地区主要野生动物种类约有60余种，分布在北部山区、南部荒漠平原区及绿洲三种生态类型区。工业园区在中国动物地理区划中属古北界、中亚亚界、蒙新区、西部荒漠亚区、东疆小区。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加工区区域也属荒芜的戈壁，有少量的戈壁野生动物，虽然这里为野骆驼、鹅喉羚等国家一、二类保护动物的分布区，但由于植被稀疏和人类的频繁活动已很难见到其踪迹。近些年来，由于保护管理有力，鹅喉羚在2个工业园区偶有出现。</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4.4</w:t>
      </w:r>
      <w:r w:rsidRPr="00677D1F">
        <w:rPr>
          <w:rFonts w:ascii="宋体" w:hAnsi="宋体" w:hint="eastAsia"/>
          <w:bCs w:val="0"/>
          <w:kern w:val="2"/>
          <w:sz w:val="30"/>
          <w:szCs w:val="30"/>
        </w:rPr>
        <w:t xml:space="preserve"> 相关规划</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4.4.1</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《哈密地区国民经济和社会发展第十</w:t>
      </w:r>
      <w:r w:rsidR="00703B11" w:rsidRPr="00677D1F">
        <w:rPr>
          <w:rFonts w:ascii="Times New Roman" w:eastAsia="宋体" w:hAnsi="Times New Roman" w:cs="Times New Roman" w:hint="eastAsia"/>
          <w:b/>
          <w:bCs/>
          <w:color w:val="000000"/>
          <w:kern w:val="0"/>
          <w:sz w:val="26"/>
          <w:szCs w:val="26"/>
        </w:rPr>
        <w:t>三</w:t>
      </w:r>
      <w:r w:rsidRPr="00677D1F">
        <w:rPr>
          <w:rFonts w:ascii="Times New Roman" w:eastAsia="宋体" w:hAnsi="Times New Roman" w:cs="Times New Roman" w:hint="eastAsia"/>
          <w:b/>
          <w:bCs/>
          <w:color w:val="000000"/>
          <w:kern w:val="0"/>
          <w:sz w:val="26"/>
          <w:szCs w:val="26"/>
        </w:rPr>
        <w:t>个五年规划》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根据《哈密地区国民经济和社会发展第十</w:t>
      </w:r>
      <w:r w:rsidR="00703B11" w:rsidRPr="00677D1F">
        <w:rPr>
          <w:rFonts w:ascii="宋体" w:eastAsia="宋体" w:hAnsi="宋体" w:cs="宋体" w:hint="eastAsia"/>
          <w:color w:val="000000"/>
          <w:kern w:val="0"/>
          <w:sz w:val="24"/>
          <w:szCs w:val="24"/>
        </w:rPr>
        <w:t>三</w:t>
      </w:r>
      <w:r w:rsidRPr="00677D1F">
        <w:rPr>
          <w:rFonts w:ascii="宋体" w:eastAsia="宋体" w:hAnsi="宋体" w:cs="宋体" w:hint="eastAsia"/>
          <w:color w:val="000000"/>
          <w:kern w:val="0"/>
          <w:sz w:val="24"/>
          <w:szCs w:val="24"/>
        </w:rPr>
        <w:t>个五年规划》，哈密工业园区重工业加工区，按照总体规划，分布实施，滚动发展的原则，加大基础设施建设的投入，进一步完善供水、供电、道路灯基础设施建设，重点发展黑色及有色金属加工冶炼等金属材料制造业、非金属资源深加工、建材、仓储、物流等。本项目位于哈密工</w:t>
      </w:r>
      <w:r w:rsidRPr="00677D1F">
        <w:rPr>
          <w:rFonts w:ascii="宋体" w:eastAsia="宋体" w:hAnsi="宋体" w:cs="宋体" w:hint="eastAsia"/>
          <w:color w:val="000000"/>
          <w:kern w:val="0"/>
          <w:sz w:val="24"/>
          <w:szCs w:val="24"/>
        </w:rPr>
        <w:lastRenderedPageBreak/>
        <w:t>业园区重工业加工区，为钛及钛合金新材料建设项目，符合《哈密地区国民经济和社会发展第十</w:t>
      </w:r>
      <w:r w:rsidR="00390272" w:rsidRPr="00677D1F">
        <w:rPr>
          <w:rFonts w:ascii="宋体" w:eastAsia="宋体" w:hAnsi="宋体" w:cs="宋体" w:hint="eastAsia"/>
          <w:color w:val="000000"/>
          <w:kern w:val="0"/>
          <w:sz w:val="24"/>
          <w:szCs w:val="24"/>
        </w:rPr>
        <w:t>三</w:t>
      </w:r>
      <w:r w:rsidRPr="00677D1F">
        <w:rPr>
          <w:rFonts w:ascii="宋体" w:eastAsia="宋体" w:hAnsi="宋体" w:cs="宋体" w:hint="eastAsia"/>
          <w:color w:val="000000"/>
          <w:kern w:val="0"/>
          <w:sz w:val="24"/>
          <w:szCs w:val="24"/>
        </w:rPr>
        <w:t>个五年规划》要求。</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4.4.2</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《哈密市国民经济和社会发展第十</w:t>
      </w:r>
      <w:r w:rsidR="00703B11" w:rsidRPr="00677D1F">
        <w:rPr>
          <w:rFonts w:ascii="Times New Roman" w:eastAsia="宋体" w:hAnsi="Times New Roman" w:cs="Times New Roman" w:hint="eastAsia"/>
          <w:b/>
          <w:bCs/>
          <w:color w:val="000000"/>
          <w:kern w:val="0"/>
          <w:sz w:val="26"/>
          <w:szCs w:val="26"/>
        </w:rPr>
        <w:t>三</w:t>
      </w:r>
      <w:r w:rsidRPr="00677D1F">
        <w:rPr>
          <w:rFonts w:ascii="Times New Roman" w:eastAsia="宋体" w:hAnsi="Times New Roman" w:cs="Times New Roman" w:hint="eastAsia"/>
          <w:b/>
          <w:bCs/>
          <w:color w:val="000000"/>
          <w:kern w:val="0"/>
          <w:sz w:val="26"/>
          <w:szCs w:val="26"/>
        </w:rPr>
        <w:t>个五年规划纲要》</w:t>
      </w:r>
    </w:p>
    <w:p w:rsidR="00D228BE" w:rsidRPr="00677D1F" w:rsidRDefault="00703B11"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根据《哈密市国民经济和社会发展第十三</w:t>
      </w:r>
      <w:r w:rsidR="00332EB6" w:rsidRPr="00677D1F">
        <w:rPr>
          <w:rFonts w:ascii="宋体" w:eastAsia="宋体" w:hAnsi="宋体" w:cs="宋体" w:hint="eastAsia"/>
          <w:color w:val="000000"/>
          <w:kern w:val="0"/>
          <w:sz w:val="24"/>
          <w:szCs w:val="24"/>
        </w:rPr>
        <w:t>个五年规划纲要》，哈密工业园区重工业加工区是重点发展煤电、黑色及有色金属采选、建材、煤炭初加工等，其工业产品主要包括煤电、煤炭运输仓储、兰炭，金属铜及其制品，铁精粉、球团、铁合金、金属镁，水泥、石材加工、玻璃及其制品，膨润土、纯碱等；到</w:t>
      </w:r>
      <w:r w:rsidR="00332EB6" w:rsidRPr="00677D1F">
        <w:rPr>
          <w:rFonts w:ascii="宋体" w:eastAsia="宋体" w:hAnsi="宋体" w:cs="宋体"/>
          <w:color w:val="000000"/>
          <w:kern w:val="0"/>
          <w:sz w:val="24"/>
          <w:szCs w:val="24"/>
        </w:rPr>
        <w:t>2015</w:t>
      </w:r>
      <w:r w:rsidR="00332EB6" w:rsidRPr="00677D1F">
        <w:rPr>
          <w:rFonts w:ascii="宋体" w:eastAsia="宋体" w:hAnsi="宋体" w:cs="宋体" w:hint="eastAsia"/>
          <w:color w:val="000000"/>
          <w:kern w:val="0"/>
          <w:sz w:val="24"/>
          <w:szCs w:val="24"/>
        </w:rPr>
        <w:t>年加工区年工业生产总值达到</w:t>
      </w:r>
      <w:r w:rsidR="00332EB6" w:rsidRPr="00677D1F">
        <w:rPr>
          <w:rFonts w:ascii="宋体" w:eastAsia="宋体" w:hAnsi="宋体" w:cs="宋体"/>
          <w:color w:val="000000"/>
          <w:kern w:val="0"/>
          <w:sz w:val="24"/>
          <w:szCs w:val="24"/>
        </w:rPr>
        <w:t>10.82</w:t>
      </w:r>
      <w:r w:rsidR="00332EB6" w:rsidRPr="00677D1F">
        <w:rPr>
          <w:rFonts w:ascii="宋体" w:eastAsia="宋体" w:hAnsi="宋体" w:cs="宋体" w:hint="eastAsia"/>
          <w:color w:val="000000"/>
          <w:kern w:val="0"/>
          <w:sz w:val="24"/>
          <w:szCs w:val="24"/>
        </w:rPr>
        <w:t>亿元。本项目位于哈密工业园区重工业加工区，为钛及钛合金新材料建设项目，符合《哈密市国民经济和社会发展第十</w:t>
      </w:r>
      <w:r w:rsidRPr="00677D1F">
        <w:rPr>
          <w:rFonts w:ascii="宋体" w:eastAsia="宋体" w:hAnsi="宋体" w:cs="宋体" w:hint="eastAsia"/>
          <w:color w:val="000000"/>
          <w:kern w:val="0"/>
          <w:sz w:val="24"/>
          <w:szCs w:val="24"/>
        </w:rPr>
        <w:t>三</w:t>
      </w:r>
      <w:r w:rsidR="00332EB6" w:rsidRPr="00677D1F">
        <w:rPr>
          <w:rFonts w:ascii="宋体" w:eastAsia="宋体" w:hAnsi="宋体" w:cs="宋体" w:hint="eastAsia"/>
          <w:color w:val="000000"/>
          <w:kern w:val="0"/>
          <w:sz w:val="24"/>
          <w:szCs w:val="24"/>
        </w:rPr>
        <w:t>个五年规划纲要》。</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4.4.3</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《钒钛资源综合利用和产业发展“十</w:t>
      </w:r>
      <w:r w:rsidR="00703B11" w:rsidRPr="00677D1F">
        <w:rPr>
          <w:rFonts w:ascii="Times New Roman" w:eastAsia="宋体" w:hAnsi="Times New Roman" w:cs="Times New Roman" w:hint="eastAsia"/>
          <w:b/>
          <w:bCs/>
          <w:color w:val="000000"/>
          <w:kern w:val="0"/>
          <w:sz w:val="26"/>
          <w:szCs w:val="26"/>
        </w:rPr>
        <w:t>三</w:t>
      </w:r>
      <w:r w:rsidRPr="00677D1F">
        <w:rPr>
          <w:rFonts w:ascii="Times New Roman" w:eastAsia="宋体" w:hAnsi="Times New Roman" w:cs="Times New Roman" w:hint="eastAsia"/>
          <w:b/>
          <w:bCs/>
          <w:color w:val="000000"/>
          <w:kern w:val="0"/>
          <w:sz w:val="26"/>
          <w:szCs w:val="26"/>
        </w:rPr>
        <w:t>五”规划》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根据《钒</w:t>
      </w:r>
      <w:r w:rsidR="00703B11" w:rsidRPr="00677D1F">
        <w:rPr>
          <w:rFonts w:ascii="宋体" w:eastAsia="宋体" w:hAnsi="宋体" w:cs="宋体" w:hint="eastAsia"/>
          <w:color w:val="000000"/>
          <w:kern w:val="0"/>
          <w:sz w:val="24"/>
          <w:szCs w:val="24"/>
        </w:rPr>
        <w:t>钛资源综合利用和产业发展“十三</w:t>
      </w:r>
      <w:r w:rsidRPr="00677D1F">
        <w:rPr>
          <w:rFonts w:ascii="宋体" w:eastAsia="宋体" w:hAnsi="宋体" w:cs="宋体" w:hint="eastAsia"/>
          <w:color w:val="000000"/>
          <w:kern w:val="0"/>
          <w:sz w:val="24"/>
          <w:szCs w:val="24"/>
        </w:rPr>
        <w:t>五”规划》内容，与本项目有关的内容如下：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发展目标：海绵钛生产钛回收率达到</w:t>
      </w:r>
      <w:r w:rsidRPr="00677D1F">
        <w:rPr>
          <w:rFonts w:ascii="宋体" w:eastAsia="宋体" w:hAnsi="宋体" w:cs="宋体"/>
          <w:color w:val="000000"/>
          <w:kern w:val="0"/>
          <w:sz w:val="24"/>
          <w:szCs w:val="24"/>
        </w:rPr>
        <w:t>89%</w:t>
      </w:r>
      <w:r w:rsidRPr="00677D1F">
        <w:rPr>
          <w:rFonts w:ascii="宋体" w:eastAsia="宋体" w:hAnsi="宋体" w:cs="宋体" w:hint="eastAsia"/>
          <w:color w:val="000000"/>
          <w:kern w:val="0"/>
          <w:sz w:val="24"/>
          <w:szCs w:val="24"/>
        </w:rPr>
        <w:t>上；</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加快淘汰落后产能：年生产能力</w:t>
      </w:r>
      <w:r w:rsidRPr="00677D1F">
        <w:rPr>
          <w:rFonts w:ascii="宋体" w:eastAsia="宋体" w:hAnsi="宋体" w:cs="宋体"/>
          <w:color w:val="000000"/>
          <w:kern w:val="0"/>
          <w:sz w:val="24"/>
          <w:szCs w:val="24"/>
        </w:rPr>
        <w:t>5000</w:t>
      </w:r>
      <w:r w:rsidRPr="00677D1F">
        <w:rPr>
          <w:rFonts w:ascii="宋体" w:eastAsia="宋体" w:hAnsi="宋体" w:cs="宋体" w:hint="eastAsia"/>
          <w:color w:val="000000"/>
          <w:kern w:val="0"/>
          <w:sz w:val="24"/>
          <w:szCs w:val="24"/>
        </w:rPr>
        <w:t>吨以下海绵钛生产线和无完善三废处理或处理装置不能正常运行的钒钛生产设备；严格市场准入：海绵钛生产。新建海绵钛装置年生产能力</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万吨及以上，须釆用全流程工艺，配套镁电解多级槽及镁氯闭路循环等先进工艺技术，吨产品能耗</w:t>
      </w:r>
      <w:r w:rsidRPr="00677D1F">
        <w:rPr>
          <w:rFonts w:ascii="宋体" w:eastAsia="宋体" w:hAnsi="宋体" w:cs="宋体"/>
          <w:color w:val="000000"/>
          <w:kern w:val="0"/>
          <w:sz w:val="24"/>
          <w:szCs w:val="24"/>
        </w:rPr>
        <w:t>7</w:t>
      </w:r>
      <w:r w:rsidRPr="00677D1F">
        <w:rPr>
          <w:rFonts w:ascii="宋体" w:eastAsia="宋体" w:hAnsi="宋体" w:cs="宋体" w:hint="eastAsia"/>
          <w:color w:val="000000"/>
          <w:kern w:val="0"/>
          <w:sz w:val="24"/>
          <w:szCs w:val="24"/>
        </w:rPr>
        <w:t>吨标准煤以下。根据工程分析内容，本项目符合《钒钛资源综合利用和产业发展“十</w:t>
      </w:r>
      <w:r w:rsidR="00703B11" w:rsidRPr="00677D1F">
        <w:rPr>
          <w:rFonts w:ascii="宋体" w:eastAsia="宋体" w:hAnsi="宋体" w:cs="宋体" w:hint="eastAsia"/>
          <w:color w:val="000000"/>
          <w:kern w:val="0"/>
          <w:sz w:val="24"/>
          <w:szCs w:val="24"/>
        </w:rPr>
        <w:t>三</w:t>
      </w:r>
      <w:r w:rsidRPr="00677D1F">
        <w:rPr>
          <w:rFonts w:ascii="宋体" w:eastAsia="宋体" w:hAnsi="宋体" w:cs="宋体" w:hint="eastAsia"/>
          <w:color w:val="000000"/>
          <w:kern w:val="0"/>
          <w:sz w:val="24"/>
          <w:szCs w:val="24"/>
        </w:rPr>
        <w:t>五”规划》相关要求。</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4.4.4</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《有色金属工业“十</w:t>
      </w:r>
      <w:r w:rsidR="00703B11" w:rsidRPr="00677D1F">
        <w:rPr>
          <w:rFonts w:ascii="Times New Roman" w:eastAsia="宋体" w:hAnsi="Times New Roman" w:cs="Times New Roman" w:hint="eastAsia"/>
          <w:b/>
          <w:bCs/>
          <w:color w:val="000000"/>
          <w:kern w:val="0"/>
          <w:sz w:val="26"/>
          <w:szCs w:val="26"/>
        </w:rPr>
        <w:t>三</w:t>
      </w:r>
      <w:r w:rsidRPr="00677D1F">
        <w:rPr>
          <w:rFonts w:ascii="Times New Roman" w:eastAsia="宋体" w:hAnsi="Times New Roman" w:cs="Times New Roman" w:hint="eastAsia"/>
          <w:b/>
          <w:bCs/>
          <w:color w:val="000000"/>
          <w:kern w:val="0"/>
          <w:sz w:val="26"/>
          <w:szCs w:val="26"/>
        </w:rPr>
        <w:t>五”发展规划》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w:t>
      </w:r>
      <w:r w:rsidR="00703B11" w:rsidRPr="00677D1F">
        <w:rPr>
          <w:rFonts w:ascii="宋体" w:eastAsia="宋体" w:hAnsi="宋体" w:cs="宋体" w:hint="eastAsia"/>
          <w:color w:val="000000"/>
          <w:kern w:val="0"/>
          <w:sz w:val="24"/>
          <w:szCs w:val="24"/>
        </w:rPr>
        <w:t>据《有色金属工业“十三</w:t>
      </w:r>
      <w:r w:rsidRPr="00677D1F">
        <w:rPr>
          <w:rFonts w:ascii="宋体" w:eastAsia="宋体" w:hAnsi="宋体" w:cs="宋体" w:hint="eastAsia"/>
          <w:color w:val="000000"/>
          <w:kern w:val="0"/>
          <w:sz w:val="24"/>
          <w:szCs w:val="24"/>
        </w:rPr>
        <w:t>五”发展规划》内容，与本项目有关的内容如下：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节能减排：、全流程海绵钛电耗分别降到</w:t>
      </w:r>
      <w:r w:rsidRPr="00677D1F">
        <w:rPr>
          <w:rFonts w:ascii="宋体" w:eastAsia="宋体" w:hAnsi="宋体" w:cs="宋体"/>
          <w:color w:val="000000"/>
          <w:kern w:val="0"/>
          <w:sz w:val="24"/>
          <w:szCs w:val="24"/>
        </w:rPr>
        <w:t>12500</w:t>
      </w:r>
      <w:r w:rsidRPr="00677D1F">
        <w:rPr>
          <w:rFonts w:ascii="宋体" w:eastAsia="宋体" w:hAnsi="宋体" w:cs="宋体" w:hint="eastAsia"/>
          <w:color w:val="000000"/>
          <w:kern w:val="0"/>
          <w:sz w:val="24"/>
          <w:szCs w:val="24"/>
        </w:rPr>
        <w:t>千瓦时</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吨和</w:t>
      </w:r>
      <w:r w:rsidRPr="00677D1F">
        <w:rPr>
          <w:rFonts w:ascii="宋体" w:eastAsia="宋体" w:hAnsi="宋体" w:cs="宋体"/>
          <w:color w:val="000000"/>
          <w:kern w:val="0"/>
          <w:sz w:val="24"/>
          <w:szCs w:val="24"/>
        </w:rPr>
        <w:t>25000</w:t>
      </w:r>
      <w:r w:rsidRPr="00677D1F">
        <w:rPr>
          <w:rFonts w:ascii="宋体" w:eastAsia="宋体" w:hAnsi="宋体" w:cs="宋体" w:hint="eastAsia"/>
          <w:color w:val="000000"/>
          <w:kern w:val="0"/>
          <w:sz w:val="24"/>
          <w:szCs w:val="24"/>
        </w:rPr>
        <w:t>千瓦时</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吨及以下。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调整优化产业布局：按照循环经济发展模式，支持建设若干资源基础雄厚、产业链完整、特色鲜明、资源高效利用、环境友好的有色金属新型工业化示范基地。支持建设优势互补、合作双赢的东、中、西部产业转移合作示范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大力发展精深加工产品：以发展精深加工、提升品种质量为重点，以轻质、高强、大规格、耐高温、耐腐蚀、低成本为发展方向，大力发展铝、镁、钛等高强轻</w:t>
      </w:r>
      <w:r w:rsidRPr="00677D1F">
        <w:rPr>
          <w:rFonts w:ascii="宋体" w:eastAsia="宋体" w:hAnsi="宋体" w:cs="宋体" w:hint="eastAsia"/>
          <w:color w:val="000000"/>
          <w:kern w:val="0"/>
          <w:sz w:val="24"/>
          <w:szCs w:val="24"/>
        </w:rPr>
        <w:lastRenderedPageBreak/>
        <w:t>合金材料，钛：针对国家航空航天等重大工程需求，着力发展大规格棒材和锻件、紧固件用丝材、宽幅板材和钛—钢复合板、大直径管材、大型铸件和粉末冶金件。积极发展钛带材、焊接钛管及挤压型材等，并进一步延伸产业链，提高产品附加值。</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精深加工产品发展重点：钛：优质宽幅冷轧纯钛板材，高性能宽幅钛及钛合金厚板，钛合金型材，钛及钛合金带材，大规格宽厚钛合金板材，高精度、宽幅钛合金薄板材，大规格钛合金棒材及特征锻件，紧固件用丝材、大型钛铸锭及锻件，新型钛合金结构材料，专用钛合金材料，钛及钛合金模锻件，钛基多孔材料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精深加工产品专项：开发高强高韧、耐蚀新型钛合金和冷床炉熔炼、型材挤压技术，推进高性能钛合金大规格棒材、紧固件用丝材、热轧钛合金中厚板、宽幅冷轧钛薄板、大卷重钛带、钛合金大型铸件及锻件等产品产业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精深加工重点工程：钛：高强高韧、耐蚀新型钛合金及其型材，大规格棒材，热轧钛合金中厚板，冷轧钛薄板，钛合金卷带和焊管等产品生产项目。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根据工程分析内容，本项目符合《有色金属工业“十</w:t>
      </w:r>
      <w:r w:rsidR="00703B11" w:rsidRPr="00677D1F">
        <w:rPr>
          <w:rFonts w:ascii="宋体" w:eastAsia="宋体" w:hAnsi="宋体" w:cs="宋体" w:hint="eastAsia"/>
          <w:color w:val="000000"/>
          <w:kern w:val="0"/>
          <w:sz w:val="24"/>
          <w:szCs w:val="24"/>
        </w:rPr>
        <w:t>三</w:t>
      </w:r>
      <w:r w:rsidRPr="00677D1F">
        <w:rPr>
          <w:rFonts w:ascii="宋体" w:eastAsia="宋体" w:hAnsi="宋体" w:cs="宋体" w:hint="eastAsia"/>
          <w:color w:val="000000"/>
          <w:kern w:val="0"/>
          <w:sz w:val="24"/>
          <w:szCs w:val="24"/>
        </w:rPr>
        <w:t>五”发展规划》相关要求。</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4.4.5</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《新疆有色金属行业“十</w:t>
      </w:r>
      <w:r w:rsidR="00703B11" w:rsidRPr="00677D1F">
        <w:rPr>
          <w:rFonts w:ascii="Times New Roman" w:eastAsia="宋体" w:hAnsi="Times New Roman" w:cs="Times New Roman" w:hint="eastAsia"/>
          <w:b/>
          <w:bCs/>
          <w:color w:val="000000"/>
          <w:kern w:val="0"/>
          <w:sz w:val="26"/>
          <w:szCs w:val="26"/>
        </w:rPr>
        <w:t>三</w:t>
      </w:r>
      <w:r w:rsidRPr="00677D1F">
        <w:rPr>
          <w:rFonts w:ascii="Times New Roman" w:eastAsia="宋体" w:hAnsi="Times New Roman" w:cs="Times New Roman" w:hint="eastAsia"/>
          <w:b/>
          <w:bCs/>
          <w:color w:val="000000"/>
          <w:kern w:val="0"/>
          <w:sz w:val="26"/>
          <w:szCs w:val="26"/>
        </w:rPr>
        <w:t>五”发展规划》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根据《新疆有色金属行业“十</w:t>
      </w:r>
      <w:r w:rsidR="00703B11" w:rsidRPr="00677D1F">
        <w:rPr>
          <w:rFonts w:ascii="宋体" w:eastAsia="宋体" w:hAnsi="宋体" w:cs="宋体" w:hint="eastAsia"/>
          <w:color w:val="000000"/>
          <w:kern w:val="0"/>
          <w:sz w:val="24"/>
          <w:szCs w:val="24"/>
        </w:rPr>
        <w:t>三</w:t>
      </w:r>
      <w:r w:rsidRPr="00677D1F">
        <w:rPr>
          <w:rFonts w:ascii="宋体" w:eastAsia="宋体" w:hAnsi="宋体" w:cs="宋体" w:hint="eastAsia"/>
          <w:color w:val="000000"/>
          <w:kern w:val="0"/>
          <w:sz w:val="24"/>
          <w:szCs w:val="24"/>
        </w:rPr>
        <w:t>五”发展规划》，要求大力发展有色金属深加工和循环经济，提高资源保障能力和资源综合利用率。本项目主体项目为钛及钛加工项目，釆用全流程工艺，配套建设了镁电解多级槽及镁氯闭路循环等先进工艺技术，产业链中各生产线相互依存，相互支持，实现了能源、资源利用效率的最大化。因此，项目符合《新疆有色金属行业“十</w:t>
      </w:r>
      <w:r w:rsidR="00703B11" w:rsidRPr="00677D1F">
        <w:rPr>
          <w:rFonts w:ascii="宋体" w:eastAsia="宋体" w:hAnsi="宋体" w:cs="宋体" w:hint="eastAsia"/>
          <w:color w:val="000000"/>
          <w:kern w:val="0"/>
          <w:sz w:val="24"/>
          <w:szCs w:val="24"/>
        </w:rPr>
        <w:t>三</w:t>
      </w:r>
      <w:r w:rsidRPr="00677D1F">
        <w:rPr>
          <w:rFonts w:ascii="宋体" w:eastAsia="宋体" w:hAnsi="宋体" w:cs="宋体" w:hint="eastAsia"/>
          <w:color w:val="000000"/>
          <w:kern w:val="0"/>
          <w:sz w:val="24"/>
          <w:szCs w:val="24"/>
        </w:rPr>
        <w:t>五”发展规划》的要求。</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4.4.6</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《新疆维吾尔自治区钢铁工业“十</w:t>
      </w:r>
      <w:r w:rsidR="00703B11" w:rsidRPr="00677D1F">
        <w:rPr>
          <w:rFonts w:ascii="Times New Roman" w:eastAsia="宋体" w:hAnsi="Times New Roman" w:cs="Times New Roman" w:hint="eastAsia"/>
          <w:b/>
          <w:bCs/>
          <w:color w:val="000000"/>
          <w:kern w:val="0"/>
          <w:sz w:val="26"/>
          <w:szCs w:val="26"/>
        </w:rPr>
        <w:t>三</w:t>
      </w:r>
      <w:r w:rsidRPr="00677D1F">
        <w:rPr>
          <w:rFonts w:ascii="Times New Roman" w:eastAsia="宋体" w:hAnsi="Times New Roman" w:cs="Times New Roman" w:hint="eastAsia"/>
          <w:b/>
          <w:bCs/>
          <w:color w:val="000000"/>
          <w:kern w:val="0"/>
          <w:sz w:val="26"/>
          <w:szCs w:val="26"/>
        </w:rPr>
        <w:t>五”发展规划》</w:t>
      </w:r>
    </w:p>
    <w:p w:rsidR="00D228BE" w:rsidRPr="00677D1F" w:rsidRDefault="00703B11"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根据《新疆有色金属行业“十三</w:t>
      </w:r>
      <w:r w:rsidR="00332EB6" w:rsidRPr="00677D1F">
        <w:rPr>
          <w:rFonts w:ascii="宋体" w:eastAsia="宋体" w:hAnsi="宋体" w:cs="宋体" w:hint="eastAsia"/>
          <w:color w:val="000000"/>
          <w:kern w:val="0"/>
          <w:sz w:val="24"/>
          <w:szCs w:val="24"/>
        </w:rPr>
        <w:t>五”发展规划》中规划目标：铁合金产能和市场需求基本相适应。以满足区内钢铁生产需求为主，生产能力保持在</w:t>
      </w:r>
      <w:r w:rsidR="00332EB6" w:rsidRPr="00677D1F">
        <w:rPr>
          <w:rFonts w:ascii="宋体" w:eastAsia="宋体" w:hAnsi="宋体" w:cs="宋体"/>
          <w:color w:val="000000"/>
          <w:kern w:val="0"/>
          <w:sz w:val="24"/>
          <w:szCs w:val="24"/>
        </w:rPr>
        <w:t>50</w:t>
      </w:r>
      <w:r w:rsidR="00332EB6" w:rsidRPr="00677D1F">
        <w:rPr>
          <w:rFonts w:ascii="宋体" w:eastAsia="宋体" w:hAnsi="宋体" w:cs="宋体" w:hint="eastAsia"/>
          <w:color w:val="000000"/>
          <w:kern w:val="0"/>
          <w:sz w:val="24"/>
          <w:szCs w:val="24"/>
        </w:rPr>
        <w:t>万吨以内；工艺装备水平进一步提高。</w:t>
      </w:r>
      <w:r w:rsidR="00332EB6" w:rsidRPr="00677D1F">
        <w:rPr>
          <w:rFonts w:ascii="宋体" w:eastAsia="宋体" w:hAnsi="宋体" w:cs="宋体"/>
          <w:color w:val="000000"/>
          <w:kern w:val="0"/>
          <w:sz w:val="24"/>
          <w:szCs w:val="24"/>
        </w:rPr>
        <w:t>25000</w:t>
      </w:r>
      <w:r w:rsidR="00332EB6" w:rsidRPr="00677D1F">
        <w:rPr>
          <w:rFonts w:ascii="宋体" w:eastAsia="宋体" w:hAnsi="宋体" w:cs="宋体" w:hint="eastAsia"/>
          <w:color w:val="000000"/>
          <w:kern w:val="0"/>
          <w:sz w:val="24"/>
          <w:szCs w:val="24"/>
        </w:rPr>
        <w:t>千伏安以上电炉生产能力占总能力</w:t>
      </w:r>
      <w:r w:rsidR="00332EB6" w:rsidRPr="00677D1F">
        <w:rPr>
          <w:rFonts w:ascii="宋体" w:eastAsia="宋体" w:hAnsi="宋体" w:cs="宋体"/>
          <w:color w:val="000000"/>
          <w:kern w:val="0"/>
          <w:sz w:val="24"/>
          <w:szCs w:val="24"/>
        </w:rPr>
        <w:t>10%</w:t>
      </w:r>
      <w:r w:rsidR="00332EB6" w:rsidRPr="00677D1F">
        <w:rPr>
          <w:rFonts w:ascii="宋体" w:eastAsia="宋体" w:hAnsi="宋体" w:cs="宋体" w:hint="eastAsia"/>
          <w:color w:val="000000"/>
          <w:kern w:val="0"/>
          <w:sz w:val="24"/>
          <w:szCs w:val="24"/>
        </w:rPr>
        <w:t>以上，全部淘汰</w:t>
      </w:r>
      <w:r w:rsidR="00332EB6" w:rsidRPr="00677D1F">
        <w:rPr>
          <w:rFonts w:ascii="宋体" w:eastAsia="宋体" w:hAnsi="宋体" w:cs="宋体"/>
          <w:color w:val="000000"/>
          <w:kern w:val="0"/>
          <w:sz w:val="24"/>
          <w:szCs w:val="24"/>
        </w:rPr>
        <w:t>5000</w:t>
      </w:r>
      <w:r w:rsidR="00332EB6" w:rsidRPr="00677D1F">
        <w:rPr>
          <w:rFonts w:ascii="宋体" w:eastAsia="宋体" w:hAnsi="宋体" w:cs="宋体" w:hint="eastAsia"/>
          <w:color w:val="000000"/>
          <w:kern w:val="0"/>
          <w:sz w:val="24"/>
          <w:szCs w:val="24"/>
        </w:rPr>
        <w:t>千伏安及以下矿热电炉和</w:t>
      </w:r>
      <w:r w:rsidR="00332EB6" w:rsidRPr="00677D1F">
        <w:rPr>
          <w:rFonts w:ascii="宋体" w:eastAsia="宋体" w:hAnsi="宋体" w:cs="宋体"/>
          <w:color w:val="000000"/>
          <w:kern w:val="0"/>
          <w:sz w:val="24"/>
          <w:szCs w:val="24"/>
        </w:rPr>
        <w:t>100</w:t>
      </w:r>
      <w:r w:rsidR="00332EB6" w:rsidRPr="00677D1F">
        <w:rPr>
          <w:rFonts w:ascii="宋体" w:eastAsia="宋体" w:hAnsi="宋体" w:cs="宋体" w:hint="eastAsia"/>
          <w:color w:val="000000"/>
          <w:kern w:val="0"/>
          <w:sz w:val="24"/>
          <w:szCs w:val="24"/>
        </w:rPr>
        <w:t>立方米及以下铁合金高炉；能耗、物耗进一步降低，生产企业实现达标排放。根据工程分析内容，本项目符合《新疆维吾尔自治区钢铁工业“十</w:t>
      </w:r>
      <w:r w:rsidRPr="00677D1F">
        <w:rPr>
          <w:rFonts w:ascii="宋体" w:eastAsia="宋体" w:hAnsi="宋体" w:cs="宋体" w:hint="eastAsia"/>
          <w:color w:val="000000"/>
          <w:kern w:val="0"/>
          <w:sz w:val="24"/>
          <w:szCs w:val="24"/>
        </w:rPr>
        <w:t>三</w:t>
      </w:r>
      <w:r w:rsidR="00332EB6" w:rsidRPr="00677D1F">
        <w:rPr>
          <w:rFonts w:ascii="宋体" w:eastAsia="宋体" w:hAnsi="宋体" w:cs="宋体" w:hint="eastAsia"/>
          <w:color w:val="000000"/>
          <w:kern w:val="0"/>
          <w:sz w:val="24"/>
          <w:szCs w:val="24"/>
        </w:rPr>
        <w:t>五”发展规划》相关要求。</w:t>
      </w:r>
    </w:p>
    <w:p w:rsidR="00D228BE" w:rsidRPr="00677D1F" w:rsidRDefault="00332EB6" w:rsidP="00677D1F">
      <w:pPr>
        <w:widowControl/>
        <w:contextualSpacing/>
        <w:outlineLvl w:val="2"/>
        <w:rPr>
          <w:rFonts w:ascii="Times New Roman" w:eastAsia="宋体" w:hAnsi="Times New Roman" w:cs="Times New Roman"/>
          <w:b/>
          <w:bCs/>
          <w:color w:val="000000"/>
          <w:kern w:val="0"/>
          <w:sz w:val="26"/>
          <w:szCs w:val="26"/>
        </w:rPr>
      </w:pPr>
      <w:r w:rsidRPr="00677D1F">
        <w:rPr>
          <w:rFonts w:ascii="Times New Roman" w:eastAsia="宋体" w:hAnsi="Times New Roman" w:cs="Times New Roman"/>
          <w:b/>
          <w:bCs/>
          <w:color w:val="000000"/>
          <w:kern w:val="0"/>
          <w:sz w:val="26"/>
          <w:szCs w:val="26"/>
        </w:rPr>
        <w:t>4.4.7</w:t>
      </w:r>
      <w:r w:rsidRPr="00677D1F">
        <w:rPr>
          <w:rFonts w:ascii="Times New Roman" w:eastAsia="宋体" w:hAnsi="Times New Roman" w:cs="Times New Roman" w:hint="eastAsia"/>
          <w:b/>
          <w:bCs/>
          <w:color w:val="000000"/>
          <w:kern w:val="0"/>
          <w:sz w:val="26"/>
          <w:szCs w:val="26"/>
        </w:rPr>
        <w:t xml:space="preserve"> </w:t>
      </w:r>
      <w:r w:rsidRPr="00677D1F">
        <w:rPr>
          <w:rFonts w:ascii="Times New Roman" w:eastAsia="宋体" w:hAnsi="Times New Roman" w:cs="Times New Roman" w:hint="eastAsia"/>
          <w:b/>
          <w:bCs/>
          <w:color w:val="000000"/>
          <w:kern w:val="0"/>
          <w:sz w:val="26"/>
          <w:szCs w:val="26"/>
        </w:rPr>
        <w:t>哈密工业园区重工业加工区概况</w:t>
      </w:r>
    </w:p>
    <w:p w:rsidR="00D228BE" w:rsidRPr="00677D1F" w:rsidRDefault="00332EB6" w:rsidP="00677D1F">
      <w:pPr>
        <w:widowControl/>
        <w:contextualSpacing/>
        <w:outlineLvl w:val="3"/>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lastRenderedPageBreak/>
        <w:t>4.4.7.1</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园区概况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（一）现状概况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哈密工业园区由哈密广东工业加工区（轻工业区：</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区）和哈密重工业加工区（重工业区：</w:t>
      </w:r>
      <w:r w:rsidRPr="00677D1F">
        <w:rPr>
          <w:rFonts w:ascii="宋体" w:eastAsia="宋体" w:hAnsi="宋体" w:cs="宋体"/>
          <w:color w:val="000000"/>
          <w:kern w:val="0"/>
          <w:sz w:val="24"/>
          <w:szCs w:val="24"/>
        </w:rPr>
        <w:t>B</w:t>
      </w:r>
      <w:r w:rsidRPr="00677D1F">
        <w:rPr>
          <w:rFonts w:ascii="宋体" w:eastAsia="宋体" w:hAnsi="宋体" w:cs="宋体" w:hint="eastAsia"/>
          <w:color w:val="000000"/>
          <w:kern w:val="0"/>
          <w:sz w:val="24"/>
          <w:szCs w:val="24"/>
        </w:rPr>
        <w:t>区）组成，园区规划总用地面积</w:t>
      </w:r>
      <w:r w:rsidRPr="00677D1F">
        <w:rPr>
          <w:rFonts w:ascii="宋体" w:eastAsia="宋体" w:hAnsi="宋体" w:cs="宋体"/>
          <w:color w:val="000000"/>
          <w:kern w:val="0"/>
          <w:sz w:val="24"/>
          <w:szCs w:val="24"/>
        </w:rPr>
        <w:t>73.86km</w:t>
      </w:r>
      <w:r w:rsidRPr="00677D1F">
        <w:rPr>
          <w:rFonts w:ascii="宋体" w:eastAsia="宋体" w:hAnsi="宋体" w:cs="宋体" w:hint="eastAsia"/>
          <w:color w:val="000000"/>
          <w:kern w:val="0"/>
          <w:sz w:val="24"/>
          <w:szCs w:val="24"/>
        </w:rPr>
        <w:t>，园区总容纳人口约</w:t>
      </w:r>
      <w:r w:rsidRPr="00677D1F">
        <w:rPr>
          <w:rFonts w:ascii="宋体" w:eastAsia="宋体" w:hAnsi="宋体" w:cs="宋体"/>
          <w:color w:val="000000"/>
          <w:kern w:val="0"/>
          <w:sz w:val="24"/>
          <w:szCs w:val="24"/>
        </w:rPr>
        <w:t>4.5</w:t>
      </w:r>
      <w:r w:rsidRPr="00677D1F">
        <w:rPr>
          <w:rFonts w:ascii="宋体" w:eastAsia="宋体" w:hAnsi="宋体" w:cs="宋体" w:hint="eastAsia"/>
          <w:color w:val="000000"/>
          <w:kern w:val="0"/>
          <w:sz w:val="24"/>
          <w:szCs w:val="24"/>
        </w:rPr>
        <w:t>万人。工业园区由2006年经自治区批准设立，批复面积45</w:t>
      </w:r>
      <w:r w:rsidRPr="00677D1F">
        <w:rPr>
          <w:rFonts w:ascii="宋体" w:eastAsia="宋体" w:hAnsi="宋体" w:cs="宋体"/>
          <w:color w:val="000000"/>
          <w:kern w:val="0"/>
          <w:sz w:val="24"/>
          <w:szCs w:val="24"/>
        </w:rPr>
        <w:t>km</w:t>
      </w:r>
      <w:r w:rsidRPr="00677D1F">
        <w:rPr>
          <w:rFonts w:ascii="宋体" w:eastAsia="宋体" w:hAnsi="宋体" w:cs="宋体" w:hint="eastAsia"/>
          <w:color w:val="000000"/>
          <w:kern w:val="0"/>
          <w:sz w:val="24"/>
          <w:szCs w:val="24"/>
        </w:rPr>
        <w:t>。按照“一园多区”的发展模式，哈密工业园区分为广东工业园区、重工业加工区两个部分。工业园区于</w:t>
      </w:r>
      <w:r w:rsidRPr="00677D1F">
        <w:rPr>
          <w:rFonts w:ascii="宋体" w:eastAsia="宋体" w:hAnsi="宋体" w:cs="宋体"/>
          <w:color w:val="000000"/>
          <w:kern w:val="0"/>
          <w:sz w:val="24"/>
          <w:szCs w:val="24"/>
        </w:rPr>
        <w:t>2007</w:t>
      </w:r>
      <w:r w:rsidRPr="00677D1F">
        <w:rPr>
          <w:rFonts w:ascii="宋体" w:eastAsia="宋体" w:hAnsi="宋体" w:cs="宋体" w:hint="eastAsia"/>
          <w:color w:val="000000"/>
          <w:kern w:val="0"/>
          <w:sz w:val="24"/>
          <w:szCs w:val="24"/>
        </w:rPr>
        <w:t>年</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月获得新疆维吾尔自治区环境保护局的环评批复（新环监函〔</w:t>
      </w:r>
      <w:r w:rsidRPr="00677D1F">
        <w:rPr>
          <w:rFonts w:ascii="宋体" w:eastAsia="宋体" w:hAnsi="宋体" w:cs="宋体"/>
          <w:color w:val="000000"/>
          <w:kern w:val="0"/>
          <w:sz w:val="24"/>
          <w:szCs w:val="24"/>
        </w:rPr>
        <w:t>2007</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387</w:t>
      </w:r>
      <w:r w:rsidRPr="00677D1F">
        <w:rPr>
          <w:rFonts w:ascii="宋体" w:eastAsia="宋体" w:hAnsi="宋体" w:cs="宋体" w:hint="eastAsia"/>
          <w:color w:val="000000"/>
          <w:kern w:val="0"/>
          <w:sz w:val="24"/>
          <w:szCs w:val="24"/>
        </w:rPr>
        <w:t>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本项目位于哈密重工业加工区，哈密重工业加工区位于哈密市西南部，北距</w:t>
      </w:r>
      <w:r w:rsidRPr="00677D1F">
        <w:rPr>
          <w:rFonts w:ascii="宋体" w:eastAsia="宋体" w:hAnsi="宋体" w:cs="宋体"/>
          <w:color w:val="000000"/>
          <w:kern w:val="0"/>
          <w:sz w:val="24"/>
          <w:szCs w:val="24"/>
        </w:rPr>
        <w:t>312</w:t>
      </w:r>
      <w:r w:rsidRPr="00677D1F">
        <w:rPr>
          <w:rFonts w:ascii="宋体" w:eastAsia="宋体" w:hAnsi="宋体" w:cs="宋体" w:hint="eastAsia"/>
          <w:color w:val="000000"/>
          <w:kern w:val="0"/>
          <w:sz w:val="24"/>
          <w:szCs w:val="24"/>
        </w:rPr>
        <w:t>国道</w:t>
      </w:r>
      <w:r w:rsidRPr="00677D1F">
        <w:rPr>
          <w:rFonts w:ascii="宋体" w:eastAsia="宋体" w:hAnsi="宋体" w:cs="宋体"/>
          <w:color w:val="000000"/>
          <w:kern w:val="0"/>
          <w:sz w:val="24"/>
          <w:szCs w:val="24"/>
        </w:rPr>
        <w:t>22km</w:t>
      </w:r>
      <w:r w:rsidRPr="00677D1F">
        <w:rPr>
          <w:rFonts w:ascii="宋体" w:eastAsia="宋体" w:hAnsi="宋体" w:cs="宋体" w:hint="eastAsia"/>
          <w:color w:val="000000"/>
          <w:kern w:val="0"/>
          <w:sz w:val="24"/>
          <w:szCs w:val="24"/>
        </w:rPr>
        <w:t>、距兰新铁路哈密车站</w:t>
      </w:r>
      <w:r w:rsidRPr="00677D1F">
        <w:rPr>
          <w:rFonts w:ascii="宋体" w:eastAsia="宋体" w:hAnsi="宋体" w:cs="宋体"/>
          <w:color w:val="000000"/>
          <w:kern w:val="0"/>
          <w:sz w:val="24"/>
          <w:szCs w:val="24"/>
        </w:rPr>
        <w:t>16km</w:t>
      </w:r>
      <w:r w:rsidRPr="00677D1F">
        <w:rPr>
          <w:rFonts w:ascii="宋体" w:eastAsia="宋体" w:hAnsi="宋体" w:cs="宋体" w:hint="eastAsia"/>
          <w:color w:val="000000"/>
          <w:kern w:val="0"/>
          <w:sz w:val="24"/>
          <w:szCs w:val="24"/>
        </w:rPr>
        <w:t>、距哈密市环城南路为</w:t>
      </w:r>
      <w:r w:rsidRPr="00677D1F">
        <w:rPr>
          <w:rFonts w:ascii="宋体" w:eastAsia="宋体" w:hAnsi="宋体" w:cs="宋体"/>
          <w:color w:val="000000"/>
          <w:kern w:val="0"/>
          <w:sz w:val="24"/>
          <w:szCs w:val="24"/>
        </w:rPr>
        <w:t>10km</w:t>
      </w:r>
      <w:r w:rsidRPr="00677D1F">
        <w:rPr>
          <w:rFonts w:ascii="宋体" w:eastAsia="宋体" w:hAnsi="宋体" w:cs="宋体" w:hint="eastAsia"/>
          <w:color w:val="000000"/>
          <w:kern w:val="0"/>
          <w:sz w:val="24"/>
          <w:szCs w:val="24"/>
        </w:rPr>
        <w:t>，属于哈密市花园乡行政区划范围内。是以煤化工、矿产品深加工、高载能产业和钢铁原辅料加工为主的能源转换基地。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（1）现状用地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重工业加工区现状建设用地为</w:t>
      </w:r>
      <w:r w:rsidRPr="00677D1F">
        <w:rPr>
          <w:rFonts w:ascii="宋体" w:eastAsia="宋体" w:hAnsi="宋体" w:cs="宋体"/>
          <w:color w:val="000000"/>
          <w:kern w:val="0"/>
          <w:sz w:val="24"/>
          <w:szCs w:val="24"/>
        </w:rPr>
        <w:t>603.5</w:t>
      </w:r>
      <w:r w:rsidRPr="00677D1F">
        <w:rPr>
          <w:rFonts w:ascii="宋体" w:eastAsia="宋体" w:hAnsi="宋体" w:cs="宋体" w:hint="eastAsia"/>
          <w:color w:val="000000"/>
          <w:kern w:val="0"/>
          <w:sz w:val="24"/>
          <w:szCs w:val="24"/>
        </w:rPr>
        <w:t>公顷，其中：公共设施用地</w:t>
      </w:r>
      <w:r w:rsidRPr="00677D1F">
        <w:rPr>
          <w:rFonts w:ascii="宋体" w:eastAsia="宋体" w:hAnsi="宋体" w:cs="宋体"/>
          <w:color w:val="000000"/>
          <w:kern w:val="0"/>
          <w:sz w:val="24"/>
          <w:szCs w:val="24"/>
        </w:rPr>
        <w:t>0.11</w:t>
      </w:r>
      <w:r w:rsidRPr="00677D1F">
        <w:rPr>
          <w:rFonts w:ascii="宋体" w:eastAsia="宋体" w:hAnsi="宋体" w:cs="宋体" w:hint="eastAsia"/>
          <w:color w:val="000000"/>
          <w:kern w:val="0"/>
          <w:sz w:val="24"/>
          <w:szCs w:val="24"/>
        </w:rPr>
        <w:t>公顷，占建设用地</w:t>
      </w:r>
      <w:r w:rsidRPr="00677D1F">
        <w:rPr>
          <w:rFonts w:ascii="宋体" w:eastAsia="宋体" w:hAnsi="宋体" w:cs="宋体"/>
          <w:color w:val="000000"/>
          <w:kern w:val="0"/>
          <w:sz w:val="24"/>
          <w:szCs w:val="24"/>
        </w:rPr>
        <w:t>0.02</w:t>
      </w:r>
      <w:r w:rsidRPr="00677D1F">
        <w:rPr>
          <w:rFonts w:ascii="宋体" w:eastAsia="宋体" w:hAnsi="宋体" w:cs="宋体" w:hint="eastAsia"/>
          <w:color w:val="000000"/>
          <w:kern w:val="0"/>
          <w:sz w:val="24"/>
          <w:szCs w:val="24"/>
        </w:rPr>
        <w:t>％；工业用地</w:t>
      </w:r>
      <w:r w:rsidRPr="00677D1F">
        <w:rPr>
          <w:rFonts w:ascii="宋体" w:eastAsia="宋体" w:hAnsi="宋体" w:cs="宋体"/>
          <w:color w:val="000000"/>
          <w:kern w:val="0"/>
          <w:sz w:val="24"/>
          <w:szCs w:val="24"/>
        </w:rPr>
        <w:t>554.9</w:t>
      </w:r>
      <w:r w:rsidRPr="00677D1F">
        <w:rPr>
          <w:rFonts w:ascii="宋体" w:eastAsia="宋体" w:hAnsi="宋体" w:cs="宋体" w:hint="eastAsia"/>
          <w:color w:val="000000"/>
          <w:kern w:val="0"/>
          <w:sz w:val="24"/>
          <w:szCs w:val="24"/>
        </w:rPr>
        <w:t>公顷，占建设用地</w:t>
      </w:r>
      <w:r w:rsidRPr="00677D1F">
        <w:rPr>
          <w:rFonts w:ascii="宋体" w:eastAsia="宋体" w:hAnsi="宋体" w:cs="宋体"/>
          <w:color w:val="000000"/>
          <w:kern w:val="0"/>
          <w:sz w:val="24"/>
          <w:szCs w:val="24"/>
        </w:rPr>
        <w:t>0.29</w:t>
      </w:r>
      <w:r w:rsidRPr="00677D1F">
        <w:rPr>
          <w:rFonts w:ascii="宋体" w:eastAsia="宋体" w:hAnsi="宋体" w:cs="宋体" w:hint="eastAsia"/>
          <w:color w:val="000000"/>
          <w:kern w:val="0"/>
          <w:sz w:val="24"/>
          <w:szCs w:val="24"/>
        </w:rPr>
        <w:t>％；道路广场用地</w:t>
      </w:r>
      <w:r w:rsidRPr="00677D1F">
        <w:rPr>
          <w:rFonts w:ascii="宋体" w:eastAsia="宋体" w:hAnsi="宋体" w:cs="宋体"/>
          <w:color w:val="000000"/>
          <w:kern w:val="0"/>
          <w:sz w:val="24"/>
          <w:szCs w:val="24"/>
        </w:rPr>
        <w:t>56.6</w:t>
      </w:r>
      <w:r w:rsidRPr="00677D1F">
        <w:rPr>
          <w:rFonts w:ascii="宋体" w:eastAsia="宋体" w:hAnsi="宋体" w:cs="宋体" w:hint="eastAsia"/>
          <w:color w:val="000000"/>
          <w:kern w:val="0"/>
          <w:sz w:val="24"/>
          <w:szCs w:val="24"/>
        </w:rPr>
        <w:t>公顷，占建设用地</w:t>
      </w:r>
      <w:r w:rsidRPr="00677D1F">
        <w:rPr>
          <w:rFonts w:ascii="宋体" w:eastAsia="宋体" w:hAnsi="宋体" w:cs="宋体"/>
          <w:color w:val="000000"/>
          <w:kern w:val="0"/>
          <w:sz w:val="24"/>
          <w:szCs w:val="24"/>
        </w:rPr>
        <w:t>9.38</w:t>
      </w:r>
      <w:r w:rsidRPr="00677D1F">
        <w:rPr>
          <w:rFonts w:ascii="宋体" w:eastAsia="宋体" w:hAnsi="宋体" w:cs="宋体" w:hint="eastAsia"/>
          <w:color w:val="000000"/>
          <w:kern w:val="0"/>
          <w:sz w:val="24"/>
          <w:szCs w:val="24"/>
        </w:rPr>
        <w:t>％；市政公用设施用地</w:t>
      </w:r>
      <w:r w:rsidRPr="00677D1F">
        <w:rPr>
          <w:rFonts w:ascii="宋体" w:eastAsia="宋体" w:hAnsi="宋体" w:cs="宋体"/>
          <w:color w:val="000000"/>
          <w:kern w:val="0"/>
          <w:sz w:val="24"/>
          <w:szCs w:val="24"/>
        </w:rPr>
        <w:t>1.9</w:t>
      </w:r>
      <w:r w:rsidRPr="00677D1F">
        <w:rPr>
          <w:rFonts w:ascii="宋体" w:eastAsia="宋体" w:hAnsi="宋体" w:cs="宋体" w:hint="eastAsia"/>
          <w:color w:val="000000"/>
          <w:kern w:val="0"/>
          <w:sz w:val="24"/>
          <w:szCs w:val="24"/>
        </w:rPr>
        <w:t>公顷，占建设用地</w:t>
      </w:r>
      <w:r w:rsidRPr="00677D1F">
        <w:rPr>
          <w:rFonts w:ascii="宋体" w:eastAsia="宋体" w:hAnsi="宋体" w:cs="宋体"/>
          <w:color w:val="000000"/>
          <w:kern w:val="0"/>
          <w:sz w:val="24"/>
          <w:szCs w:val="24"/>
        </w:rPr>
        <w:t>0.31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（2）现状道路</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重工业加工区内现状已建设金光大道、西域大道、恒星大道、星光大道、黄河路、银河大道、渤海路、黄海路等干线路网，基本形成了五横四纵、方格网状的道路框架。园区道路总长度</w:t>
      </w:r>
      <w:r w:rsidRPr="00677D1F">
        <w:rPr>
          <w:rFonts w:ascii="宋体" w:eastAsia="宋体" w:hAnsi="宋体" w:cs="宋体"/>
          <w:color w:val="000000"/>
          <w:kern w:val="0"/>
          <w:sz w:val="24"/>
          <w:szCs w:val="24"/>
        </w:rPr>
        <w:t>20.75km</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（3）基础设施</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供水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根据哈密工业园区规划，由哈密市第三水厂向重工业加工区供水，目前第三水厂正在建设。重工业园区水源目前由哈密鲁能煤电化基地电厂向大南湖煤矿的供水管道以及地区统筹调配地表水解决。</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排水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目前园区污水处理厂</w:t>
      </w:r>
      <w:r w:rsidRPr="00677D1F">
        <w:rPr>
          <w:rFonts w:ascii="宋体" w:eastAsia="宋体" w:hAnsi="宋体" w:cs="宋体"/>
          <w:color w:val="000000"/>
          <w:kern w:val="0"/>
          <w:sz w:val="24"/>
          <w:szCs w:val="24"/>
        </w:rPr>
        <w:t>5000t/d</w:t>
      </w:r>
      <w:r w:rsidRPr="00677D1F">
        <w:rPr>
          <w:rFonts w:ascii="宋体" w:eastAsia="宋体" w:hAnsi="宋体" w:cs="宋体" w:hint="eastAsia"/>
          <w:color w:val="000000"/>
          <w:kern w:val="0"/>
          <w:sz w:val="24"/>
          <w:szCs w:val="24"/>
        </w:rPr>
        <w:t>处理工程尚未建成，预计将于</w:t>
      </w:r>
      <w:r w:rsidRPr="00677D1F">
        <w:rPr>
          <w:rFonts w:ascii="宋体" w:eastAsia="宋体" w:hAnsi="宋体" w:cs="宋体"/>
          <w:color w:val="000000"/>
          <w:kern w:val="0"/>
          <w:sz w:val="24"/>
          <w:szCs w:val="24"/>
        </w:rPr>
        <w:t>2014</w:t>
      </w:r>
      <w:r w:rsidRPr="00677D1F">
        <w:rPr>
          <w:rFonts w:ascii="宋体" w:eastAsia="宋体" w:hAnsi="宋体" w:cs="宋体" w:hint="eastAsia"/>
          <w:color w:val="000000"/>
          <w:kern w:val="0"/>
          <w:sz w:val="24"/>
          <w:szCs w:val="24"/>
        </w:rPr>
        <w:t>年建成。目前园区企业产生的污水经各企业应自行处理污水达到标准后排入排入园区公共下水道后进入工业园区氧化塘。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③ 供电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根据哈密工业园区总体规划，重工业区供电由</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南郊变电站供应。目前该变电站尚未建成，园区用电由现有已建的</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变电站（</w:t>
      </w:r>
      <w:r w:rsidRPr="00677D1F">
        <w:rPr>
          <w:rFonts w:ascii="宋体" w:eastAsia="宋体" w:hAnsi="宋体" w:cs="宋体"/>
          <w:color w:val="000000"/>
          <w:kern w:val="0"/>
          <w:sz w:val="24"/>
          <w:szCs w:val="24"/>
        </w:rPr>
        <w:t>31500KVA</w:t>
      </w:r>
      <w:r w:rsidRPr="00677D1F">
        <w:rPr>
          <w:rFonts w:ascii="宋体" w:eastAsia="宋体" w:hAnsi="宋体" w:cs="宋体" w:hint="eastAsia"/>
          <w:color w:val="000000"/>
          <w:kern w:val="0"/>
          <w:sz w:val="24"/>
          <w:szCs w:val="24"/>
        </w:rPr>
        <w:t>）提供。</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④ 固废处理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园区工业固体废弃物处理场目前正处于建设阶段。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（二）现状存在问题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（1）基础设施仍较薄弱。</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重工业加工区内虽然已建设供水系统、排水系统、中水系统，但供水可靠性和排水普及率远远不足，现状水厂供水能力、污水处理设施处理能力较弱，不能满足园区远期的发展需求，园区内无集中供热。</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（2）生态环境和绿化景观较差。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加工区外围无分防护绿化带，内部无公共绿地，只有部分道路绿化，绿化景观较差。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（3）道路网不完善，道路等级不明确。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加工区现状虽已建成部分方格网状道路框架，但道路缺乏等级规模。</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（4）土地利用效率低。</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加工区内现有工业企业占地面积较大，但大多数单位的土地使用率较低，造成整体市政设施投资不够经济。</w:t>
      </w:r>
    </w:p>
    <w:p w:rsidR="00D228BE" w:rsidRPr="00677D1F" w:rsidRDefault="00332EB6" w:rsidP="00677D1F">
      <w:pPr>
        <w:widowControl/>
        <w:contextualSpacing/>
        <w:outlineLvl w:val="3"/>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4.4.7.2</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哈密重工业园区产业定位</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工业加工区坚持“四个优先原则”（实力优先、精深加工优先、效益优先、环保节水型项目优先），依托哈密市南部丰富的煤炭资源和其它矿产资源，以及交通便利，处于城市下风、下水等区位优势。主要发展以哈密鲁能煤电化基地建设项目为龙头的煤电产业和黑色及有色金属冶炼压延等金属材料制造业、非金属资源深加工，建材、仓储、物流等产业，适度发展煤化工、盐化工。其产业定位如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（一）煤电、煤化工产业</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依托哈密地区丰富的煤炭及煤层气资源，重点加快煤电产业的发展，</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适度发展煤化工产业。</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（二）矿产品精深加工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（1）黑色及有色金属冶炼压延等金属材料制造业</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大力发展铁精粉、球团、生铁产品，积极开发还原铁和氧化铁系列产品，积极发展有色金属压延深加工项目。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（2）非金属资源加工及建材业</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重点发展硅铁、锰铁、电石、支持发展高碳铬铁、钼铁、工业硅和稀土硅等产品。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（三）仓储物流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依托区位优势，布局仓储物流园，并建设铁路专用货运站，将运输、储存、装卸、搬运、包装、流通加工、配送、信息处理等基本功能实施有机结合。</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4.4.7.3</w:t>
      </w:r>
      <w:r w:rsidRPr="00677D1F">
        <w:rPr>
          <w:rFonts w:ascii="宋体" w:eastAsia="宋体" w:hAnsi="宋体" w:cs="宋体" w:hint="eastAsia"/>
          <w:b/>
          <w:bCs/>
          <w:color w:val="000000"/>
          <w:kern w:val="0"/>
          <w:sz w:val="24"/>
          <w:szCs w:val="24"/>
        </w:rPr>
        <w:t>哈密重工业园园区规划结构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根据哈密工业园区总体规划（</w:t>
      </w:r>
      <w:r w:rsidRPr="00677D1F">
        <w:rPr>
          <w:rFonts w:ascii="宋体" w:eastAsia="宋体" w:hAnsi="宋体" w:cs="宋体"/>
          <w:color w:val="000000"/>
          <w:kern w:val="0"/>
          <w:sz w:val="24"/>
          <w:szCs w:val="24"/>
        </w:rPr>
        <w:t>2010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2025</w:t>
      </w:r>
      <w:r w:rsidRPr="00677D1F">
        <w:rPr>
          <w:rFonts w:ascii="宋体" w:eastAsia="宋体" w:hAnsi="宋体" w:cs="宋体" w:hint="eastAsia"/>
          <w:color w:val="000000"/>
          <w:kern w:val="0"/>
          <w:sz w:val="24"/>
          <w:szCs w:val="24"/>
        </w:rPr>
        <w:t>），重工业加工区形成“五区、五轴、一环”的总体规划结构。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五区：根据《哈密市国民经济和社会发展十一五规划》和现状产业的发展规模，园区规划为综合服务区、有色及黑色金属产业区、煤化工产业区、非金属矿产加工产业区、仓储区等五大片区。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五轴：依托加工区内东西向的西域大道、星光大道，南北向的黄海路、黄河路、孔雀河路规划为加工区内联系园区各功能区的“两横三纵”园区发展轴线。</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一环：沿加工区外围形成环状道路</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结合环状道路形成园区外围生态防护林带</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同时作为管线走线用地。</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哈密重工业园区规划见图</w:t>
      </w:r>
      <w:r w:rsidRPr="00677D1F">
        <w:rPr>
          <w:rFonts w:ascii="宋体" w:eastAsia="宋体" w:hAnsi="宋体" w:cs="宋体"/>
          <w:color w:val="000000"/>
          <w:kern w:val="0"/>
          <w:sz w:val="24"/>
          <w:szCs w:val="24"/>
        </w:rPr>
        <w:t>4.4-1</w:t>
      </w:r>
      <w:r w:rsidRPr="00677D1F">
        <w:rPr>
          <w:rFonts w:ascii="宋体" w:eastAsia="宋体" w:hAnsi="宋体" w:cs="宋体" w:hint="eastAsia"/>
          <w:color w:val="000000"/>
          <w:kern w:val="0"/>
          <w:sz w:val="24"/>
          <w:szCs w:val="24"/>
        </w:rPr>
        <w:t>。</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4.4.7.4</w:t>
      </w:r>
      <w:r w:rsidRPr="00677D1F">
        <w:rPr>
          <w:rFonts w:ascii="宋体" w:eastAsia="宋体" w:hAnsi="宋体" w:cs="宋体" w:hint="eastAsia"/>
          <w:b/>
          <w:bCs/>
          <w:color w:val="000000"/>
          <w:kern w:val="0"/>
          <w:sz w:val="24"/>
          <w:szCs w:val="24"/>
        </w:rPr>
        <w:t>哈密重工业园园区市政设施规划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（一）给水规划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（1）用水量估算</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近期取</w:t>
      </w:r>
      <w:r w:rsidRPr="00677D1F">
        <w:rPr>
          <w:rFonts w:ascii="宋体" w:eastAsia="宋体" w:hAnsi="宋体" w:cs="宋体"/>
          <w:color w:val="000000"/>
          <w:kern w:val="0"/>
          <w:sz w:val="24"/>
          <w:szCs w:val="24"/>
        </w:rPr>
        <w:t>4.5</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/d；远期取</w:t>
      </w:r>
      <w:r w:rsidRPr="00677D1F">
        <w:rPr>
          <w:rFonts w:ascii="宋体" w:eastAsia="宋体" w:hAnsi="宋体" w:cs="宋体"/>
          <w:color w:val="000000"/>
          <w:kern w:val="0"/>
          <w:sz w:val="24"/>
          <w:szCs w:val="24"/>
        </w:rPr>
        <w:t>11.2</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（2）水源规划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地区水资源状况及开发利用现状》，规划榆树沟水库、石城子水库作为重工业园区专用水厂的水源。同时结合现状供水水源（哈密市第三水厂）及哈密市污水处理厂的中水，以满足重工业园区的用水需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（3）水厂规划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① 第三水厂：根据《哈密市总体规划》近远期内向重工业加工区供水保持在</w:t>
      </w:r>
      <w:r w:rsidRPr="00677D1F">
        <w:rPr>
          <w:rFonts w:ascii="宋体" w:eastAsia="宋体" w:hAnsi="宋体" w:cs="宋体"/>
          <w:color w:val="000000"/>
          <w:kern w:val="0"/>
          <w:sz w:val="24"/>
          <w:szCs w:val="24"/>
        </w:rPr>
        <w:t>1.2</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② 哈密市污水处理厂：规划近期向重工业加工区供水</w:t>
      </w:r>
      <w:r w:rsidRPr="00677D1F">
        <w:rPr>
          <w:rFonts w:ascii="宋体" w:eastAsia="宋体" w:hAnsi="宋体" w:cs="宋体"/>
          <w:color w:val="000000"/>
          <w:kern w:val="0"/>
          <w:sz w:val="24"/>
          <w:szCs w:val="24"/>
        </w:rPr>
        <w:t>2.5</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/d，远期供水</w:t>
      </w:r>
      <w:r w:rsidRPr="00677D1F">
        <w:rPr>
          <w:rFonts w:ascii="宋体" w:eastAsia="宋体" w:hAnsi="宋体" w:cs="宋体"/>
          <w:color w:val="000000"/>
          <w:kern w:val="0"/>
          <w:sz w:val="24"/>
          <w:szCs w:val="24"/>
        </w:rPr>
        <w:t>6.0</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③ 重工业园区水厂：规划近期供水规模为</w:t>
      </w:r>
      <w:r w:rsidRPr="00677D1F">
        <w:rPr>
          <w:rFonts w:ascii="宋体" w:eastAsia="宋体" w:hAnsi="宋体" w:cs="宋体"/>
          <w:color w:val="000000"/>
          <w:kern w:val="0"/>
          <w:sz w:val="24"/>
          <w:szCs w:val="24"/>
        </w:rPr>
        <w:t>0.5</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/d，远期供水规模为</w:t>
      </w:r>
      <w:r w:rsidRPr="00677D1F">
        <w:rPr>
          <w:rFonts w:ascii="宋体" w:eastAsia="宋体" w:hAnsi="宋体" w:cs="宋体"/>
          <w:color w:val="000000"/>
          <w:kern w:val="0"/>
          <w:sz w:val="24"/>
          <w:szCs w:val="24"/>
        </w:rPr>
        <w:t>4.0</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/d。近期占地</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公顷，远期占地</w:t>
      </w:r>
      <w:r w:rsidRPr="00677D1F">
        <w:rPr>
          <w:rFonts w:ascii="宋体" w:eastAsia="宋体" w:hAnsi="宋体" w:cs="宋体"/>
          <w:color w:val="000000"/>
          <w:kern w:val="0"/>
          <w:sz w:val="24"/>
          <w:szCs w:val="24"/>
        </w:rPr>
        <w:t>3.0</w:t>
      </w:r>
      <w:r w:rsidRPr="00677D1F">
        <w:rPr>
          <w:rFonts w:ascii="宋体" w:eastAsia="宋体" w:hAnsi="宋体" w:cs="宋体" w:hint="eastAsia"/>
          <w:color w:val="000000"/>
          <w:kern w:val="0"/>
          <w:sz w:val="24"/>
          <w:szCs w:val="24"/>
        </w:rPr>
        <w:t>公顷，规划水厂供水工艺：榆树沟水库、石城子水库（管道自流）→规划水厂（处理）→输水管（压力管）→配水管→用户。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（4）水源地保护规划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给水水源必须设置卫生防护地带，卫生防护地带的范围和防护措施，应满足《生活饮用水卫生标准》</w:t>
      </w:r>
      <w:r w:rsidRPr="00677D1F">
        <w:rPr>
          <w:rFonts w:ascii="宋体" w:eastAsia="宋体" w:hAnsi="宋体" w:cs="宋体"/>
          <w:color w:val="000000"/>
          <w:kern w:val="0"/>
          <w:sz w:val="24"/>
          <w:szCs w:val="24"/>
        </w:rPr>
        <w:t>（GB5749</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2006</w:t>
      </w:r>
      <w:r w:rsidRPr="00677D1F">
        <w:rPr>
          <w:rFonts w:ascii="宋体" w:eastAsia="宋体" w:hAnsi="宋体" w:cs="宋体" w:hint="eastAsia"/>
          <w:color w:val="000000"/>
          <w:kern w:val="0"/>
          <w:sz w:val="24"/>
          <w:szCs w:val="24"/>
        </w:rPr>
        <w:t>）和《饮用水水源保护区污染防治管理规定》的规定。同时根据《饮用水水源地保护区划分技术规范》（</w:t>
      </w:r>
      <w:r w:rsidRPr="00677D1F">
        <w:rPr>
          <w:rFonts w:ascii="宋体" w:eastAsia="宋体" w:hAnsi="宋体" w:cs="宋体"/>
          <w:color w:val="000000"/>
          <w:kern w:val="0"/>
          <w:sz w:val="24"/>
          <w:szCs w:val="24"/>
        </w:rPr>
        <w:t>HJ/T338-2007</w:t>
      </w:r>
      <w:r w:rsidRPr="00677D1F">
        <w:rPr>
          <w:rFonts w:ascii="宋体" w:eastAsia="宋体" w:hAnsi="宋体" w:cs="宋体" w:hint="eastAsia"/>
          <w:color w:val="000000"/>
          <w:kern w:val="0"/>
          <w:sz w:val="24"/>
          <w:szCs w:val="24"/>
        </w:rPr>
        <w:t>）划定出水源地保护区范围，以保证引用水的安全。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（5）供水管网</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规划新建供水管网采用环状与枝状相结合的方式布置，新建供水管道沿道路的南侧或东侧敷设。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哈密重工业园区给水、电力图见图</w:t>
      </w:r>
      <w:r w:rsidRPr="00677D1F">
        <w:rPr>
          <w:rFonts w:ascii="宋体" w:eastAsia="宋体" w:hAnsi="宋体" w:cs="宋体"/>
          <w:color w:val="000000"/>
          <w:kern w:val="0"/>
          <w:sz w:val="24"/>
          <w:szCs w:val="24"/>
        </w:rPr>
        <w:t>4.4-2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（二）排水规划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（1）污水量预测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近期取</w:t>
      </w:r>
      <w:r w:rsidRPr="00677D1F">
        <w:rPr>
          <w:rFonts w:ascii="宋体" w:eastAsia="宋体" w:hAnsi="宋体" w:cs="宋体"/>
          <w:color w:val="000000"/>
          <w:kern w:val="0"/>
          <w:sz w:val="24"/>
          <w:szCs w:val="24"/>
        </w:rPr>
        <w:t>3.0</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/d；远期取</w:t>
      </w:r>
      <w:r w:rsidRPr="00677D1F">
        <w:rPr>
          <w:rFonts w:ascii="宋体" w:eastAsia="宋体" w:hAnsi="宋体" w:cs="宋体"/>
          <w:color w:val="000000"/>
          <w:kern w:val="0"/>
          <w:sz w:val="24"/>
          <w:szCs w:val="24"/>
        </w:rPr>
        <w:t>7.5</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（2）污水处理厂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规划对现有氧化塘进行改造使其近期处理规模达到</w:t>
      </w:r>
      <w:r w:rsidRPr="00677D1F">
        <w:rPr>
          <w:rFonts w:ascii="宋体" w:eastAsia="宋体" w:hAnsi="宋体" w:cs="宋体"/>
          <w:color w:val="000000"/>
          <w:kern w:val="0"/>
          <w:sz w:val="24"/>
          <w:szCs w:val="24"/>
        </w:rPr>
        <w:t>3.0</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/d，占地规模约为</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公顷。远期规划处理能力</w:t>
      </w:r>
      <w:r w:rsidRPr="00677D1F">
        <w:rPr>
          <w:rFonts w:ascii="宋体" w:eastAsia="宋体" w:hAnsi="宋体" w:cs="宋体"/>
          <w:color w:val="000000"/>
          <w:kern w:val="0"/>
          <w:sz w:val="24"/>
          <w:szCs w:val="24"/>
        </w:rPr>
        <w:t>7.5</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/d，其占地规模约为</w:t>
      </w:r>
      <w:r w:rsidRPr="00677D1F">
        <w:rPr>
          <w:rFonts w:ascii="宋体" w:eastAsia="宋体" w:hAnsi="宋体" w:cs="宋体"/>
          <w:color w:val="000000"/>
          <w:kern w:val="0"/>
          <w:sz w:val="24"/>
          <w:szCs w:val="24"/>
        </w:rPr>
        <w:t>8</w:t>
      </w:r>
      <w:r w:rsidRPr="00677D1F">
        <w:rPr>
          <w:rFonts w:ascii="宋体" w:eastAsia="宋体" w:hAnsi="宋体" w:cs="宋体" w:hint="eastAsia"/>
          <w:color w:val="000000"/>
          <w:kern w:val="0"/>
          <w:sz w:val="24"/>
          <w:szCs w:val="24"/>
        </w:rPr>
        <w:t>公顷。规划近远期内污水处理厂采用二级处理工艺，污水的出水水质达到国家一级</w:t>
      </w:r>
      <w:r w:rsidRPr="00677D1F">
        <w:rPr>
          <w:rFonts w:ascii="宋体" w:eastAsia="宋体" w:hAnsi="宋体" w:cs="宋体"/>
          <w:color w:val="000000"/>
          <w:kern w:val="0"/>
          <w:sz w:val="24"/>
          <w:szCs w:val="24"/>
        </w:rPr>
        <w:t>B</w:t>
      </w:r>
      <w:r w:rsidRPr="00677D1F">
        <w:rPr>
          <w:rFonts w:ascii="宋体" w:eastAsia="宋体" w:hAnsi="宋体" w:cs="宋体" w:hint="eastAsia"/>
          <w:color w:val="000000"/>
          <w:kern w:val="0"/>
          <w:sz w:val="24"/>
          <w:szCs w:val="24"/>
        </w:rPr>
        <w:t>类排放标准。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（3）污水处理厂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近远期内处理后的污水可用于下游大南湖电厂的低质生产用水。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（4）污水处理厂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充分利用现状污水管道，同时新建部分排水管道，新建排水管道沿道路的北侧或西侧敷设。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（三）供电规划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（1）用电负荷预测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总用电负荷：</w:t>
      </w:r>
      <w:r w:rsidRPr="00677D1F">
        <w:rPr>
          <w:rFonts w:ascii="宋体" w:eastAsia="宋体" w:hAnsi="宋体" w:cs="宋体"/>
          <w:color w:val="000000"/>
          <w:kern w:val="0"/>
          <w:sz w:val="24"/>
          <w:szCs w:val="24"/>
        </w:rPr>
        <w:t>84135KW</w:t>
      </w:r>
      <w:r w:rsidRPr="00677D1F">
        <w:rPr>
          <w:rFonts w:ascii="宋体" w:eastAsia="宋体" w:hAnsi="宋体" w:cs="宋体" w:hint="eastAsia"/>
          <w:color w:val="000000"/>
          <w:kern w:val="0"/>
          <w:sz w:val="24"/>
          <w:szCs w:val="24"/>
        </w:rPr>
        <w:t>，计算变电站容量：</w:t>
      </w:r>
      <w:r w:rsidRPr="00677D1F">
        <w:rPr>
          <w:rFonts w:ascii="宋体" w:eastAsia="宋体" w:hAnsi="宋体" w:cs="宋体"/>
          <w:color w:val="000000"/>
          <w:kern w:val="0"/>
          <w:sz w:val="24"/>
          <w:szCs w:val="24"/>
        </w:rPr>
        <w:t>104192KVA</w:t>
      </w:r>
      <w:r w:rsidRPr="00677D1F">
        <w:rPr>
          <w:rFonts w:ascii="宋体" w:eastAsia="宋体" w:hAnsi="宋体" w:cs="宋体" w:hint="eastAsia"/>
          <w:color w:val="000000"/>
          <w:kern w:val="0"/>
          <w:sz w:val="24"/>
          <w:szCs w:val="24"/>
        </w:rPr>
        <w:t>，规划变电站容量：</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万</w:t>
      </w:r>
      <w:r w:rsidRPr="00677D1F">
        <w:rPr>
          <w:rFonts w:ascii="宋体" w:eastAsia="宋体" w:hAnsi="宋体" w:cs="宋体"/>
          <w:color w:val="000000"/>
          <w:kern w:val="0"/>
          <w:sz w:val="24"/>
          <w:szCs w:val="24"/>
        </w:rPr>
        <w:t>KVA</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（2）规划内容</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重工业区起动期用电由现有已建的</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变电站</w:t>
      </w:r>
      <w:r w:rsidRPr="00677D1F">
        <w:rPr>
          <w:rFonts w:ascii="宋体" w:eastAsia="宋体" w:hAnsi="宋体" w:cs="宋体"/>
          <w:color w:val="000000"/>
          <w:kern w:val="0"/>
          <w:sz w:val="24"/>
          <w:szCs w:val="24"/>
        </w:rPr>
        <w:t>（31500KVA）</w:t>
      </w:r>
      <w:r w:rsidRPr="00677D1F">
        <w:rPr>
          <w:rFonts w:ascii="宋体" w:eastAsia="宋体" w:hAnsi="宋体" w:cs="宋体" w:hint="eastAsia"/>
          <w:color w:val="000000"/>
          <w:kern w:val="0"/>
          <w:sz w:val="24"/>
          <w:szCs w:val="24"/>
        </w:rPr>
        <w:t>提供。现规划在重工业区北部新建</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南郊变电站，此变电站作为工业区中心变电站，</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变电站由鲁能工业区供电，工业区内工业用电由此提供。</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重工业区内电网规划采用</w:t>
      </w:r>
      <w:r w:rsidRPr="00677D1F">
        <w:rPr>
          <w:rFonts w:ascii="宋体" w:eastAsia="宋体" w:hAnsi="宋体" w:cs="宋体"/>
          <w:color w:val="000000"/>
          <w:kern w:val="0"/>
          <w:sz w:val="24"/>
          <w:szCs w:val="24"/>
        </w:rPr>
        <w:t>35KV</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线路，线路采用放射式配电，采用架空方式敷。北部预留</w:t>
      </w:r>
      <w:r w:rsidRPr="00677D1F">
        <w:rPr>
          <w:rFonts w:ascii="宋体" w:eastAsia="宋体" w:hAnsi="宋体" w:cs="宋体"/>
          <w:color w:val="000000"/>
          <w:kern w:val="0"/>
          <w:sz w:val="24"/>
          <w:szCs w:val="24"/>
        </w:rPr>
        <w:t>750KV</w:t>
      </w:r>
      <w:r w:rsidRPr="00677D1F">
        <w:rPr>
          <w:rFonts w:ascii="宋体" w:eastAsia="宋体" w:hAnsi="宋体" w:cs="宋体" w:hint="eastAsia"/>
          <w:color w:val="000000"/>
          <w:kern w:val="0"/>
          <w:sz w:val="24"/>
          <w:szCs w:val="24"/>
        </w:rPr>
        <w:t>输电线路走廊。</w:t>
      </w:r>
      <w:r w:rsidRPr="00677D1F">
        <w:rPr>
          <w:rFonts w:ascii="宋体" w:eastAsia="宋体" w:hAnsi="宋体" w:cs="宋体"/>
          <w:color w:val="000000"/>
          <w:kern w:val="0"/>
          <w:sz w:val="24"/>
          <w:szCs w:val="24"/>
        </w:rPr>
        <w:t>35KV</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线路依据生产企业供电的自身要求为各工业企业提供供电，各企业在厂内建专用变电站采用双电源供电提高供电的可靠性。电力线路主要敷设在道路的东、北两侧。架空线路均采用绝缘导线。</w:t>
      </w:r>
      <w:r w:rsidRPr="00677D1F">
        <w:rPr>
          <w:rFonts w:ascii="宋体" w:eastAsia="宋体" w:hAnsi="宋体" w:cs="宋体"/>
          <w:color w:val="000000"/>
          <w:kern w:val="0"/>
          <w:sz w:val="24"/>
          <w:szCs w:val="24"/>
        </w:rPr>
        <w:t>750KV</w:t>
      </w:r>
      <w:r w:rsidRPr="00677D1F">
        <w:rPr>
          <w:rFonts w:ascii="宋体" w:eastAsia="宋体" w:hAnsi="宋体" w:cs="宋体" w:hint="eastAsia"/>
          <w:color w:val="000000"/>
          <w:kern w:val="0"/>
          <w:sz w:val="24"/>
          <w:szCs w:val="24"/>
        </w:rPr>
        <w:t>线路的高压走廊宽度为</w:t>
      </w:r>
      <w:r w:rsidRPr="00677D1F">
        <w:rPr>
          <w:rFonts w:ascii="宋体" w:eastAsia="宋体" w:hAnsi="宋体" w:cs="宋体"/>
          <w:color w:val="000000"/>
          <w:kern w:val="0"/>
          <w:sz w:val="24"/>
          <w:szCs w:val="24"/>
        </w:rPr>
        <w:t>80</w:t>
      </w:r>
      <w:r w:rsidRPr="00677D1F">
        <w:rPr>
          <w:rFonts w:ascii="宋体" w:eastAsia="宋体" w:hAnsi="宋体" w:cs="宋体" w:hint="eastAsia"/>
          <w:color w:val="000000"/>
          <w:kern w:val="0"/>
          <w:sz w:val="24"/>
          <w:szCs w:val="24"/>
        </w:rPr>
        <w:t>m；</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线路的高压走廊宽度为</w:t>
      </w:r>
      <w:r w:rsidRPr="00677D1F">
        <w:rPr>
          <w:rFonts w:ascii="宋体" w:eastAsia="宋体" w:hAnsi="宋体" w:cs="宋体"/>
          <w:color w:val="000000"/>
          <w:kern w:val="0"/>
          <w:sz w:val="24"/>
          <w:szCs w:val="24"/>
        </w:rPr>
        <w:t>50</w:t>
      </w:r>
      <w:r w:rsidRPr="00677D1F">
        <w:rPr>
          <w:rFonts w:ascii="宋体" w:eastAsia="宋体" w:hAnsi="宋体" w:cs="宋体" w:hint="eastAsia"/>
          <w:color w:val="000000"/>
          <w:kern w:val="0"/>
          <w:sz w:val="24"/>
          <w:szCs w:val="24"/>
        </w:rPr>
        <w:t>m；</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线路的高压走廊宽度为</w:t>
      </w:r>
      <w:r w:rsidRPr="00677D1F">
        <w:rPr>
          <w:rFonts w:ascii="宋体" w:eastAsia="宋体" w:hAnsi="宋体" w:cs="宋体"/>
          <w:color w:val="000000"/>
          <w:kern w:val="0"/>
          <w:sz w:val="24"/>
          <w:szCs w:val="24"/>
        </w:rPr>
        <w:t>35</w:t>
      </w:r>
      <w:r w:rsidRPr="00677D1F">
        <w:rPr>
          <w:rFonts w:ascii="宋体" w:eastAsia="宋体" w:hAnsi="宋体" w:cs="宋体" w:hint="eastAsia"/>
          <w:color w:val="000000"/>
          <w:kern w:val="0"/>
          <w:sz w:val="24"/>
          <w:szCs w:val="24"/>
        </w:rPr>
        <w:t>m；</w:t>
      </w:r>
      <w:r w:rsidRPr="00677D1F">
        <w:rPr>
          <w:rFonts w:ascii="宋体" w:eastAsia="宋体" w:hAnsi="宋体" w:cs="宋体"/>
          <w:color w:val="000000"/>
          <w:kern w:val="0"/>
          <w:sz w:val="24"/>
          <w:szCs w:val="24"/>
        </w:rPr>
        <w:t>35KV</w:t>
      </w:r>
      <w:r w:rsidRPr="00677D1F">
        <w:rPr>
          <w:rFonts w:ascii="宋体" w:eastAsia="宋体" w:hAnsi="宋体" w:cs="宋体" w:hint="eastAsia"/>
          <w:color w:val="000000"/>
          <w:kern w:val="0"/>
          <w:sz w:val="24"/>
          <w:szCs w:val="24"/>
        </w:rPr>
        <w:t>线路的高压走廊宽度为</w:t>
      </w:r>
      <w:r w:rsidRPr="00677D1F">
        <w:rPr>
          <w:rFonts w:ascii="宋体" w:eastAsia="宋体" w:hAnsi="宋体" w:cs="宋体"/>
          <w:color w:val="000000"/>
          <w:kern w:val="0"/>
          <w:sz w:val="24"/>
          <w:szCs w:val="24"/>
        </w:rPr>
        <w:t>20</w:t>
      </w:r>
      <w:r w:rsidRPr="00677D1F">
        <w:rPr>
          <w:rFonts w:ascii="宋体" w:eastAsia="宋体" w:hAnsi="宋体" w:cs="宋体" w:hint="eastAsia"/>
          <w:color w:val="000000"/>
          <w:kern w:val="0"/>
          <w:sz w:val="24"/>
          <w:szCs w:val="24"/>
        </w:rPr>
        <w:t>m。</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（四）环卫规划</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（1）固体废弃物</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园区内工业废弃物和生活垃圾应进行分类收集、分类处置。生活垃圾由哈密市环卫部门统一收集，清运至哈密市垃圾处理场进行处理；工业废弃物由各工业企业自行清运至园区工业固体废弃物处理场进行处理、堆放、焚烧或填埋；危险化学品废弃物由工业企业自行清运，通过危险化学品废弃物处理装置进行焚烧或化学处理，转化为无害物品，最终进行填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（2）公共厕所</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园区内公共厕所按</w:t>
      </w:r>
      <w:r w:rsidRPr="00677D1F">
        <w:rPr>
          <w:rFonts w:ascii="宋体" w:eastAsia="宋体" w:hAnsi="宋体" w:cs="宋体"/>
          <w:color w:val="000000"/>
          <w:kern w:val="0"/>
          <w:sz w:val="24"/>
          <w:szCs w:val="24"/>
        </w:rPr>
        <w:t>800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1000</w:t>
      </w:r>
      <w:r w:rsidRPr="00677D1F">
        <w:rPr>
          <w:rFonts w:ascii="宋体" w:eastAsia="宋体" w:hAnsi="宋体" w:cs="宋体" w:hint="eastAsia"/>
          <w:color w:val="000000"/>
          <w:kern w:val="0"/>
          <w:sz w:val="24"/>
          <w:szCs w:val="24"/>
        </w:rPr>
        <w:t>m的服务半径设置，共布置</w:t>
      </w:r>
      <w:r w:rsidRPr="00677D1F">
        <w:rPr>
          <w:rFonts w:ascii="宋体" w:eastAsia="宋体" w:hAnsi="宋体" w:cs="宋体"/>
          <w:color w:val="000000"/>
          <w:kern w:val="0"/>
          <w:sz w:val="24"/>
          <w:szCs w:val="24"/>
        </w:rPr>
        <w:t>15</w:t>
      </w:r>
      <w:r w:rsidRPr="00677D1F">
        <w:rPr>
          <w:rFonts w:ascii="宋体" w:eastAsia="宋体" w:hAnsi="宋体" w:cs="宋体" w:hint="eastAsia"/>
          <w:color w:val="000000"/>
          <w:kern w:val="0"/>
          <w:sz w:val="24"/>
          <w:szCs w:val="24"/>
        </w:rPr>
        <w:t>座，均为水冲式公厕。</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（3）废物箱设置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沿主干道</w:t>
      </w:r>
      <w:r w:rsidRPr="00677D1F">
        <w:rPr>
          <w:rFonts w:ascii="宋体" w:eastAsia="宋体" w:hAnsi="宋体" w:cs="宋体"/>
          <w:color w:val="000000"/>
          <w:kern w:val="0"/>
          <w:sz w:val="24"/>
          <w:szCs w:val="24"/>
        </w:rPr>
        <w:t>150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180</w:t>
      </w:r>
      <w:r w:rsidRPr="00677D1F">
        <w:rPr>
          <w:rFonts w:ascii="宋体" w:eastAsia="宋体" w:hAnsi="宋体" w:cs="宋体" w:hint="eastAsia"/>
          <w:color w:val="000000"/>
          <w:kern w:val="0"/>
          <w:sz w:val="24"/>
          <w:szCs w:val="24"/>
        </w:rPr>
        <w:t>m，其余道路</w:t>
      </w:r>
      <w:r w:rsidRPr="00677D1F">
        <w:rPr>
          <w:rFonts w:ascii="宋体" w:eastAsia="宋体" w:hAnsi="宋体" w:cs="宋体"/>
          <w:color w:val="000000"/>
          <w:kern w:val="0"/>
          <w:sz w:val="24"/>
          <w:szCs w:val="24"/>
        </w:rPr>
        <w:t>200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250</w:t>
      </w:r>
      <w:r w:rsidRPr="00677D1F">
        <w:rPr>
          <w:rFonts w:ascii="宋体" w:eastAsia="宋体" w:hAnsi="宋体" w:cs="宋体" w:hint="eastAsia"/>
          <w:color w:val="000000"/>
          <w:kern w:val="0"/>
          <w:sz w:val="24"/>
          <w:szCs w:val="24"/>
        </w:rPr>
        <w:t>m进行设置，主要进行生活垃圾的收集。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（4）垃圾清运方式：</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生活垃圾清运分三级，即垃圾收集点――垃圾转运站――垃圾处理场；工业废弃物由各工业企业自行清运至园区工业固体废弃物处理场。</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（5）垃圾处理厂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哈密市现状垃圾处理场位于哈密市以南</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km处，本次规划加工区生活垃圾运至于此处理，在其西边合适区域选址新建一处工业固体废弃物处理场，用于工业垃圾处理。</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4.4.7.5</w:t>
      </w:r>
      <w:r w:rsidRPr="00677D1F">
        <w:rPr>
          <w:rFonts w:ascii="宋体" w:eastAsia="宋体" w:hAnsi="宋体" w:cs="宋体" w:hint="eastAsia"/>
          <w:b/>
          <w:bCs/>
          <w:color w:val="000000"/>
          <w:kern w:val="0"/>
          <w:sz w:val="24"/>
          <w:szCs w:val="24"/>
        </w:rPr>
        <w:t>哈密工业园园区环评批复要求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（一）对《哈密工业园区总体规划》的调整意见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规划应结合哈密地区资源、能源的开发利用和承载能力以及园区开发背景对园区产业进行长远规划，有针对性的提出园区产业发展的项目规划和产业链。提出园区各时期的产业发展规模、产能、优先发展行业及三废处理的初步方案。</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规划应补充园区污染物防治目标和处理达标要求。结合区域环境容量和园区发展的实际，提出污染物总量控制指标、工业废水回用率、工业固体废物综合利用率、生活污水回用率等指标、并明确以下指标：工业废水处理率</w:t>
      </w:r>
      <w:r w:rsidRPr="00677D1F">
        <w:rPr>
          <w:rFonts w:ascii="宋体" w:eastAsia="宋体" w:hAnsi="宋体" w:cs="宋体"/>
          <w:color w:val="000000"/>
          <w:kern w:val="0"/>
          <w:sz w:val="24"/>
          <w:szCs w:val="24"/>
        </w:rPr>
        <w:t>100%</w:t>
      </w:r>
      <w:r w:rsidRPr="00677D1F">
        <w:rPr>
          <w:rFonts w:ascii="宋体" w:eastAsia="宋体" w:hAnsi="宋体" w:cs="宋体" w:hint="eastAsia"/>
          <w:color w:val="000000"/>
          <w:kern w:val="0"/>
          <w:sz w:val="24"/>
          <w:szCs w:val="24"/>
        </w:rPr>
        <w:t>、排放率</w:t>
      </w:r>
      <w:r w:rsidRPr="00677D1F">
        <w:rPr>
          <w:rFonts w:ascii="宋体" w:eastAsia="宋体" w:hAnsi="宋体" w:cs="宋体"/>
          <w:color w:val="000000"/>
          <w:kern w:val="0"/>
          <w:sz w:val="24"/>
          <w:szCs w:val="24"/>
        </w:rPr>
        <w:t>100%</w:t>
      </w:r>
      <w:r w:rsidRPr="00677D1F">
        <w:rPr>
          <w:rFonts w:ascii="宋体" w:eastAsia="宋体" w:hAnsi="宋体" w:cs="宋体" w:hint="eastAsia"/>
          <w:color w:val="000000"/>
          <w:kern w:val="0"/>
          <w:sz w:val="24"/>
          <w:szCs w:val="24"/>
        </w:rPr>
        <w:t>，垃圾无害化处理率</w:t>
      </w:r>
      <w:r w:rsidRPr="00677D1F">
        <w:rPr>
          <w:rFonts w:ascii="宋体" w:eastAsia="宋体" w:hAnsi="宋体" w:cs="宋体"/>
          <w:color w:val="000000"/>
          <w:kern w:val="0"/>
          <w:sz w:val="24"/>
          <w:szCs w:val="24"/>
        </w:rPr>
        <w:t>100%</w:t>
      </w:r>
      <w:r w:rsidRPr="00677D1F">
        <w:rPr>
          <w:rFonts w:ascii="宋体" w:eastAsia="宋体" w:hAnsi="宋体" w:cs="宋体" w:hint="eastAsia"/>
          <w:color w:val="000000"/>
          <w:kern w:val="0"/>
          <w:sz w:val="24"/>
          <w:szCs w:val="24"/>
        </w:rPr>
        <w:t>环境管理的“三同时”执行率</w:t>
      </w:r>
      <w:r w:rsidRPr="00677D1F">
        <w:rPr>
          <w:rFonts w:ascii="宋体" w:eastAsia="宋体" w:hAnsi="宋体" w:cs="宋体"/>
          <w:color w:val="000000"/>
          <w:kern w:val="0"/>
          <w:sz w:val="24"/>
          <w:szCs w:val="24"/>
        </w:rPr>
        <w:t>100</w:t>
      </w:r>
      <w:r w:rsidRPr="00677D1F">
        <w:rPr>
          <w:rFonts w:ascii="宋体" w:eastAsia="宋体" w:hAnsi="宋体" w:cs="宋体" w:hint="eastAsia"/>
          <w:color w:val="000000"/>
          <w:kern w:val="0"/>
          <w:sz w:val="24"/>
          <w:szCs w:val="24"/>
        </w:rPr>
        <w:t>％等。</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（3）规划应对不符合各加工区产业定位的已有建设项目，尽早考虑迁建或调整。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（4）规划应按照新疆水环境功能区划，补充区域水环境功能定位，明确水环境功能、保护目标及保护等级。</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（5）园区内不宜设置居民生活居住区，工业园区应依托哈密市作为生活居住区，在区内设置职工宿舍。调整</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区规划热源，将分布在</w:t>
      </w:r>
      <w:r w:rsidRPr="00677D1F">
        <w:rPr>
          <w:rFonts w:ascii="宋体" w:eastAsia="宋体" w:hAnsi="宋体" w:cs="宋体"/>
          <w:color w:val="000000"/>
          <w:kern w:val="0"/>
          <w:sz w:val="24"/>
          <w:szCs w:val="24"/>
        </w:rPr>
        <w:t>303</w:t>
      </w:r>
      <w:r w:rsidRPr="00677D1F">
        <w:rPr>
          <w:rFonts w:ascii="宋体" w:eastAsia="宋体" w:hAnsi="宋体" w:cs="宋体" w:hint="eastAsia"/>
          <w:color w:val="000000"/>
          <w:kern w:val="0"/>
          <w:sz w:val="24"/>
          <w:szCs w:val="24"/>
        </w:rPr>
        <w:t>省道两侧的</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个热源合建为</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个热源或者</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个。</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（6）规划环境质量标准应按照交通干线两侧为</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类区，园区行政管理中心、居住区等区域为</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类区、其他区域均分为</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类区划分，分别执行《城市区域环境噪声标准》（</w:t>
      </w:r>
      <w:r w:rsidRPr="00677D1F">
        <w:rPr>
          <w:rFonts w:ascii="宋体" w:eastAsia="宋体" w:hAnsi="宋体" w:cs="宋体"/>
          <w:color w:val="000000"/>
          <w:kern w:val="0"/>
          <w:sz w:val="24"/>
          <w:szCs w:val="24"/>
        </w:rPr>
        <w:t>GB3096-93</w:t>
      </w:r>
      <w:r w:rsidRPr="00677D1F">
        <w:rPr>
          <w:rFonts w:ascii="宋体" w:eastAsia="宋体" w:hAnsi="宋体" w:cs="宋体" w:hint="eastAsia"/>
          <w:color w:val="000000"/>
          <w:kern w:val="0"/>
          <w:sz w:val="24"/>
          <w:szCs w:val="24"/>
        </w:rPr>
        <w:t>）中的</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类、</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类和</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类标准。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（7）规划应明确</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区禁止引进皮革加工、皮毛加工等类污染物排放较重的轻工业项目。另外受区域水资源承载力限制，园区不宜发展高耗水产业。</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（8）</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区规划和开发过程中须依照《饮用水水源保护区污染防治管理规定》，将</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区整体规划东移</w:t>
      </w:r>
      <w:r w:rsidRPr="00677D1F">
        <w:rPr>
          <w:rFonts w:ascii="宋体" w:eastAsia="宋体" w:hAnsi="宋体" w:cs="宋体"/>
          <w:color w:val="000000"/>
          <w:kern w:val="0"/>
          <w:sz w:val="24"/>
          <w:szCs w:val="24"/>
        </w:rPr>
        <w:t>500</w:t>
      </w:r>
      <w:r w:rsidRPr="00677D1F">
        <w:rPr>
          <w:rFonts w:ascii="宋体" w:eastAsia="宋体" w:hAnsi="宋体" w:cs="宋体" w:hint="eastAsia"/>
          <w:color w:val="000000"/>
          <w:kern w:val="0"/>
          <w:sz w:val="24"/>
          <w:szCs w:val="24"/>
        </w:rPr>
        <w:t>m，在哈密市城市饮用水源保护区东边界与</w:t>
      </w:r>
      <w:r w:rsidRPr="00677D1F">
        <w:rPr>
          <w:rFonts w:ascii="宋体" w:eastAsia="宋体" w:hAnsi="宋体" w:cs="宋体"/>
          <w:color w:val="000000"/>
          <w:kern w:val="0"/>
          <w:sz w:val="24"/>
          <w:szCs w:val="24"/>
        </w:rPr>
        <w:t>A</w:t>
      </w:r>
      <w:r w:rsidRPr="00677D1F">
        <w:rPr>
          <w:rFonts w:ascii="宋体" w:eastAsia="宋体" w:hAnsi="宋体" w:cs="宋体" w:hint="eastAsia"/>
          <w:color w:val="000000"/>
          <w:kern w:val="0"/>
          <w:sz w:val="24"/>
          <w:szCs w:val="24"/>
        </w:rPr>
        <w:t>区西边界之间设置</w:t>
      </w:r>
      <w:r w:rsidRPr="00677D1F">
        <w:rPr>
          <w:rFonts w:ascii="宋体" w:eastAsia="宋体" w:hAnsi="宋体" w:cs="宋体"/>
          <w:color w:val="000000"/>
          <w:kern w:val="0"/>
          <w:sz w:val="24"/>
          <w:szCs w:val="24"/>
        </w:rPr>
        <w:t>500</w:t>
      </w:r>
      <w:r w:rsidRPr="00677D1F">
        <w:rPr>
          <w:rFonts w:ascii="宋体" w:eastAsia="宋体" w:hAnsi="宋体" w:cs="宋体" w:hint="eastAsia"/>
          <w:color w:val="000000"/>
          <w:kern w:val="0"/>
          <w:sz w:val="24"/>
          <w:szCs w:val="24"/>
        </w:rPr>
        <w:t>m宽的隔离带，以防治污染城市地下水源。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（二）关于规划实施的环境保护要求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（1）园区规划实施应按照规划环境影响评价报告书中提出的环境风险防范机污染防治措施，做好园区建设的环境管理工作。</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（2）工业园区管理部门应加强入园企业的管理，严格执行入园企业准入条件，限制不符合条件的项目进入园区，监督入园建设项目遵守国家及自治区环境保护相关法律法规。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园区环境保护基础设施（污水集中处理、固体废物集中处理处置、集中供热、集中供气等设施），应当按规定开展环境影响评价，与园区同步规划、同步建设、确保入园建设项目污染物排放符合国家和自治区规定的标准要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根据《建设项目环境保护管理条例》和《中华人民共和国环境影响评价法》及相关规定，规划包含的建设项目应在项目核准立项前或备案后，委托具备环评资质的机构开展项目环境影响评价工作，并按规定程序向有审批权的环境保护行政主管部门报批项目环评文件。环评文件未经审批同意，不得开工建设。</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园区建设项目必须执行环保设施建设与主体工程“三同时”，园区已有建设项目特别是高耗水、高耗能项目，应立即开展企业清洁生产审核，做到节能降耗、减污增效，为后续工程留有发展空间。在规划实施过程中，应通过园区重点污染企业</w:t>
      </w:r>
      <w:r w:rsidRPr="00677D1F">
        <w:rPr>
          <w:rFonts w:ascii="宋体" w:eastAsia="宋体" w:hAnsi="宋体" w:cs="宋体"/>
          <w:color w:val="000000"/>
          <w:kern w:val="0"/>
          <w:sz w:val="24"/>
          <w:szCs w:val="24"/>
        </w:rPr>
        <w:t>SO2</w:t>
      </w:r>
      <w:r w:rsidRPr="00677D1F">
        <w:rPr>
          <w:rFonts w:ascii="宋体" w:eastAsia="宋体" w:hAnsi="宋体" w:cs="宋体" w:hint="eastAsia"/>
          <w:color w:val="000000"/>
          <w:kern w:val="0"/>
          <w:sz w:val="24"/>
          <w:szCs w:val="24"/>
        </w:rPr>
        <w:t>排放量的削减和控制，确保</w:t>
      </w:r>
      <w:r w:rsidRPr="00677D1F">
        <w:rPr>
          <w:rFonts w:ascii="宋体" w:eastAsia="宋体" w:hAnsi="宋体" w:cs="宋体"/>
          <w:color w:val="000000"/>
          <w:kern w:val="0"/>
          <w:sz w:val="24"/>
          <w:szCs w:val="24"/>
        </w:rPr>
        <w:t>SO2</w:t>
      </w:r>
      <w:r w:rsidRPr="00677D1F">
        <w:rPr>
          <w:rFonts w:ascii="宋体" w:eastAsia="宋体" w:hAnsi="宋体" w:cs="宋体" w:hint="eastAsia"/>
          <w:color w:val="000000"/>
          <w:kern w:val="0"/>
          <w:sz w:val="24"/>
          <w:szCs w:val="24"/>
        </w:rPr>
        <w:t>排放的总量控制在哈密地区分配的指标内。</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6）规划方案实施过程可能存在目前难以预见或尚未清楚的潜在生态影响与环境问题。在规划方案实施、工业全区建设中应加强日常的环境管理，按照规划跟踪评价计划，对存在的潜在危害进行调查分析、跟踪评价，不断深化认识并及时采取不久措施，保障区域环境安全。</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（三）对规划包含的建设项目环境影响评价的指导意见入园各建设项目环境影响评价在全面论证项目环境可行性的基础上应加强以下方面工作：</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（1）对区域水资源承载能力、项目取水对下游居民生产生活及生态环境影响进行充分论证。</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（2）对建设项目拟采取的生产工艺清洁生产水平进行评价。</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（3）对建设项目拟采取的节水措施、工业固体废弃物的综合利用等方案的可行性及可操作性进行论证，并提出要求。</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（4）明确各建设项目污染物排放去向，论证环境可行性。</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（5）提出科学可行的污染物减排措施。</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4.4.7.6</w:t>
      </w:r>
      <w:r w:rsidRPr="00677D1F">
        <w:rPr>
          <w:rFonts w:ascii="宋体" w:eastAsia="宋体" w:hAnsi="宋体" w:cs="宋体" w:hint="eastAsia"/>
          <w:b/>
          <w:bCs/>
          <w:color w:val="000000"/>
          <w:kern w:val="0"/>
          <w:sz w:val="24"/>
          <w:szCs w:val="24"/>
        </w:rPr>
        <w:t>区域污染源调查</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根据《哈密市环境质量报告书》，哈密市主要工业企业为哈密一电厂、纯碱厂、桥梁厂、铁路分局及地区水泥厂等。哈密市区内工业企业全年消耗燃煤</w:t>
      </w:r>
      <w:r w:rsidRPr="00677D1F">
        <w:rPr>
          <w:rFonts w:ascii="宋体" w:eastAsia="宋体" w:hAnsi="宋体" w:cs="宋体"/>
          <w:color w:val="000000"/>
          <w:kern w:val="0"/>
          <w:sz w:val="24"/>
          <w:szCs w:val="24"/>
        </w:rPr>
        <w:t>22.68×10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t/a</w:t>
      </w:r>
      <w:r w:rsidRPr="00677D1F">
        <w:rPr>
          <w:rFonts w:ascii="宋体" w:eastAsia="宋体" w:hAnsi="宋体" w:cs="宋体" w:hint="eastAsia"/>
          <w:color w:val="000000"/>
          <w:kern w:val="0"/>
          <w:sz w:val="24"/>
          <w:szCs w:val="24"/>
        </w:rPr>
        <w:t>，年排放污染物</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、烟尘分别为</w:t>
      </w:r>
      <w:r w:rsidRPr="00677D1F">
        <w:rPr>
          <w:rFonts w:ascii="宋体" w:eastAsia="宋体" w:hAnsi="宋体" w:cs="宋体"/>
          <w:color w:val="000000"/>
          <w:kern w:val="0"/>
          <w:sz w:val="24"/>
          <w:szCs w:val="24"/>
        </w:rPr>
        <w:t>3210.6t</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5510.8t</w:t>
      </w:r>
      <w:r w:rsidRPr="00677D1F">
        <w:rPr>
          <w:rFonts w:ascii="宋体" w:eastAsia="宋体" w:hAnsi="宋体" w:cs="宋体" w:hint="eastAsia"/>
          <w:color w:val="000000"/>
          <w:kern w:val="0"/>
          <w:sz w:val="24"/>
          <w:szCs w:val="24"/>
        </w:rPr>
        <w:t>。其中烟气排放量以哈密一电厂较大，二氧化硫排放量以哈密一电厂为最大、烟尘排放量以地区水泥厂为最大。</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哈密市现有各类供热锅炉</w:t>
      </w:r>
      <w:r w:rsidRPr="00677D1F">
        <w:rPr>
          <w:rFonts w:ascii="宋体" w:eastAsia="宋体" w:hAnsi="宋体" w:cs="宋体"/>
          <w:color w:val="000000"/>
          <w:kern w:val="0"/>
          <w:sz w:val="24"/>
          <w:szCs w:val="24"/>
        </w:rPr>
        <w:t>200</w:t>
      </w:r>
      <w:r w:rsidRPr="00677D1F">
        <w:rPr>
          <w:rFonts w:ascii="宋体" w:eastAsia="宋体" w:hAnsi="宋体" w:cs="宋体" w:hint="eastAsia"/>
          <w:color w:val="000000"/>
          <w:kern w:val="0"/>
          <w:sz w:val="24"/>
          <w:szCs w:val="24"/>
        </w:rPr>
        <w:t>余台，除少数锅炉烟囱较高外，大部分锅炉的烟囱在</w:t>
      </w:r>
      <w:r w:rsidRPr="00677D1F">
        <w:rPr>
          <w:rFonts w:ascii="宋体" w:eastAsia="宋体" w:hAnsi="宋体" w:cs="宋体"/>
          <w:color w:val="000000"/>
          <w:kern w:val="0"/>
          <w:sz w:val="24"/>
          <w:szCs w:val="24"/>
        </w:rPr>
        <w:t>30m</w:t>
      </w:r>
      <w:r w:rsidRPr="00677D1F">
        <w:rPr>
          <w:rFonts w:ascii="宋体" w:eastAsia="宋体" w:hAnsi="宋体" w:cs="宋体" w:hint="eastAsia"/>
          <w:color w:val="000000"/>
          <w:kern w:val="0"/>
          <w:sz w:val="24"/>
          <w:szCs w:val="24"/>
        </w:rPr>
        <w:t>以下。其中卧式锅炉最大容量为</w:t>
      </w:r>
      <w:r w:rsidRPr="00677D1F">
        <w:rPr>
          <w:rFonts w:ascii="宋体" w:eastAsia="宋体" w:hAnsi="宋体" w:cs="宋体"/>
          <w:color w:val="000000"/>
          <w:kern w:val="0"/>
          <w:sz w:val="24"/>
          <w:szCs w:val="24"/>
        </w:rPr>
        <w:t>10t/h</w:t>
      </w:r>
      <w:r w:rsidRPr="00677D1F">
        <w:rPr>
          <w:rFonts w:ascii="宋体" w:eastAsia="宋体" w:hAnsi="宋体" w:cs="宋体" w:hint="eastAsia"/>
          <w:color w:val="000000"/>
          <w:kern w:val="0"/>
          <w:sz w:val="24"/>
          <w:szCs w:val="24"/>
        </w:rPr>
        <w:t>，其它主要为</w:t>
      </w:r>
      <w:r w:rsidRPr="00677D1F">
        <w:rPr>
          <w:rFonts w:ascii="宋体" w:eastAsia="宋体" w:hAnsi="宋体" w:cs="宋体"/>
          <w:color w:val="000000"/>
          <w:kern w:val="0"/>
          <w:sz w:val="24"/>
          <w:szCs w:val="24"/>
        </w:rPr>
        <w:t>4t/h</w:t>
      </w:r>
      <w:r w:rsidRPr="00677D1F">
        <w:rPr>
          <w:rFonts w:ascii="宋体" w:eastAsia="宋体" w:hAnsi="宋体" w:cs="宋体" w:hint="eastAsia"/>
          <w:color w:val="000000"/>
          <w:kern w:val="0"/>
          <w:sz w:val="24"/>
          <w:szCs w:val="24"/>
        </w:rPr>
        <w:t>以下的小锅炉。这些小锅炉热效率在</w:t>
      </w:r>
      <w:r w:rsidRPr="00677D1F">
        <w:rPr>
          <w:rFonts w:ascii="宋体" w:eastAsia="宋体" w:hAnsi="宋体" w:cs="宋体"/>
          <w:color w:val="000000"/>
          <w:kern w:val="0"/>
          <w:sz w:val="24"/>
          <w:szCs w:val="24"/>
        </w:rPr>
        <w:t>60%</w:t>
      </w:r>
      <w:r w:rsidRPr="00677D1F">
        <w:rPr>
          <w:rFonts w:ascii="宋体" w:eastAsia="宋体" w:hAnsi="宋体" w:cs="宋体" w:hint="eastAsia"/>
          <w:color w:val="000000"/>
          <w:kern w:val="0"/>
          <w:sz w:val="24"/>
          <w:szCs w:val="24"/>
        </w:rPr>
        <w:t>以下，除尘方式多采用多管除尘器，除尘效率在</w:t>
      </w:r>
      <w:r w:rsidRPr="00677D1F">
        <w:rPr>
          <w:rFonts w:ascii="宋体" w:eastAsia="宋体" w:hAnsi="宋体" w:cs="宋体"/>
          <w:color w:val="000000"/>
          <w:kern w:val="0"/>
          <w:sz w:val="24"/>
          <w:szCs w:val="24"/>
        </w:rPr>
        <w:t>80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83%</w:t>
      </w:r>
      <w:r w:rsidRPr="00677D1F">
        <w:rPr>
          <w:rFonts w:ascii="宋体" w:eastAsia="宋体" w:hAnsi="宋体" w:cs="宋体" w:hint="eastAsia"/>
          <w:color w:val="000000"/>
          <w:kern w:val="0"/>
          <w:sz w:val="24"/>
          <w:szCs w:val="24"/>
        </w:rPr>
        <w:t>。烟囱平均高度在</w:t>
      </w:r>
      <w:r w:rsidRPr="00677D1F">
        <w:rPr>
          <w:rFonts w:ascii="宋体" w:eastAsia="宋体" w:hAnsi="宋体" w:cs="宋体"/>
          <w:color w:val="000000"/>
          <w:kern w:val="0"/>
          <w:sz w:val="24"/>
          <w:szCs w:val="24"/>
        </w:rPr>
        <w:t>15</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28m</w:t>
      </w:r>
      <w:r w:rsidRPr="00677D1F">
        <w:rPr>
          <w:rFonts w:ascii="宋体" w:eastAsia="宋体" w:hAnsi="宋体" w:cs="宋体" w:hint="eastAsia"/>
          <w:color w:val="000000"/>
          <w:kern w:val="0"/>
          <w:sz w:val="24"/>
          <w:szCs w:val="24"/>
        </w:rPr>
        <w:t>。常压锅炉一般无除尘脱硫设施，烟囱较矮。这些分散小锅炉每年耗煤约</w:t>
      </w:r>
      <w:r w:rsidRPr="00677D1F">
        <w:rPr>
          <w:rFonts w:ascii="宋体" w:eastAsia="宋体" w:hAnsi="宋体" w:cs="宋体"/>
          <w:color w:val="000000"/>
          <w:kern w:val="0"/>
          <w:sz w:val="24"/>
          <w:szCs w:val="24"/>
        </w:rPr>
        <w:t>12.11×10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t/a</w:t>
      </w:r>
      <w:r w:rsidRPr="00677D1F">
        <w:rPr>
          <w:rFonts w:ascii="宋体" w:eastAsia="宋体" w:hAnsi="宋体" w:cs="宋体" w:hint="eastAsia"/>
          <w:color w:val="000000"/>
          <w:kern w:val="0"/>
          <w:sz w:val="24"/>
          <w:szCs w:val="24"/>
        </w:rPr>
        <w:t>，年烟尘排放量约</w:t>
      </w:r>
      <w:r w:rsidRPr="00677D1F">
        <w:rPr>
          <w:rFonts w:ascii="宋体" w:eastAsia="宋体" w:hAnsi="宋体" w:cs="宋体"/>
          <w:color w:val="000000"/>
          <w:kern w:val="0"/>
          <w:sz w:val="24"/>
          <w:szCs w:val="24"/>
        </w:rPr>
        <w:t>997.21t，</w:t>
      </w:r>
      <w:r w:rsidRPr="00677D1F">
        <w:rPr>
          <w:rFonts w:ascii="宋体" w:eastAsia="宋体" w:hAnsi="宋体" w:cs="宋体" w:hint="eastAsia"/>
          <w:color w:val="000000"/>
          <w:kern w:val="0"/>
          <w:sz w:val="24"/>
          <w:szCs w:val="24"/>
        </w:rPr>
        <w:t>年二氧化硫排放量约</w:t>
      </w:r>
      <w:r w:rsidRPr="00677D1F">
        <w:rPr>
          <w:rFonts w:ascii="宋体" w:eastAsia="宋体" w:hAnsi="宋体" w:cs="宋体"/>
          <w:color w:val="000000"/>
          <w:kern w:val="0"/>
          <w:sz w:val="24"/>
          <w:szCs w:val="24"/>
        </w:rPr>
        <w:t>992.46t</w:t>
      </w:r>
      <w:r w:rsidRPr="00677D1F">
        <w:rPr>
          <w:rFonts w:ascii="宋体" w:eastAsia="宋体" w:hAnsi="宋体" w:cs="宋体" w:hint="eastAsia"/>
          <w:color w:val="000000"/>
          <w:kern w:val="0"/>
          <w:sz w:val="24"/>
          <w:szCs w:val="24"/>
        </w:rPr>
        <w:t>，不仅造成了能源的极大浪费，同时也严重污染了城市的大气环境。</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哈密市主要工业企业</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电厂、制药厂、化工厂等</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生产废水及生活污水大部分经过处理后分别排入各自的排水点，大部分被用于农田灌溉或绿化。</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哈密市区建有城市排水管网，各类排水均经城市排水管道排入哈密市西南面的城市污水处理厂。花园乡和南湖乡尚未建设统一的排水系统，部分单位、企业的废污水就近排放，主要以蒸发为主。</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哈密重工业园区污染源情况见表</w:t>
      </w:r>
      <w:r w:rsidRPr="00677D1F">
        <w:rPr>
          <w:rFonts w:ascii="宋体" w:eastAsia="宋体" w:hAnsi="宋体" w:cs="宋体"/>
          <w:color w:val="000000"/>
          <w:kern w:val="0"/>
          <w:sz w:val="24"/>
          <w:szCs w:val="24"/>
        </w:rPr>
        <w:t>4.4-1</w:t>
      </w:r>
      <w:r w:rsidRPr="00677D1F">
        <w:rPr>
          <w:rFonts w:ascii="宋体" w:eastAsia="宋体" w:hAnsi="宋体" w:cs="宋体" w:hint="eastAsia"/>
          <w:color w:val="000000"/>
          <w:kern w:val="0"/>
          <w:sz w:val="24"/>
          <w:szCs w:val="24"/>
        </w:rPr>
        <w:t>和表</w:t>
      </w:r>
      <w:r w:rsidRPr="00677D1F">
        <w:rPr>
          <w:rFonts w:ascii="宋体" w:eastAsia="宋体" w:hAnsi="宋体" w:cs="宋体"/>
          <w:color w:val="000000"/>
          <w:kern w:val="0"/>
          <w:sz w:val="24"/>
          <w:szCs w:val="24"/>
        </w:rPr>
        <w:t>4.4-2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表4.4-1评价区域内主要废水污染源排放状况</w:t>
      </w:r>
    </w:p>
    <w:tbl>
      <w:tblPr>
        <w:tblStyle w:val="aa"/>
        <w:tblW w:w="9072" w:type="dxa"/>
        <w:jc w:val="center"/>
        <w:tblLayout w:type="fixed"/>
        <w:tblCellMar>
          <w:left w:w="57" w:type="dxa"/>
          <w:right w:w="57" w:type="dxa"/>
        </w:tblCellMar>
        <w:tblLook w:val="04A0" w:firstRow="1" w:lastRow="0" w:firstColumn="1" w:lastColumn="0" w:noHBand="0" w:noVBand="1"/>
      </w:tblPr>
      <w:tblGrid>
        <w:gridCol w:w="652"/>
        <w:gridCol w:w="691"/>
        <w:gridCol w:w="2576"/>
        <w:gridCol w:w="1709"/>
        <w:gridCol w:w="992"/>
        <w:gridCol w:w="875"/>
        <w:gridCol w:w="846"/>
        <w:gridCol w:w="731"/>
      </w:tblGrid>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序号</w:t>
            </w:r>
          </w:p>
        </w:tc>
        <w:tc>
          <w:tcPr>
            <w:tcW w:w="3267" w:type="dxa"/>
            <w:gridSpan w:val="2"/>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企业名称</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废水量</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（1×10</w:t>
            </w:r>
            <w:r w:rsidRPr="00677D1F">
              <w:rPr>
                <w:rFonts w:ascii="宋体" w:eastAsia="宋体" w:hAnsi="宋体" w:cs="宋体" w:hint="eastAsia"/>
                <w:color w:val="000000"/>
                <w:kern w:val="0"/>
                <w:sz w:val="18"/>
                <w:szCs w:val="18"/>
                <w:vertAlign w:val="superscript"/>
              </w:rPr>
              <w:t>4</w:t>
            </w:r>
            <w:r w:rsidRPr="00677D1F">
              <w:rPr>
                <w:rFonts w:ascii="宋体" w:eastAsia="宋体" w:hAnsi="宋体" w:cs="宋体" w:hint="eastAsia"/>
                <w:color w:val="000000"/>
                <w:kern w:val="0"/>
                <w:sz w:val="18"/>
                <w:szCs w:val="18"/>
              </w:rPr>
              <w:t>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COD</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（t/a）</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氨氮</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（t/a）</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总磷</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（t/a）</w:t>
            </w:r>
          </w:p>
        </w:tc>
        <w:tc>
          <w:tcPr>
            <w:tcW w:w="731"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排放</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去向</w:t>
            </w: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69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已建</w:t>
            </w: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国网能源哈密煤电有限公司</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（即原鲁能煤电）</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11.24</w:t>
            </w:r>
            <w:r w:rsidRPr="00677D1F">
              <w:rPr>
                <w:rFonts w:ascii="宋体" w:eastAsia="宋体" w:hAnsi="宋体" w:cs="宋体" w:hint="eastAsia"/>
                <w:color w:val="000000"/>
                <w:kern w:val="0"/>
                <w:sz w:val="18"/>
                <w:szCs w:val="18"/>
              </w:rPr>
              <w:t>（废水处理量）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工业园区氧化塘</w:t>
            </w: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69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哈密新天山水泥有限公司</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2.25</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2.254</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69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新疆腾翔镁制品有限公司</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4.8</w:t>
            </w:r>
            <w:r w:rsidRPr="00677D1F">
              <w:rPr>
                <w:rFonts w:ascii="宋体" w:eastAsia="宋体" w:hAnsi="宋体" w:cs="宋体" w:hint="eastAsia"/>
                <w:color w:val="000000"/>
                <w:kern w:val="0"/>
                <w:sz w:val="18"/>
                <w:szCs w:val="18"/>
              </w:rPr>
              <w:t>（废水处理量）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0.02</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69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酒钢昕昊达矿业有限公司</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27</w:t>
            </w:r>
            <w:r w:rsidRPr="00677D1F">
              <w:rPr>
                <w:rFonts w:ascii="宋体" w:eastAsia="宋体" w:hAnsi="宋体" w:cs="宋体" w:hint="eastAsia"/>
                <w:color w:val="000000"/>
                <w:kern w:val="0"/>
                <w:sz w:val="18"/>
                <w:szCs w:val="18"/>
              </w:rPr>
              <w:t>（废水处理量）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69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新疆美特镁业有限公司</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5.7</w:t>
            </w:r>
            <w:r w:rsidRPr="00677D1F">
              <w:rPr>
                <w:rFonts w:ascii="宋体" w:eastAsia="宋体" w:hAnsi="宋体" w:cs="宋体" w:hint="eastAsia"/>
                <w:color w:val="000000"/>
                <w:kern w:val="0"/>
                <w:sz w:val="18"/>
                <w:szCs w:val="18"/>
              </w:rPr>
              <w:t>（废水处理量）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69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哈密乔戈里金属选冶有限公司</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0.4128</w:t>
            </w:r>
            <w:r w:rsidRPr="00677D1F">
              <w:rPr>
                <w:rFonts w:ascii="宋体" w:eastAsia="宋体" w:hAnsi="宋体" w:cs="宋体" w:hint="eastAsia"/>
                <w:color w:val="000000"/>
                <w:kern w:val="0"/>
                <w:sz w:val="18"/>
                <w:szCs w:val="18"/>
              </w:rPr>
              <w:t>（排放量）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8.5</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691"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在建</w:t>
            </w: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鑫涛硅业</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0</w:t>
            </w:r>
            <w:r w:rsidRPr="00677D1F">
              <w:rPr>
                <w:rFonts w:ascii="宋体" w:eastAsia="宋体" w:hAnsi="宋体" w:cs="宋体" w:hint="eastAsia"/>
                <w:color w:val="000000"/>
                <w:kern w:val="0"/>
                <w:sz w:val="18"/>
                <w:szCs w:val="18"/>
              </w:rPr>
              <w:t>（排放量）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r w:rsidR="00D228BE" w:rsidRPr="00677D1F">
        <w:trPr>
          <w:trHeight w:val="340"/>
          <w:jc w:val="center"/>
        </w:trPr>
        <w:tc>
          <w:tcPr>
            <w:tcW w:w="65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69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7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新晶华浮法玻璃</w:t>
            </w:r>
          </w:p>
        </w:tc>
        <w:tc>
          <w:tcPr>
            <w:tcW w:w="17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1.38</w:t>
            </w:r>
            <w:r w:rsidRPr="00677D1F">
              <w:rPr>
                <w:rFonts w:ascii="宋体" w:eastAsia="宋体" w:hAnsi="宋体" w:cs="宋体" w:hint="eastAsia"/>
                <w:color w:val="000000"/>
                <w:kern w:val="0"/>
                <w:sz w:val="18"/>
                <w:szCs w:val="18"/>
              </w:rPr>
              <w:t>（排放量）</w:t>
            </w:r>
          </w:p>
        </w:tc>
        <w:tc>
          <w:tcPr>
            <w:tcW w:w="99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1.45</w:t>
            </w:r>
          </w:p>
        </w:tc>
        <w:tc>
          <w:tcPr>
            <w:tcW w:w="87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Times New Roman" w:eastAsia="宋体" w:hAnsi="Times New Roman" w:cs="Times New Roman"/>
                <w:color w:val="000000"/>
                <w:kern w:val="0"/>
                <w:sz w:val="18"/>
                <w:szCs w:val="18"/>
              </w:rPr>
              <w:t>0.16</w:t>
            </w:r>
          </w:p>
        </w:tc>
        <w:tc>
          <w:tcPr>
            <w:tcW w:w="84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w:t>
            </w:r>
          </w:p>
        </w:tc>
        <w:tc>
          <w:tcPr>
            <w:tcW w:w="731"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表4.4-2评价区内大气污染源排放状况</w:t>
      </w:r>
    </w:p>
    <w:tbl>
      <w:tblPr>
        <w:tblStyle w:val="aa"/>
        <w:tblW w:w="9072" w:type="dxa"/>
        <w:jc w:val="center"/>
        <w:tblLayout w:type="fixed"/>
        <w:tblCellMar>
          <w:left w:w="57" w:type="dxa"/>
          <w:right w:w="57" w:type="dxa"/>
        </w:tblCellMar>
        <w:tblLook w:val="04A0" w:firstRow="1" w:lastRow="0" w:firstColumn="1" w:lastColumn="0" w:noHBand="0" w:noVBand="1"/>
      </w:tblPr>
      <w:tblGrid>
        <w:gridCol w:w="667"/>
        <w:gridCol w:w="709"/>
        <w:gridCol w:w="2509"/>
        <w:gridCol w:w="1296"/>
        <w:gridCol w:w="1014"/>
        <w:gridCol w:w="1134"/>
        <w:gridCol w:w="1743"/>
      </w:tblGrid>
      <w:tr w:rsidR="00D228BE" w:rsidRPr="00677D1F">
        <w:trPr>
          <w:trHeight w:val="340"/>
          <w:jc w:val="center"/>
        </w:trPr>
        <w:tc>
          <w:tcPr>
            <w:tcW w:w="667"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序号</w:t>
            </w:r>
          </w:p>
        </w:tc>
        <w:tc>
          <w:tcPr>
            <w:tcW w:w="3218" w:type="dxa"/>
            <w:gridSpan w:val="2"/>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企业名称</w:t>
            </w:r>
          </w:p>
        </w:tc>
        <w:tc>
          <w:tcPr>
            <w:tcW w:w="1296"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产品名称及规模</w:t>
            </w:r>
          </w:p>
        </w:tc>
        <w:tc>
          <w:tcPr>
            <w:tcW w:w="3891" w:type="dxa"/>
            <w:gridSpan w:val="3"/>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污染物排放总量（t/a）</w:t>
            </w:r>
          </w:p>
        </w:tc>
      </w:tr>
      <w:tr w:rsidR="00D228BE" w:rsidRPr="00677D1F">
        <w:trPr>
          <w:trHeight w:val="340"/>
          <w:jc w:val="center"/>
        </w:trPr>
        <w:tc>
          <w:tcPr>
            <w:tcW w:w="667"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3218" w:type="dxa"/>
            <w:gridSpan w:val="2"/>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1296"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vertAlign w:val="subscript"/>
              </w:rPr>
            </w:pPr>
            <w:r w:rsidRPr="00677D1F">
              <w:rPr>
                <w:rFonts w:ascii="宋体" w:eastAsia="宋体" w:hAnsi="宋体" w:cs="宋体" w:hint="eastAsia"/>
                <w:color w:val="000000"/>
                <w:kern w:val="0"/>
                <w:sz w:val="18"/>
                <w:szCs w:val="18"/>
              </w:rPr>
              <w:t>SO</w:t>
            </w:r>
            <w:r w:rsidRPr="00677D1F">
              <w:rPr>
                <w:rFonts w:ascii="宋体" w:eastAsia="宋体" w:hAnsi="宋体" w:cs="宋体" w:hint="eastAsia"/>
                <w:color w:val="000000"/>
                <w:kern w:val="0"/>
                <w:sz w:val="18"/>
                <w:szCs w:val="18"/>
                <w:vertAlign w:val="subscript"/>
              </w:rPr>
              <w:t>2</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烟（粉）尘</w:t>
            </w:r>
          </w:p>
        </w:tc>
        <w:tc>
          <w:tcPr>
            <w:tcW w:w="1743"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其他特征污染物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709"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已建</w:t>
            </w: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国网能源哈密煤电有限公司</w:t>
            </w:r>
          </w:p>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（即原鲁能煤电）</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发电，2×300MW</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633.287</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32.148</w:t>
            </w:r>
          </w:p>
        </w:tc>
        <w:tc>
          <w:tcPr>
            <w:tcW w:w="1743"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254.32（氮氧化物）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2</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哈密新天山水泥有限公司</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水泥，200万t/a</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121</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1652.5</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1166.4（氮氧化物）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新疆腾翔镁制品有限公司</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兰碳，60万t/a</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376.92</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800.1</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38.92（氮氧化物）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酒钢昕昊达矿业有限公司</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球团，30万t/a</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2352</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230.26</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84.8（氮氧化物）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新疆美特镁业有限公司</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兰碳，30万t/a</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17.17</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106.91</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3.57（氮氧化物）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w:t>
            </w:r>
          </w:p>
        </w:tc>
        <w:tc>
          <w:tcPr>
            <w:tcW w:w="709"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在建</w:t>
            </w: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哈密乔戈里金属选冶有限公司</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铁矿采选</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23.9</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2.84万t（固废贮存）</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7</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鑫涛硅业</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工业硅，10万t/a</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842</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389（氮氧化物）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新晶华浮法玻璃</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浮法玻璃，600t/d</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319.19</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743" w:type="dxa"/>
          </w:tcPr>
          <w:p w:rsidR="00D228BE" w:rsidRPr="00677D1F" w:rsidRDefault="00332EB6" w:rsidP="00677D1F">
            <w:pPr>
              <w:contextualSpacing/>
            </w:pPr>
            <w:r w:rsidRPr="00677D1F">
              <w:rPr>
                <w:rFonts w:ascii="宋体" w:eastAsia="宋体" w:hAnsi="宋体" w:cs="宋体" w:hint="eastAsia"/>
                <w:color w:val="000000"/>
                <w:kern w:val="0"/>
                <w:sz w:val="18"/>
                <w:szCs w:val="18"/>
              </w:rPr>
              <w:t>143（氮氧化物）</w:t>
            </w:r>
          </w:p>
        </w:tc>
      </w:tr>
      <w:tr w:rsidR="00D228BE" w:rsidRPr="00677D1F">
        <w:trPr>
          <w:trHeight w:val="340"/>
          <w:jc w:val="center"/>
        </w:trPr>
        <w:tc>
          <w:tcPr>
            <w:tcW w:w="66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9</w:t>
            </w:r>
          </w:p>
        </w:tc>
        <w:tc>
          <w:tcPr>
            <w:tcW w:w="709"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 w:val="18"/>
                <w:szCs w:val="18"/>
              </w:rPr>
            </w:pPr>
          </w:p>
        </w:tc>
        <w:tc>
          <w:tcPr>
            <w:tcW w:w="2509"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新疆金盛镁业有限公司镁合金项目</w:t>
            </w:r>
          </w:p>
        </w:tc>
        <w:tc>
          <w:tcPr>
            <w:tcW w:w="1296"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镁合金43014t/a、兰碳60万t/a、硅铁合金5万t/a</w:t>
            </w:r>
          </w:p>
        </w:tc>
        <w:tc>
          <w:tcPr>
            <w:tcW w:w="10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683.25</w:t>
            </w:r>
          </w:p>
        </w:tc>
        <w:tc>
          <w:tcPr>
            <w:tcW w:w="113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135.08</w:t>
            </w:r>
          </w:p>
        </w:tc>
        <w:tc>
          <w:tcPr>
            <w:tcW w:w="1743"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15.12（HCl）</w:t>
            </w: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4.5</w:t>
      </w:r>
      <w:r w:rsidRPr="00677D1F">
        <w:rPr>
          <w:rFonts w:ascii="宋体" w:hAnsi="宋体" w:hint="eastAsia"/>
          <w:bCs w:val="0"/>
          <w:kern w:val="2"/>
          <w:sz w:val="30"/>
          <w:szCs w:val="30"/>
        </w:rPr>
        <w:t>本项目建设的制约因素、重工业园区基础设施建设情况</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4.5.1</w:t>
      </w:r>
      <w:r w:rsidRPr="00677D1F">
        <w:rPr>
          <w:rFonts w:ascii="宋体" w:hAnsi="宋体" w:hint="eastAsia"/>
          <w:sz w:val="28"/>
          <w:szCs w:val="28"/>
        </w:rPr>
        <w:t xml:space="preserve"> 本项目建设的制约因素</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本项目建设地点位于哈密市工业园区的重工业加工区，本项目厂址距最近的集中居民区约</w:t>
      </w:r>
      <w:r w:rsidRPr="00677D1F">
        <w:rPr>
          <w:rFonts w:ascii="宋体" w:eastAsia="宋体" w:hAnsi="宋体" w:cs="宋体"/>
          <w:color w:val="000000"/>
          <w:kern w:val="0"/>
          <w:sz w:val="24"/>
          <w:szCs w:val="24"/>
        </w:rPr>
        <w:t>11km</w:t>
      </w:r>
      <w:r w:rsidRPr="00677D1F">
        <w:rPr>
          <w:rFonts w:ascii="宋体" w:eastAsia="宋体" w:hAnsi="宋体" w:cs="宋体" w:hint="eastAsia"/>
          <w:color w:val="000000"/>
          <w:kern w:val="0"/>
          <w:sz w:val="24"/>
          <w:szCs w:val="24"/>
        </w:rPr>
        <w:t>，距最近的地表水域南湖水库约</w:t>
      </w:r>
      <w:r w:rsidRPr="00677D1F">
        <w:rPr>
          <w:rFonts w:ascii="宋体" w:eastAsia="宋体" w:hAnsi="宋体" w:cs="宋体"/>
          <w:color w:val="000000"/>
          <w:kern w:val="0"/>
          <w:sz w:val="24"/>
          <w:szCs w:val="24"/>
        </w:rPr>
        <w:t>4km</w:t>
      </w:r>
      <w:r w:rsidRPr="00677D1F">
        <w:rPr>
          <w:rFonts w:ascii="宋体" w:eastAsia="宋体" w:hAnsi="宋体" w:cs="宋体" w:hint="eastAsia"/>
          <w:color w:val="000000"/>
          <w:kern w:val="0"/>
          <w:sz w:val="24"/>
          <w:szCs w:val="24"/>
        </w:rPr>
        <w:t>，周围</w:t>
      </w:r>
      <w:r w:rsidRPr="00677D1F">
        <w:rPr>
          <w:rFonts w:ascii="宋体" w:eastAsia="宋体" w:hAnsi="宋体" w:cs="宋体"/>
          <w:color w:val="000000"/>
          <w:kern w:val="0"/>
          <w:sz w:val="24"/>
          <w:szCs w:val="24"/>
        </w:rPr>
        <w:t>3km</w:t>
      </w:r>
      <w:r w:rsidRPr="00677D1F">
        <w:rPr>
          <w:rFonts w:ascii="宋体" w:eastAsia="宋体" w:hAnsi="宋体" w:cs="宋体" w:hint="eastAsia"/>
          <w:color w:val="000000"/>
          <w:kern w:val="0"/>
          <w:sz w:val="24"/>
          <w:szCs w:val="24"/>
        </w:rPr>
        <w:t>范围内没有环境敏感目标，从厂址周围环境敏感目标而言，不存在居民搬迁等制约的环境因素。</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本项目年用新鲜水量</w:t>
      </w:r>
      <w:r w:rsidRPr="00677D1F">
        <w:rPr>
          <w:rFonts w:ascii="宋体" w:eastAsia="宋体" w:hAnsi="宋体" w:cs="宋体"/>
          <w:color w:val="000000"/>
          <w:kern w:val="0"/>
          <w:sz w:val="24"/>
          <w:szCs w:val="24"/>
        </w:rPr>
        <w:t>2048380m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，哈密市属于严重的资源型缺水地区，哈密市总用水量（不含生态用水）约</w:t>
      </w:r>
      <w:r w:rsidRPr="00677D1F">
        <w:rPr>
          <w:rFonts w:ascii="宋体" w:eastAsia="宋体" w:hAnsi="宋体" w:cs="宋体"/>
          <w:color w:val="000000"/>
          <w:kern w:val="0"/>
          <w:sz w:val="24"/>
          <w:szCs w:val="24"/>
        </w:rPr>
        <w:t>2.18×10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，其中地表水约</w:t>
      </w:r>
      <w:r w:rsidRPr="00677D1F">
        <w:rPr>
          <w:rFonts w:ascii="宋体" w:eastAsia="宋体" w:hAnsi="宋体" w:cs="宋体"/>
          <w:color w:val="000000"/>
          <w:kern w:val="0"/>
          <w:sz w:val="24"/>
          <w:szCs w:val="24"/>
        </w:rPr>
        <w:t>0.63×10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，地下水约</w:t>
      </w:r>
      <w:r w:rsidRPr="00677D1F">
        <w:rPr>
          <w:rFonts w:ascii="宋体" w:eastAsia="宋体" w:hAnsi="宋体" w:cs="宋体"/>
          <w:color w:val="000000"/>
          <w:kern w:val="0"/>
          <w:sz w:val="24"/>
          <w:szCs w:val="24"/>
        </w:rPr>
        <w:t>1.55×10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。农业用水</w:t>
      </w:r>
      <w:r w:rsidRPr="00677D1F">
        <w:rPr>
          <w:rFonts w:ascii="宋体" w:eastAsia="宋体" w:hAnsi="宋体" w:cs="宋体"/>
          <w:color w:val="000000"/>
          <w:kern w:val="0"/>
          <w:sz w:val="24"/>
          <w:szCs w:val="24"/>
        </w:rPr>
        <w:t>17192×10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，其中地表水</w:t>
      </w:r>
      <w:r w:rsidRPr="00677D1F">
        <w:rPr>
          <w:rFonts w:ascii="宋体" w:eastAsia="宋体" w:hAnsi="宋体" w:cs="宋体"/>
          <w:color w:val="000000"/>
          <w:kern w:val="0"/>
          <w:sz w:val="24"/>
          <w:szCs w:val="24"/>
        </w:rPr>
        <w:t>6279×10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，地下水约</w:t>
      </w:r>
      <w:r w:rsidRPr="00677D1F">
        <w:rPr>
          <w:rFonts w:ascii="宋体" w:eastAsia="宋体" w:hAnsi="宋体" w:cs="宋体"/>
          <w:color w:val="000000"/>
          <w:kern w:val="0"/>
          <w:sz w:val="24"/>
          <w:szCs w:val="24"/>
        </w:rPr>
        <w:t>10913×10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。工业用水</w:t>
      </w:r>
      <w:r w:rsidRPr="00677D1F">
        <w:rPr>
          <w:rFonts w:ascii="宋体" w:eastAsia="宋体" w:hAnsi="宋体" w:cs="宋体"/>
          <w:color w:val="000000"/>
          <w:kern w:val="0"/>
          <w:sz w:val="24"/>
          <w:szCs w:val="24"/>
        </w:rPr>
        <w:t>1945×10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，不采用地表水，地下水为</w:t>
      </w:r>
      <w:r w:rsidRPr="00677D1F">
        <w:rPr>
          <w:rFonts w:ascii="宋体" w:eastAsia="宋体" w:hAnsi="宋体" w:cs="宋体"/>
          <w:color w:val="000000"/>
          <w:kern w:val="0"/>
          <w:sz w:val="24"/>
          <w:szCs w:val="24"/>
        </w:rPr>
        <w:t>1945×10</w:t>
      </w:r>
      <w:r w:rsidRPr="00677D1F">
        <w:rPr>
          <w:rFonts w:ascii="宋体" w:eastAsia="宋体" w:hAnsi="宋体" w:cs="宋体"/>
          <w:color w:val="000000"/>
          <w:kern w:val="0"/>
          <w:sz w:val="24"/>
          <w:szCs w:val="24"/>
          <w:vertAlign w:val="superscript"/>
        </w:rPr>
        <w:t>4</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。哈密市地表水多发源于天山之中的冰川，这些冰川多集中在天山主脉的哈尔里克山和巴里坤山，资源量达</w:t>
      </w:r>
      <w:r w:rsidRPr="00677D1F">
        <w:rPr>
          <w:rFonts w:ascii="宋体" w:eastAsia="宋体" w:hAnsi="宋体" w:cs="宋体"/>
          <w:color w:val="000000"/>
          <w:kern w:val="0"/>
          <w:sz w:val="24"/>
          <w:szCs w:val="24"/>
        </w:rPr>
        <w:t>67.5×10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，市境内有大小山水沟</w:t>
      </w:r>
      <w:r w:rsidRPr="00677D1F">
        <w:rPr>
          <w:rFonts w:ascii="宋体" w:eastAsia="宋体" w:hAnsi="宋体" w:cs="宋体"/>
          <w:color w:val="000000"/>
          <w:kern w:val="0"/>
          <w:sz w:val="24"/>
          <w:szCs w:val="24"/>
        </w:rPr>
        <w:t>29</w:t>
      </w:r>
      <w:r w:rsidRPr="00677D1F">
        <w:rPr>
          <w:rFonts w:ascii="宋体" w:eastAsia="宋体" w:hAnsi="宋体" w:cs="宋体" w:hint="eastAsia"/>
          <w:color w:val="000000"/>
          <w:kern w:val="0"/>
          <w:sz w:val="24"/>
          <w:szCs w:val="24"/>
        </w:rPr>
        <w:t>条，北南流向，出山口处年均迳流量</w:t>
      </w:r>
      <w:r w:rsidRPr="00677D1F">
        <w:rPr>
          <w:rFonts w:ascii="宋体" w:eastAsia="宋体" w:hAnsi="宋体" w:cs="宋体"/>
          <w:color w:val="000000"/>
          <w:kern w:val="0"/>
          <w:sz w:val="24"/>
          <w:szCs w:val="24"/>
        </w:rPr>
        <w:t>4.5×10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，有大小泉水近千眼，多集中在城区东西河坝，地下水储量</w:t>
      </w:r>
      <w:r w:rsidRPr="00677D1F">
        <w:rPr>
          <w:rFonts w:ascii="宋体" w:eastAsia="宋体" w:hAnsi="宋体" w:cs="宋体"/>
          <w:color w:val="000000"/>
          <w:kern w:val="0"/>
          <w:sz w:val="24"/>
          <w:szCs w:val="24"/>
        </w:rPr>
        <w:t>3.16×10</w:t>
      </w:r>
      <w:r w:rsidRPr="00677D1F">
        <w:rPr>
          <w:rFonts w:ascii="宋体" w:eastAsia="宋体" w:hAnsi="宋体" w:cs="宋体"/>
          <w:color w:val="000000"/>
          <w:kern w:val="0"/>
          <w:sz w:val="24"/>
          <w:szCs w:val="24"/>
          <w:vertAlign w:val="superscript"/>
        </w:rPr>
        <w:t>8</w:t>
      </w:r>
      <w:r w:rsidRPr="00677D1F">
        <w:rPr>
          <w:rFonts w:ascii="宋体" w:eastAsia="宋体" w:hAnsi="宋体" w:cs="宋体"/>
          <w:color w:val="000000"/>
          <w:kern w:val="0"/>
          <w:sz w:val="24"/>
          <w:szCs w:val="24"/>
        </w:rPr>
        <w:t>m</w:t>
      </w:r>
      <w:r w:rsidRPr="00677D1F">
        <w:rPr>
          <w:rFonts w:ascii="宋体" w:eastAsia="宋体" w:hAnsi="宋体" w:cs="宋体"/>
          <w:color w:val="000000"/>
          <w:kern w:val="0"/>
          <w:sz w:val="24"/>
          <w:szCs w:val="24"/>
          <w:vertAlign w:val="superscript"/>
        </w:rPr>
        <w:t>3</w:t>
      </w:r>
      <w:r w:rsidRPr="00677D1F">
        <w:rPr>
          <w:rFonts w:ascii="宋体" w:eastAsia="宋体" w:hAnsi="宋体" w:cs="宋体" w:hint="eastAsia"/>
          <w:color w:val="000000"/>
          <w:kern w:val="0"/>
          <w:sz w:val="24"/>
          <w:szCs w:val="24"/>
        </w:rPr>
        <w:t>。因此制约本项目建设的主要因素为水资源。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其它制约因素为污水处理设施处理能力较弱，不能满足园区远期的发展需求，园区内无集中供热，园区工业固体废弃物处理场目前正处于建设阶段。</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4.5.2</w:t>
      </w:r>
      <w:r w:rsidRPr="00677D1F">
        <w:rPr>
          <w:rFonts w:ascii="宋体" w:hAnsi="宋体" w:hint="eastAsia"/>
          <w:sz w:val="28"/>
          <w:szCs w:val="28"/>
        </w:rPr>
        <w:t xml:space="preserve"> 重工业园区基础设施建设情况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供水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根据哈密工业园区规划，本项目由哈密市第三水厂向重工业加工区供水，目前第三水厂正在建设，预计将于</w:t>
      </w:r>
      <w:r w:rsidRPr="00677D1F">
        <w:rPr>
          <w:rFonts w:ascii="宋体" w:eastAsia="宋体" w:hAnsi="宋体" w:cs="宋体"/>
          <w:color w:val="000000"/>
          <w:kern w:val="0"/>
          <w:sz w:val="24"/>
          <w:szCs w:val="24"/>
        </w:rPr>
        <w:t>2014</w:t>
      </w:r>
      <w:r w:rsidRPr="00677D1F">
        <w:rPr>
          <w:rFonts w:ascii="宋体" w:eastAsia="宋体" w:hAnsi="宋体" w:cs="宋体" w:hint="eastAsia"/>
          <w:color w:val="000000"/>
          <w:kern w:val="0"/>
          <w:sz w:val="24"/>
          <w:szCs w:val="24"/>
        </w:rPr>
        <w:t>年建成。重工业园区水源目前由哈密鲁能煤电化基地电厂向大南湖煤矿的供水管道以及地区统筹调配地表水解决。</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排水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目前园区污水处理厂</w:t>
      </w:r>
      <w:r w:rsidRPr="00677D1F">
        <w:rPr>
          <w:rFonts w:ascii="宋体" w:eastAsia="宋体" w:hAnsi="宋体" w:cs="宋体"/>
          <w:color w:val="000000"/>
          <w:kern w:val="0"/>
          <w:sz w:val="24"/>
          <w:szCs w:val="24"/>
        </w:rPr>
        <w:t>5000t/d</w:t>
      </w:r>
      <w:r w:rsidRPr="00677D1F">
        <w:rPr>
          <w:rFonts w:ascii="宋体" w:eastAsia="宋体" w:hAnsi="宋体" w:cs="宋体" w:hint="eastAsia"/>
          <w:color w:val="000000"/>
          <w:kern w:val="0"/>
          <w:sz w:val="24"/>
          <w:szCs w:val="24"/>
        </w:rPr>
        <w:t>处理工程尚未建成，预计将于</w:t>
      </w:r>
      <w:r w:rsidRPr="00677D1F">
        <w:rPr>
          <w:rFonts w:ascii="宋体" w:eastAsia="宋体" w:hAnsi="宋体" w:cs="宋体"/>
          <w:color w:val="000000"/>
          <w:kern w:val="0"/>
          <w:sz w:val="24"/>
          <w:szCs w:val="24"/>
        </w:rPr>
        <w:t>2014</w:t>
      </w:r>
      <w:r w:rsidRPr="00677D1F">
        <w:rPr>
          <w:rFonts w:ascii="宋体" w:eastAsia="宋体" w:hAnsi="宋体" w:cs="宋体" w:hint="eastAsia"/>
          <w:color w:val="000000"/>
          <w:kern w:val="0"/>
          <w:sz w:val="24"/>
          <w:szCs w:val="24"/>
        </w:rPr>
        <w:t>年建成。目前园区企业产生的污水经各企业应自行处理污水达到标准后排入排入园区公共下水道后进入工业园区氧化塘。</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供电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根据哈密工业园区总体规划，重工业区供电由</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南郊变电站供应。目前该变电站尚未建成，园区用电由现有已建的</w:t>
      </w:r>
      <w:r w:rsidRPr="00677D1F">
        <w:rPr>
          <w:rFonts w:ascii="宋体" w:eastAsia="宋体" w:hAnsi="宋体" w:cs="宋体"/>
          <w:color w:val="000000"/>
          <w:kern w:val="0"/>
          <w:sz w:val="24"/>
          <w:szCs w:val="24"/>
        </w:rPr>
        <w:t>110KV</w:t>
      </w:r>
      <w:r w:rsidRPr="00677D1F">
        <w:rPr>
          <w:rFonts w:ascii="宋体" w:eastAsia="宋体" w:hAnsi="宋体" w:cs="宋体" w:hint="eastAsia"/>
          <w:color w:val="000000"/>
          <w:kern w:val="0"/>
          <w:sz w:val="24"/>
          <w:szCs w:val="24"/>
        </w:rPr>
        <w:t>变电站</w:t>
      </w:r>
      <w:r w:rsidRPr="00677D1F">
        <w:rPr>
          <w:rFonts w:ascii="宋体" w:eastAsia="宋体" w:hAnsi="宋体" w:cs="宋体"/>
          <w:color w:val="000000"/>
          <w:kern w:val="0"/>
          <w:sz w:val="24"/>
          <w:szCs w:val="24"/>
        </w:rPr>
        <w:t>（31500KVA）</w:t>
      </w:r>
      <w:r w:rsidRPr="00677D1F">
        <w:rPr>
          <w:rFonts w:ascii="宋体" w:eastAsia="宋体" w:hAnsi="宋体" w:cs="宋体" w:hint="eastAsia"/>
          <w:color w:val="000000"/>
          <w:kern w:val="0"/>
          <w:sz w:val="24"/>
          <w:szCs w:val="24"/>
        </w:rPr>
        <w:t>提供。</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固废处理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园区工业固体废弃物处理场目前正处于建设阶段，预计于</w:t>
      </w:r>
      <w:r w:rsidRPr="00677D1F">
        <w:rPr>
          <w:rFonts w:ascii="宋体" w:eastAsia="宋体" w:hAnsi="宋体" w:cs="宋体"/>
          <w:color w:val="000000"/>
          <w:kern w:val="0"/>
          <w:sz w:val="24"/>
          <w:szCs w:val="24"/>
        </w:rPr>
        <w:t>2015</w:t>
      </w:r>
      <w:r w:rsidRPr="00677D1F">
        <w:rPr>
          <w:rFonts w:ascii="宋体" w:eastAsia="宋体" w:hAnsi="宋体" w:cs="宋体" w:hint="eastAsia"/>
          <w:color w:val="000000"/>
          <w:kern w:val="0"/>
          <w:sz w:val="24"/>
          <w:szCs w:val="24"/>
        </w:rPr>
        <w:t>年建成。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4.5.3</w:t>
      </w:r>
      <w:r w:rsidRPr="00677D1F">
        <w:rPr>
          <w:rFonts w:ascii="宋体" w:hAnsi="宋体" w:hint="eastAsia"/>
          <w:sz w:val="28"/>
          <w:szCs w:val="28"/>
        </w:rPr>
        <w:t xml:space="preserve"> 重工业园区基础设施依托的可行性</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供水</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根据《新疆哈密地区行政公署湖南五江轻化集团有限公司煤</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电</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钛及钛合金新材料循环经济项目战略合作协议》内容，政府承诺为电</w:t>
      </w:r>
      <w:r w:rsidRPr="00677D1F">
        <w:rPr>
          <w:rFonts w:ascii="宋体" w:eastAsia="宋体" w:hAnsi="宋体" w:cs="宋体"/>
          <w:color w:val="000000"/>
          <w:kern w:val="0"/>
          <w:sz w:val="24"/>
          <w:szCs w:val="24"/>
        </w:rPr>
        <w:t>-</w:t>
      </w:r>
      <w:r w:rsidRPr="00677D1F">
        <w:rPr>
          <w:rFonts w:ascii="宋体" w:eastAsia="宋体" w:hAnsi="宋体" w:cs="宋体" w:hint="eastAsia"/>
          <w:color w:val="000000"/>
          <w:kern w:val="0"/>
          <w:sz w:val="24"/>
          <w:szCs w:val="24"/>
        </w:rPr>
        <w:t>钛项目每年供应</w:t>
      </w:r>
      <w:r w:rsidRPr="00677D1F">
        <w:rPr>
          <w:rFonts w:ascii="宋体" w:eastAsia="宋体" w:hAnsi="宋体" w:cs="宋体"/>
          <w:color w:val="000000"/>
          <w:kern w:val="0"/>
          <w:sz w:val="24"/>
          <w:szCs w:val="24"/>
        </w:rPr>
        <w:t>400</w:t>
      </w:r>
      <w:r w:rsidRPr="00677D1F">
        <w:rPr>
          <w:rFonts w:ascii="宋体" w:eastAsia="宋体" w:hAnsi="宋体" w:cs="宋体" w:hint="eastAsia"/>
          <w:color w:val="000000"/>
          <w:kern w:val="0"/>
          <w:sz w:val="24"/>
          <w:szCs w:val="24"/>
        </w:rPr>
        <w:t>×10</w:t>
      </w:r>
      <w:r w:rsidRPr="00677D1F">
        <w:rPr>
          <w:rFonts w:ascii="宋体" w:eastAsia="宋体" w:hAnsi="宋体" w:cs="宋体" w:hint="eastAsia"/>
          <w:color w:val="000000"/>
          <w:kern w:val="0"/>
          <w:sz w:val="24"/>
          <w:szCs w:val="24"/>
          <w:vertAlign w:val="superscript"/>
        </w:rPr>
        <w:t>4</w:t>
      </w:r>
      <w:r w:rsidRPr="00677D1F">
        <w:rPr>
          <w:rFonts w:ascii="宋体" w:eastAsia="宋体" w:hAnsi="宋体" w:cs="宋体" w:hint="eastAsia"/>
          <w:color w:val="000000"/>
          <w:kern w:val="0"/>
          <w:sz w:val="24"/>
          <w:szCs w:val="24"/>
        </w:rPr>
        <w:t>m</w:t>
      </w:r>
      <w:r w:rsidRPr="00677D1F">
        <w:rPr>
          <w:rFonts w:ascii="宋体" w:eastAsia="宋体" w:hAnsi="宋体" w:cs="宋体" w:hint="eastAsia"/>
          <w:color w:val="000000"/>
          <w:kern w:val="0"/>
          <w:sz w:val="24"/>
          <w:szCs w:val="24"/>
          <w:vertAlign w:val="superscript"/>
        </w:rPr>
        <w:t>3</w:t>
      </w:r>
      <w:r w:rsidRPr="00677D1F">
        <w:rPr>
          <w:rFonts w:ascii="宋体" w:eastAsia="宋体" w:hAnsi="宋体" w:cs="宋体" w:hint="eastAsia"/>
          <w:color w:val="000000"/>
          <w:kern w:val="0"/>
          <w:sz w:val="24"/>
          <w:szCs w:val="24"/>
        </w:rPr>
        <w:t>生产生活用水，因此供水是有保证的。本项目用水由哈密工业园重工业加工区供水管网供给，现重工业加工区已经铺设好</w:t>
      </w:r>
      <w:r w:rsidRPr="00677D1F">
        <w:rPr>
          <w:rFonts w:ascii="宋体" w:eastAsia="宋体" w:hAnsi="宋体" w:cs="宋体"/>
          <w:color w:val="000000"/>
          <w:kern w:val="0"/>
          <w:sz w:val="24"/>
          <w:szCs w:val="24"/>
        </w:rPr>
        <w:t>600mm</w:t>
      </w:r>
      <w:r w:rsidRPr="00677D1F">
        <w:rPr>
          <w:rFonts w:ascii="宋体" w:eastAsia="宋体" w:hAnsi="宋体" w:cs="宋体" w:hint="eastAsia"/>
          <w:color w:val="000000"/>
          <w:kern w:val="0"/>
          <w:sz w:val="24"/>
          <w:szCs w:val="24"/>
        </w:rPr>
        <w:t>供水管道到本项目厂界，其水源目前由哈密鲁能煤电化基地电厂向大南湖煤矿的供水管道以及地区统筹调配地表水解决，水源为榆树沟水库地表水。</w:t>
      </w:r>
      <w:r w:rsidRPr="00677D1F">
        <w:rPr>
          <w:rFonts w:ascii="宋体" w:eastAsia="宋体" w:hAnsi="宋体" w:cs="宋体"/>
          <w:color w:val="000000"/>
          <w:kern w:val="0"/>
          <w:sz w:val="24"/>
          <w:szCs w:val="24"/>
        </w:rPr>
        <w:t>2014</w:t>
      </w:r>
      <w:r w:rsidRPr="00677D1F">
        <w:rPr>
          <w:rFonts w:ascii="宋体" w:eastAsia="宋体" w:hAnsi="宋体" w:cs="宋体" w:hint="eastAsia"/>
          <w:color w:val="000000"/>
          <w:kern w:val="0"/>
          <w:sz w:val="24"/>
          <w:szCs w:val="24"/>
        </w:rPr>
        <w:t>年由第三水厂供应。因此供水基础设施依托是可行的。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供电</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供电由园区</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变电站架设</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回</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专用电源进线到厂区</w:t>
      </w:r>
      <w:r w:rsidRPr="00677D1F">
        <w:rPr>
          <w:rFonts w:ascii="宋体" w:eastAsia="宋体" w:hAnsi="宋体" w:cs="宋体"/>
          <w:color w:val="000000"/>
          <w:kern w:val="0"/>
          <w:sz w:val="24"/>
          <w:szCs w:val="24"/>
        </w:rPr>
        <w:t>220/35/10kV</w:t>
      </w:r>
      <w:r w:rsidRPr="00677D1F">
        <w:rPr>
          <w:rFonts w:ascii="宋体" w:eastAsia="宋体" w:hAnsi="宋体" w:cs="宋体" w:hint="eastAsia"/>
          <w:color w:val="000000"/>
          <w:kern w:val="0"/>
          <w:sz w:val="24"/>
          <w:szCs w:val="24"/>
        </w:rPr>
        <w:t>总降压变电站。园区</w:t>
      </w:r>
      <w:r w:rsidRPr="00677D1F">
        <w:rPr>
          <w:rFonts w:ascii="宋体" w:eastAsia="宋体" w:hAnsi="宋体" w:cs="宋体"/>
          <w:color w:val="000000"/>
          <w:kern w:val="0"/>
          <w:sz w:val="24"/>
          <w:szCs w:val="24"/>
        </w:rPr>
        <w:t>220KV</w:t>
      </w:r>
      <w:r w:rsidRPr="00677D1F">
        <w:rPr>
          <w:rFonts w:ascii="宋体" w:eastAsia="宋体" w:hAnsi="宋体" w:cs="宋体" w:hint="eastAsia"/>
          <w:color w:val="000000"/>
          <w:kern w:val="0"/>
          <w:sz w:val="24"/>
          <w:szCs w:val="24"/>
        </w:rPr>
        <w:t>南郊变电站</w:t>
      </w:r>
      <w:r w:rsidR="001C1516" w:rsidRPr="00677D1F">
        <w:rPr>
          <w:rFonts w:ascii="宋体" w:eastAsia="宋体" w:hAnsi="宋体" w:cs="宋体" w:hint="eastAsia"/>
          <w:color w:val="000000"/>
          <w:kern w:val="0"/>
          <w:sz w:val="24"/>
          <w:szCs w:val="24"/>
        </w:rPr>
        <w:t>已建设完成</w:t>
      </w:r>
      <w:r w:rsidRPr="00677D1F">
        <w:rPr>
          <w:rFonts w:ascii="宋体" w:eastAsia="宋体" w:hAnsi="宋体" w:cs="宋体" w:hint="eastAsia"/>
          <w:color w:val="000000"/>
          <w:kern w:val="0"/>
          <w:sz w:val="24"/>
          <w:szCs w:val="24"/>
        </w:rPr>
        <w:t>，</w:t>
      </w:r>
      <w:r w:rsidR="001C1516" w:rsidRPr="00677D1F">
        <w:rPr>
          <w:rFonts w:ascii="宋体" w:eastAsia="宋体" w:hAnsi="宋体" w:cs="宋体" w:hint="eastAsia"/>
          <w:color w:val="000000"/>
          <w:kern w:val="0"/>
          <w:sz w:val="24"/>
          <w:szCs w:val="24"/>
        </w:rPr>
        <w:t>本项目</w:t>
      </w:r>
      <w:r w:rsidRPr="00677D1F">
        <w:rPr>
          <w:rFonts w:ascii="宋体" w:eastAsia="宋体" w:hAnsi="宋体" w:cs="宋体" w:hint="eastAsia"/>
          <w:color w:val="000000"/>
          <w:kern w:val="0"/>
          <w:sz w:val="24"/>
          <w:szCs w:val="24"/>
        </w:rPr>
        <w:t>供电基础设施依托是可行的。</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固废处理</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lastRenderedPageBreak/>
        <w:t>园区工业固体废弃物处理场目前</w:t>
      </w:r>
      <w:r w:rsidR="001C1516" w:rsidRPr="00677D1F">
        <w:rPr>
          <w:rFonts w:ascii="宋体" w:eastAsia="宋体" w:hAnsi="宋体" w:cs="宋体" w:hint="eastAsia"/>
          <w:color w:val="000000"/>
          <w:kern w:val="0"/>
          <w:sz w:val="24"/>
          <w:szCs w:val="24"/>
        </w:rPr>
        <w:t>已建设完成，本项目运营期所产生固废可依托进行处置</w:t>
      </w:r>
      <w:r w:rsidRPr="00677D1F">
        <w:rPr>
          <w:rFonts w:ascii="宋体" w:eastAsia="宋体" w:hAnsi="宋体"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outlineLvl w:val="0"/>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5 环境质量和区域污染源调查与评价</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5.1</w:t>
      </w:r>
      <w:r w:rsidRPr="00677D1F">
        <w:rPr>
          <w:rFonts w:ascii="宋体" w:hAnsi="宋体" w:hint="eastAsia"/>
          <w:bCs w:val="0"/>
          <w:kern w:val="2"/>
          <w:sz w:val="30"/>
          <w:szCs w:val="30"/>
        </w:rPr>
        <w:t xml:space="preserve"> 大气环境质量现状调查与评价</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5.1.1</w:t>
      </w:r>
      <w:r w:rsidRPr="00677D1F">
        <w:rPr>
          <w:rFonts w:ascii="宋体" w:hAnsi="宋体" w:hint="eastAsia"/>
          <w:sz w:val="28"/>
          <w:szCs w:val="28"/>
        </w:rPr>
        <w:t xml:space="preserve"> 大气环境质量现状监测</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根据大气环境影响二级评价要求及周围环境空气保护目标分布情况，在评价范围内共布设</w:t>
      </w:r>
      <w:r w:rsidRPr="00677D1F">
        <w:rPr>
          <w:rFonts w:ascii="宋体" w:eastAsia="宋体" w:hAnsi="宋体" w:cs="宋体"/>
          <w:color w:val="000000"/>
          <w:kern w:val="0"/>
          <w:sz w:val="24"/>
          <w:szCs w:val="24"/>
        </w:rPr>
        <w:t>6</w:t>
      </w:r>
      <w:r w:rsidRPr="00677D1F">
        <w:rPr>
          <w:rFonts w:ascii="宋体" w:eastAsia="宋体" w:hAnsi="宋体" w:cs="宋体" w:hint="eastAsia"/>
          <w:color w:val="000000"/>
          <w:kern w:val="0"/>
          <w:sz w:val="24"/>
          <w:szCs w:val="24"/>
        </w:rPr>
        <w:t>个大气监测点。本次环境空气质量现状监测中的常规污染物</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PM</w:t>
      </w:r>
      <w:r w:rsidRPr="00677D1F">
        <w:rPr>
          <w:rFonts w:ascii="宋体" w:eastAsia="宋体" w:hAnsi="宋体" w:cs="宋体"/>
          <w:color w:val="000000"/>
          <w:kern w:val="0"/>
          <w:sz w:val="24"/>
          <w:szCs w:val="24"/>
          <w:vertAlign w:val="subscript"/>
        </w:rPr>
        <w:t>10</w:t>
      </w:r>
      <w:r w:rsidRPr="00677D1F">
        <w:rPr>
          <w:rFonts w:ascii="宋体" w:eastAsia="宋体" w:hAnsi="宋体" w:cs="宋体" w:hint="eastAsia"/>
          <w:color w:val="000000"/>
          <w:kern w:val="0"/>
          <w:sz w:val="24"/>
          <w:szCs w:val="24"/>
        </w:rPr>
        <w:t>由哈密地区环境保护监测站提供资料，特征污染物</w:t>
      </w:r>
      <w:r w:rsidRPr="00677D1F">
        <w:rPr>
          <w:rFonts w:ascii="宋体" w:eastAsia="宋体" w:hAnsi="宋体" w:cs="宋体"/>
          <w:color w:val="000000"/>
          <w:kern w:val="0"/>
          <w:sz w:val="24"/>
          <w:szCs w:val="24"/>
        </w:rPr>
        <w:t>Cl</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HCl</w:t>
      </w:r>
      <w:r w:rsidRPr="00677D1F">
        <w:rPr>
          <w:rFonts w:ascii="宋体" w:eastAsia="宋体" w:hAnsi="宋体" w:cs="宋体" w:hint="eastAsia"/>
          <w:color w:val="000000"/>
          <w:kern w:val="0"/>
          <w:sz w:val="24"/>
          <w:szCs w:val="24"/>
        </w:rPr>
        <w:t>由谱尼测试监测完成。</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1</w:t>
      </w:r>
      <w:r w:rsidRPr="00677D1F">
        <w:rPr>
          <w:rFonts w:ascii="宋体" w:eastAsia="宋体" w:hAnsi="宋体" w:cs="宋体" w:hint="eastAsia"/>
          <w:color w:val="000000"/>
          <w:kern w:val="0"/>
          <w:sz w:val="24"/>
          <w:szCs w:val="24"/>
        </w:rPr>
        <w:t>）监测项目</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监测项目为</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PM</w:t>
      </w:r>
      <w:r w:rsidRPr="00677D1F">
        <w:rPr>
          <w:rFonts w:ascii="宋体" w:eastAsia="宋体" w:hAnsi="宋体" w:cs="宋体"/>
          <w:color w:val="000000"/>
          <w:kern w:val="0"/>
          <w:sz w:val="24"/>
          <w:szCs w:val="24"/>
          <w:vertAlign w:val="subscript"/>
        </w:rPr>
        <w:t>10</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Cl</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HCl</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2</w:t>
      </w:r>
      <w:r w:rsidRPr="00677D1F">
        <w:rPr>
          <w:rFonts w:ascii="宋体" w:eastAsia="宋体" w:hAnsi="宋体" w:cs="宋体" w:hint="eastAsia"/>
          <w:color w:val="000000"/>
          <w:kern w:val="0"/>
          <w:sz w:val="24"/>
          <w:szCs w:val="24"/>
        </w:rPr>
        <w:t>）监测布点</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常规污染物</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PM</w:t>
      </w:r>
      <w:r w:rsidRPr="00677D1F">
        <w:rPr>
          <w:rFonts w:ascii="宋体" w:eastAsia="宋体" w:hAnsi="宋体" w:cs="宋体"/>
          <w:color w:val="000000"/>
          <w:kern w:val="0"/>
          <w:sz w:val="24"/>
          <w:szCs w:val="24"/>
          <w:vertAlign w:val="subscript"/>
        </w:rPr>
        <w:t>10</w:t>
      </w:r>
      <w:r w:rsidRPr="00677D1F">
        <w:rPr>
          <w:rFonts w:ascii="宋体" w:eastAsia="宋体" w:hAnsi="宋体" w:cs="宋体" w:hint="eastAsia"/>
          <w:color w:val="000000"/>
          <w:kern w:val="0"/>
          <w:sz w:val="24"/>
          <w:szCs w:val="24"/>
        </w:rPr>
        <w:t>委托哈密地区环境保护监测站监测，哈密地区环境保护监测站根据项目位置与附近的现有资料，提供了常规污染物</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PM</w:t>
      </w:r>
      <w:r w:rsidRPr="00677D1F">
        <w:rPr>
          <w:rFonts w:ascii="宋体" w:eastAsia="宋体" w:hAnsi="宋体" w:cs="宋体"/>
          <w:color w:val="000000"/>
          <w:kern w:val="0"/>
          <w:sz w:val="24"/>
          <w:szCs w:val="24"/>
          <w:vertAlign w:val="subscript"/>
        </w:rPr>
        <w:t>10</w:t>
      </w:r>
      <w:r w:rsidRPr="00677D1F">
        <w:rPr>
          <w:rFonts w:ascii="宋体" w:eastAsia="宋体" w:hAnsi="宋体" w:cs="宋体" w:hint="eastAsia"/>
          <w:color w:val="000000"/>
          <w:kern w:val="0"/>
          <w:sz w:val="24"/>
          <w:szCs w:val="24"/>
        </w:rPr>
        <w:t>，因提供资料的监测时期厂址区域没有新增污染源，且监测点位与环评提供的监测点位而言，具有代表性和时效性。常规污染物</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PM</w:t>
      </w:r>
      <w:r w:rsidRPr="00677D1F">
        <w:rPr>
          <w:rFonts w:ascii="宋体" w:eastAsia="宋体" w:hAnsi="宋体" w:cs="宋体"/>
          <w:color w:val="000000"/>
          <w:kern w:val="0"/>
          <w:sz w:val="24"/>
          <w:szCs w:val="24"/>
          <w:vertAlign w:val="subscript"/>
        </w:rPr>
        <w:t>10</w:t>
      </w:r>
      <w:r w:rsidRPr="00677D1F">
        <w:rPr>
          <w:rFonts w:ascii="宋体" w:eastAsia="宋体" w:hAnsi="宋体" w:cs="宋体" w:hint="eastAsia"/>
          <w:color w:val="000000"/>
          <w:kern w:val="0"/>
          <w:sz w:val="24"/>
          <w:szCs w:val="24"/>
        </w:rPr>
        <w:t>监测点位见图</w:t>
      </w:r>
      <w:r w:rsidRPr="00677D1F">
        <w:rPr>
          <w:rFonts w:ascii="宋体" w:eastAsia="宋体" w:hAnsi="宋体" w:cs="宋体"/>
          <w:color w:val="000000"/>
          <w:kern w:val="0"/>
          <w:sz w:val="24"/>
          <w:szCs w:val="24"/>
        </w:rPr>
        <w:t>5.1-1</w:t>
      </w:r>
      <w:r w:rsidRPr="00677D1F">
        <w:rPr>
          <w:rFonts w:ascii="宋体" w:eastAsia="宋体" w:hAnsi="宋体" w:cs="宋体" w:hint="eastAsia"/>
          <w:color w:val="000000"/>
          <w:kern w:val="0"/>
          <w:sz w:val="24"/>
          <w:szCs w:val="24"/>
        </w:rPr>
        <w:t>。特征污染物</w:t>
      </w:r>
      <w:r w:rsidRPr="00677D1F">
        <w:rPr>
          <w:rFonts w:ascii="宋体" w:eastAsia="宋体" w:hAnsi="宋体" w:cs="宋体"/>
          <w:color w:val="000000"/>
          <w:kern w:val="0"/>
          <w:sz w:val="24"/>
          <w:szCs w:val="24"/>
        </w:rPr>
        <w:t>Cl</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HCl</w:t>
      </w:r>
      <w:r w:rsidRPr="00677D1F">
        <w:rPr>
          <w:rFonts w:ascii="宋体" w:eastAsia="宋体" w:hAnsi="宋体" w:cs="宋体" w:hint="eastAsia"/>
          <w:color w:val="000000"/>
          <w:kern w:val="0"/>
          <w:sz w:val="24"/>
          <w:szCs w:val="24"/>
        </w:rPr>
        <w:t>由谱尼测试监测完成，其监测点位见表</w:t>
      </w:r>
      <w:r w:rsidRPr="00677D1F">
        <w:rPr>
          <w:rFonts w:ascii="宋体" w:eastAsia="宋体" w:hAnsi="宋体" w:cs="宋体"/>
          <w:color w:val="000000"/>
          <w:kern w:val="0"/>
          <w:sz w:val="24"/>
          <w:szCs w:val="24"/>
        </w:rPr>
        <w:t>5.1-1</w:t>
      </w:r>
      <w:r w:rsidRPr="00677D1F">
        <w:rPr>
          <w:rFonts w:ascii="宋体" w:eastAsia="宋体" w:hAnsi="宋体" w:cs="宋体" w:hint="eastAsia"/>
          <w:color w:val="000000"/>
          <w:kern w:val="0"/>
          <w:sz w:val="24"/>
          <w:szCs w:val="24"/>
        </w:rPr>
        <w:t>和图</w:t>
      </w:r>
      <w:r w:rsidRPr="00677D1F">
        <w:rPr>
          <w:rFonts w:ascii="宋体" w:eastAsia="宋体" w:hAnsi="宋体" w:cs="宋体"/>
          <w:color w:val="000000"/>
          <w:kern w:val="0"/>
          <w:sz w:val="24"/>
          <w:szCs w:val="24"/>
        </w:rPr>
        <w:t>2.5-1</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5.1-1</w:t>
      </w:r>
      <w:r w:rsidRPr="00677D1F">
        <w:rPr>
          <w:rFonts w:ascii="黑体" w:eastAsia="黑体" w:hAnsi="黑体" w:cs="宋体" w:hint="eastAsia"/>
          <w:b/>
          <w:color w:val="000000"/>
          <w:kern w:val="0"/>
          <w:szCs w:val="21"/>
        </w:rPr>
        <w:t>环境空气质量监测点位表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3</w:t>
      </w:r>
      <w:r w:rsidRPr="00677D1F">
        <w:rPr>
          <w:rFonts w:ascii="宋体" w:eastAsia="宋体" w:hAnsi="宋体" w:cs="宋体" w:hint="eastAsia"/>
          <w:color w:val="000000"/>
          <w:kern w:val="0"/>
          <w:sz w:val="24"/>
          <w:szCs w:val="24"/>
        </w:rPr>
        <w:t>）监测时间及频率</w:t>
      </w: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color w:val="000000"/>
          <w:kern w:val="0"/>
          <w:sz w:val="24"/>
          <w:szCs w:val="24"/>
        </w:rPr>
        <w:t>PM10</w:t>
      </w:r>
      <w:r w:rsidRPr="00677D1F">
        <w:rPr>
          <w:rFonts w:ascii="宋体" w:eastAsia="宋体" w:hAnsi="宋体" w:cs="宋体" w:hint="eastAsia"/>
          <w:color w:val="000000"/>
          <w:kern w:val="0"/>
          <w:sz w:val="24"/>
          <w:szCs w:val="24"/>
        </w:rPr>
        <w:t>日平均浓度连续采样时间不少于</w:t>
      </w:r>
      <w:r w:rsidRPr="00677D1F">
        <w:rPr>
          <w:rFonts w:ascii="宋体" w:eastAsia="宋体" w:hAnsi="宋体" w:cs="宋体"/>
          <w:color w:val="000000"/>
          <w:kern w:val="0"/>
          <w:sz w:val="24"/>
          <w:szCs w:val="24"/>
        </w:rPr>
        <w:t>12h</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SO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w:t>
      </w:r>
      <w:r w:rsidRPr="00677D1F">
        <w:rPr>
          <w:rFonts w:ascii="宋体" w:eastAsia="宋体" w:hAnsi="宋体" w:cs="宋体"/>
          <w:color w:val="000000"/>
          <w:kern w:val="0"/>
          <w:sz w:val="24"/>
          <w:szCs w:val="24"/>
        </w:rPr>
        <w:t>NO</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日平均浓度连续采样时间不少于</w:t>
      </w:r>
      <w:r w:rsidRPr="00677D1F">
        <w:rPr>
          <w:rFonts w:ascii="宋体" w:eastAsia="宋体" w:hAnsi="宋体" w:cs="宋体"/>
          <w:color w:val="000000"/>
          <w:kern w:val="0"/>
          <w:sz w:val="24"/>
          <w:szCs w:val="24"/>
        </w:rPr>
        <w:t>18h</w:t>
      </w:r>
      <w:r w:rsidR="00390272" w:rsidRPr="00677D1F">
        <w:rPr>
          <w:rFonts w:ascii="宋体" w:eastAsia="宋体" w:hAnsi="宋体" w:cs="宋体" w:hint="eastAsia"/>
          <w:color w:val="000000"/>
          <w:kern w:val="0"/>
          <w:sz w:val="24"/>
          <w:szCs w:val="24"/>
        </w:rPr>
        <w:t>，</w:t>
      </w:r>
      <w:r w:rsidRPr="00677D1F">
        <w:rPr>
          <w:rFonts w:ascii="宋体" w:eastAsia="宋体" w:hAnsi="宋体" w:cs="宋体" w:hint="eastAsia"/>
          <w:color w:val="000000"/>
          <w:kern w:val="0"/>
          <w:sz w:val="24"/>
          <w:szCs w:val="24"/>
        </w:rPr>
        <w:t>。特征污染物</w:t>
      </w:r>
      <w:r w:rsidRPr="00677D1F">
        <w:rPr>
          <w:rFonts w:ascii="宋体" w:eastAsia="宋体" w:hAnsi="宋体" w:cs="宋体"/>
          <w:color w:val="000000"/>
          <w:kern w:val="0"/>
          <w:sz w:val="24"/>
          <w:szCs w:val="24"/>
        </w:rPr>
        <w:t>Cl</w:t>
      </w:r>
      <w:r w:rsidRPr="00677D1F">
        <w:rPr>
          <w:rFonts w:ascii="宋体" w:eastAsia="宋体" w:hAnsi="宋体" w:cs="宋体"/>
          <w:color w:val="000000"/>
          <w:kern w:val="0"/>
          <w:sz w:val="24"/>
          <w:szCs w:val="24"/>
          <w:vertAlign w:val="subscript"/>
        </w:rPr>
        <w:t>2</w:t>
      </w:r>
      <w:r w:rsidRPr="00677D1F">
        <w:rPr>
          <w:rFonts w:ascii="宋体" w:eastAsia="宋体" w:hAnsi="宋体" w:cs="宋体" w:hint="eastAsia"/>
          <w:color w:val="000000"/>
          <w:kern w:val="0"/>
          <w:sz w:val="24"/>
          <w:szCs w:val="24"/>
        </w:rPr>
        <w:t>和</w:t>
      </w:r>
      <w:r w:rsidRPr="00677D1F">
        <w:rPr>
          <w:rFonts w:ascii="宋体" w:eastAsia="宋体" w:hAnsi="宋体" w:cs="宋体"/>
          <w:color w:val="000000"/>
          <w:kern w:val="0"/>
          <w:sz w:val="24"/>
          <w:szCs w:val="24"/>
        </w:rPr>
        <w:t>HCl</w:t>
      </w:r>
      <w:r w:rsidRPr="00677D1F">
        <w:rPr>
          <w:rFonts w:ascii="宋体" w:eastAsia="宋体" w:hAnsi="宋体" w:cs="宋体" w:hint="eastAsia"/>
          <w:color w:val="000000"/>
          <w:kern w:val="0"/>
          <w:sz w:val="24"/>
          <w:szCs w:val="24"/>
        </w:rPr>
        <w:t>每天采样四次，连续采样时间不少于</w:t>
      </w:r>
      <w:r w:rsidRPr="00677D1F">
        <w:rPr>
          <w:rFonts w:ascii="宋体" w:eastAsia="宋体" w:hAnsi="宋体" w:cs="宋体"/>
          <w:color w:val="000000"/>
          <w:kern w:val="0"/>
          <w:sz w:val="24"/>
          <w:szCs w:val="24"/>
        </w:rPr>
        <w:t>45min</w:t>
      </w:r>
      <w:r w:rsidRPr="00677D1F">
        <w:rPr>
          <w:rFonts w:ascii="宋体" w:eastAsia="宋体" w:hAnsi="宋体" w:cs="宋体" w:hint="eastAsia"/>
          <w:color w:val="000000"/>
          <w:kern w:val="0"/>
          <w:sz w:val="24"/>
          <w:szCs w:val="24"/>
        </w:rPr>
        <w:t>，监测时间为</w:t>
      </w:r>
      <w:r w:rsidRPr="00677D1F">
        <w:rPr>
          <w:rFonts w:ascii="宋体" w:eastAsia="宋体" w:hAnsi="宋体" w:cs="宋体"/>
          <w:color w:val="000000"/>
          <w:kern w:val="0"/>
          <w:sz w:val="24"/>
          <w:szCs w:val="24"/>
        </w:rPr>
        <w:t>2013</w:t>
      </w:r>
      <w:r w:rsidRPr="00677D1F">
        <w:rPr>
          <w:rFonts w:ascii="宋体" w:eastAsia="宋体" w:hAnsi="宋体" w:cs="宋体" w:hint="eastAsia"/>
          <w:color w:val="000000"/>
          <w:kern w:val="0"/>
          <w:sz w:val="24"/>
          <w:szCs w:val="24"/>
        </w:rPr>
        <w:t>年</w:t>
      </w:r>
      <w:r w:rsidRPr="00677D1F">
        <w:rPr>
          <w:rFonts w:ascii="宋体" w:eastAsia="宋体" w:hAnsi="宋体" w:cs="宋体"/>
          <w:color w:val="000000"/>
          <w:kern w:val="0"/>
          <w:sz w:val="24"/>
          <w:szCs w:val="24"/>
        </w:rPr>
        <w:t>7</w:t>
      </w:r>
      <w:r w:rsidRPr="00677D1F">
        <w:rPr>
          <w:rFonts w:ascii="宋体" w:eastAsia="宋体" w:hAnsi="宋体" w:cs="宋体" w:hint="eastAsia"/>
          <w:color w:val="000000"/>
          <w:kern w:val="0"/>
          <w:sz w:val="24"/>
          <w:szCs w:val="24"/>
        </w:rPr>
        <w:t>月</w:t>
      </w:r>
      <w:r w:rsidRPr="00677D1F">
        <w:rPr>
          <w:rFonts w:ascii="宋体" w:eastAsia="宋体" w:hAnsi="宋体" w:cs="宋体"/>
          <w:color w:val="000000"/>
          <w:kern w:val="0"/>
          <w:sz w:val="24"/>
          <w:szCs w:val="24"/>
        </w:rPr>
        <w:t>4</w:t>
      </w:r>
      <w:r w:rsidRPr="00677D1F">
        <w:rPr>
          <w:rFonts w:ascii="宋体" w:eastAsia="宋体" w:hAnsi="宋体" w:cs="宋体" w:hint="eastAsia"/>
          <w:color w:val="000000"/>
          <w:kern w:val="0"/>
          <w:sz w:val="24"/>
          <w:szCs w:val="24"/>
        </w:rPr>
        <w:t>日至</w:t>
      </w:r>
      <w:r w:rsidRPr="00677D1F">
        <w:rPr>
          <w:rFonts w:ascii="宋体" w:eastAsia="宋体" w:hAnsi="宋体" w:cs="宋体"/>
          <w:color w:val="000000"/>
          <w:kern w:val="0"/>
          <w:sz w:val="24"/>
          <w:szCs w:val="24"/>
        </w:rPr>
        <w:t>10</w:t>
      </w:r>
      <w:r w:rsidRPr="00677D1F">
        <w:rPr>
          <w:rFonts w:ascii="宋体" w:eastAsia="宋体" w:hAnsi="宋体" w:cs="宋体" w:hint="eastAsia"/>
          <w:color w:val="000000"/>
          <w:kern w:val="0"/>
          <w:sz w:val="24"/>
          <w:szCs w:val="24"/>
        </w:rPr>
        <w:t>日。</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5.1-1</w:t>
      </w:r>
      <w:r w:rsidRPr="00677D1F">
        <w:rPr>
          <w:rFonts w:ascii="黑体" w:eastAsia="黑体" w:hAnsi="黑体" w:cs="宋体" w:hint="eastAsia"/>
          <w:b/>
          <w:color w:val="000000"/>
          <w:kern w:val="0"/>
          <w:szCs w:val="21"/>
        </w:rPr>
        <w:t>常规污染物</w:t>
      </w:r>
      <w:r w:rsidRPr="00677D1F">
        <w:rPr>
          <w:rFonts w:ascii="黑体" w:eastAsia="黑体" w:hAnsi="黑体" w:cs="宋体"/>
          <w:b/>
          <w:color w:val="000000"/>
          <w:kern w:val="0"/>
          <w:szCs w:val="21"/>
        </w:rPr>
        <w:t>SO2</w:t>
      </w:r>
      <w:r w:rsidRPr="00677D1F">
        <w:rPr>
          <w:rFonts w:ascii="黑体" w:eastAsia="黑体" w:hAnsi="黑体" w:cs="宋体" w:hint="eastAsia"/>
          <w:b/>
          <w:color w:val="000000"/>
          <w:kern w:val="0"/>
          <w:szCs w:val="21"/>
        </w:rPr>
        <w:t>、</w:t>
      </w:r>
      <w:r w:rsidRPr="00677D1F">
        <w:rPr>
          <w:rFonts w:ascii="黑体" w:eastAsia="黑体" w:hAnsi="黑体" w:cs="宋体"/>
          <w:b/>
          <w:color w:val="000000"/>
          <w:kern w:val="0"/>
          <w:szCs w:val="21"/>
        </w:rPr>
        <w:t>NO2</w:t>
      </w:r>
      <w:r w:rsidRPr="00677D1F">
        <w:rPr>
          <w:rFonts w:ascii="黑体" w:eastAsia="黑体" w:hAnsi="黑体" w:cs="宋体" w:hint="eastAsia"/>
          <w:b/>
          <w:color w:val="000000"/>
          <w:kern w:val="0"/>
          <w:szCs w:val="21"/>
        </w:rPr>
        <w:t>、</w:t>
      </w:r>
      <w:r w:rsidRPr="00677D1F">
        <w:rPr>
          <w:rFonts w:ascii="黑体" w:eastAsia="黑体" w:hAnsi="黑体" w:cs="宋体"/>
          <w:b/>
          <w:color w:val="000000"/>
          <w:kern w:val="0"/>
          <w:szCs w:val="21"/>
        </w:rPr>
        <w:t>PM10</w:t>
      </w:r>
      <w:r w:rsidRPr="00677D1F">
        <w:rPr>
          <w:rFonts w:ascii="黑体" w:eastAsia="黑体" w:hAnsi="黑体" w:cs="宋体" w:hint="eastAsia"/>
          <w:b/>
          <w:color w:val="000000"/>
          <w:kern w:val="0"/>
          <w:szCs w:val="21"/>
        </w:rPr>
        <w:t>大气环境现状监测点位图</w:t>
      </w: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）采样及分析方法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采样方法按原国家环保局颁布的《环境监测技术规范（大气部分）》的规定执行；分析方法按《空气和废气监测分析方法》的有关规范执行。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）监测结果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常规污染因子监测分析结果见表</w:t>
      </w:r>
      <w:r w:rsidRPr="00677D1F">
        <w:rPr>
          <w:rFonts w:asciiTheme="minorEastAsia" w:hAnsiTheme="minorEastAsia" w:cs="宋体"/>
          <w:color w:val="000000"/>
          <w:kern w:val="0"/>
          <w:sz w:val="24"/>
          <w:szCs w:val="24"/>
        </w:rPr>
        <w:t>5.1-2</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color w:val="000000"/>
          <w:kern w:val="0"/>
          <w:szCs w:val="21"/>
        </w:rPr>
      </w:pPr>
      <w:r w:rsidRPr="00677D1F">
        <w:rPr>
          <w:rFonts w:ascii="黑体" w:eastAsia="黑体" w:hAnsi="黑体" w:cs="宋体" w:hint="eastAsia"/>
          <w:color w:val="000000"/>
          <w:kern w:val="0"/>
          <w:szCs w:val="21"/>
        </w:rPr>
        <w:t>表5.1-2SO</w:t>
      </w:r>
      <w:r w:rsidRPr="00677D1F">
        <w:rPr>
          <w:rFonts w:ascii="黑体" w:eastAsia="黑体" w:hAnsi="黑体" w:cs="宋体" w:hint="eastAsia"/>
          <w:color w:val="000000"/>
          <w:kern w:val="0"/>
          <w:szCs w:val="21"/>
          <w:vertAlign w:val="subscript"/>
        </w:rPr>
        <w:t>2</w:t>
      </w:r>
      <w:r w:rsidRPr="00677D1F">
        <w:rPr>
          <w:rFonts w:ascii="黑体" w:eastAsia="黑体" w:hAnsi="黑体" w:cs="宋体" w:hint="eastAsia"/>
          <w:color w:val="000000"/>
          <w:kern w:val="0"/>
          <w:szCs w:val="21"/>
        </w:rPr>
        <w:t>、NO</w:t>
      </w:r>
      <w:r w:rsidRPr="00677D1F">
        <w:rPr>
          <w:rFonts w:ascii="黑体" w:eastAsia="黑体" w:hAnsi="黑体" w:cs="宋体" w:hint="eastAsia"/>
          <w:color w:val="000000"/>
          <w:kern w:val="0"/>
          <w:szCs w:val="21"/>
          <w:vertAlign w:val="subscript"/>
        </w:rPr>
        <w:t>2</w:t>
      </w:r>
      <w:r w:rsidRPr="00677D1F">
        <w:rPr>
          <w:rFonts w:ascii="黑体" w:eastAsia="黑体" w:hAnsi="黑体" w:cs="宋体" w:hint="eastAsia"/>
          <w:color w:val="000000"/>
          <w:kern w:val="0"/>
          <w:szCs w:val="21"/>
        </w:rPr>
        <w:t>、PM</w:t>
      </w:r>
      <w:r w:rsidRPr="00677D1F">
        <w:rPr>
          <w:rFonts w:ascii="黑体" w:eastAsia="黑体" w:hAnsi="黑体" w:cs="宋体" w:hint="eastAsia"/>
          <w:color w:val="000000"/>
          <w:kern w:val="0"/>
          <w:szCs w:val="21"/>
          <w:vertAlign w:val="subscript"/>
        </w:rPr>
        <w:t>10</w:t>
      </w:r>
      <w:r w:rsidRPr="00677D1F">
        <w:rPr>
          <w:rFonts w:ascii="黑体" w:eastAsia="黑体" w:hAnsi="黑体" w:cs="宋体" w:hint="eastAsia"/>
          <w:color w:val="000000"/>
          <w:kern w:val="0"/>
          <w:szCs w:val="21"/>
        </w:rPr>
        <w:t>监测结果统计表（日均浓度）单位：mg/m</w:t>
      </w:r>
      <w:r w:rsidRPr="00677D1F">
        <w:rPr>
          <w:rFonts w:ascii="黑体" w:eastAsia="黑体" w:hAnsi="黑体" w:cs="宋体" w:hint="eastAsia"/>
          <w:color w:val="000000"/>
          <w:kern w:val="0"/>
          <w:szCs w:val="21"/>
          <w:vertAlign w:val="superscript"/>
        </w:rPr>
        <w:t>3</w:t>
      </w:r>
    </w:p>
    <w:p w:rsidR="00D228BE" w:rsidRPr="00677D1F" w:rsidRDefault="00D228BE" w:rsidP="00677D1F">
      <w:pPr>
        <w:widowControl/>
        <w:contextualSpacing/>
        <w:rPr>
          <w:rFonts w:ascii="黑体" w:eastAsia="黑体" w:hAnsi="黑体" w:cs="宋体"/>
          <w:b/>
          <w:bCs/>
          <w:color w:val="000000"/>
          <w:kern w:val="0"/>
          <w:sz w:val="18"/>
          <w:szCs w:val="18"/>
        </w:rPr>
      </w:pPr>
    </w:p>
    <w:p w:rsidR="00D228BE" w:rsidRPr="00677D1F" w:rsidRDefault="00332EB6" w:rsidP="00677D1F">
      <w:pPr>
        <w:widowControl/>
        <w:contextualSpacing/>
        <w:rPr>
          <w:rFonts w:ascii="宋体" w:eastAsia="宋体" w:hAnsi="宋体" w:cs="宋体"/>
          <w:kern w:val="0"/>
          <w:sz w:val="24"/>
          <w:szCs w:val="24"/>
        </w:rPr>
      </w:pPr>
      <w:r w:rsidRPr="00677D1F">
        <w:rPr>
          <w:rFonts w:ascii="黑体" w:eastAsia="黑体" w:hAnsi="黑体" w:cs="宋体" w:hint="eastAsia"/>
          <w:b/>
          <w:bCs/>
          <w:color w:val="000000"/>
          <w:kern w:val="0"/>
          <w:sz w:val="18"/>
          <w:szCs w:val="18"/>
        </w:rPr>
        <w:t>注：L表示低于检出下限，</w:t>
      </w:r>
      <w:r w:rsidRPr="00677D1F">
        <w:rPr>
          <w:rFonts w:ascii="Times New Roman" w:eastAsia="宋体" w:hAnsi="Times New Roman" w:cs="Times New Roman"/>
          <w:b/>
          <w:bCs/>
          <w:color w:val="000000"/>
          <w:kern w:val="0"/>
          <w:sz w:val="18"/>
          <w:szCs w:val="18"/>
        </w:rPr>
        <w:t>SO</w:t>
      </w:r>
      <w:r w:rsidRPr="00677D1F">
        <w:rPr>
          <w:rFonts w:ascii="Times New Roman" w:eastAsia="宋体" w:hAnsi="Times New Roman" w:cs="Times New Roman"/>
          <w:b/>
          <w:bCs/>
          <w:color w:val="000000"/>
          <w:kern w:val="0"/>
          <w:sz w:val="12"/>
          <w:szCs w:val="12"/>
        </w:rPr>
        <w:t>2</w:t>
      </w:r>
      <w:r w:rsidRPr="00677D1F">
        <w:rPr>
          <w:rFonts w:ascii="宋体" w:eastAsia="宋体" w:hAnsi="宋体" w:cs="宋体" w:hint="eastAsia"/>
          <w:b/>
          <w:bCs/>
          <w:color w:val="000000"/>
          <w:kern w:val="0"/>
          <w:sz w:val="18"/>
          <w:szCs w:val="18"/>
        </w:rPr>
        <w:t>为＜</w:t>
      </w:r>
      <w:r w:rsidRPr="00677D1F">
        <w:rPr>
          <w:rFonts w:ascii="Times New Roman" w:eastAsia="宋体" w:hAnsi="Times New Roman" w:cs="Times New Roman"/>
          <w:b/>
          <w:bCs/>
          <w:color w:val="000000"/>
          <w:kern w:val="0"/>
          <w:sz w:val="18"/>
          <w:szCs w:val="18"/>
        </w:rPr>
        <w:t>0.002</w:t>
      </w:r>
      <w:r w:rsidRPr="00677D1F">
        <w:rPr>
          <w:rFonts w:ascii="黑体" w:eastAsia="黑体" w:hAnsi="黑体" w:cs="宋体" w:hint="eastAsia"/>
          <w:b/>
          <w:bCs/>
          <w:color w:val="000000"/>
          <w:kern w:val="0"/>
          <w:sz w:val="18"/>
          <w:szCs w:val="18"/>
        </w:rPr>
        <w:t>mg/m</w:t>
      </w:r>
      <w:r w:rsidRPr="00677D1F">
        <w:rPr>
          <w:rFonts w:ascii="黑体" w:eastAsia="黑体" w:hAnsi="黑体" w:cs="宋体" w:hint="eastAsia"/>
          <w:b/>
          <w:bCs/>
          <w:color w:val="000000"/>
          <w:kern w:val="0"/>
          <w:sz w:val="9"/>
          <w:szCs w:val="9"/>
        </w:rPr>
        <w:t>3</w:t>
      </w:r>
      <w:r w:rsidRPr="00677D1F">
        <w:rPr>
          <w:rFonts w:ascii="黑体" w:eastAsia="黑体" w:hAnsi="黑体" w:cs="宋体" w:hint="eastAsia"/>
          <w:b/>
          <w:bCs/>
          <w:color w:val="000000"/>
          <w:kern w:val="0"/>
          <w:sz w:val="18"/>
          <w:szCs w:val="18"/>
        </w:rPr>
        <w:t>；NO</w:t>
      </w:r>
      <w:r w:rsidRPr="00677D1F">
        <w:rPr>
          <w:rFonts w:ascii="黑体" w:eastAsia="黑体" w:hAnsi="黑体" w:cs="宋体" w:hint="eastAsia"/>
          <w:b/>
          <w:bCs/>
          <w:color w:val="000000"/>
          <w:kern w:val="0"/>
          <w:sz w:val="9"/>
          <w:szCs w:val="9"/>
        </w:rPr>
        <w:t>2</w:t>
      </w:r>
      <w:r w:rsidRPr="00677D1F">
        <w:rPr>
          <w:rFonts w:ascii="黑体" w:eastAsia="黑体" w:hAnsi="黑体" w:cs="宋体" w:hint="eastAsia"/>
          <w:b/>
          <w:bCs/>
          <w:color w:val="000000"/>
          <w:kern w:val="0"/>
          <w:sz w:val="18"/>
          <w:szCs w:val="18"/>
        </w:rPr>
        <w:t>为</w:t>
      </w:r>
      <w:r w:rsidRPr="00677D1F">
        <w:rPr>
          <w:rFonts w:ascii="宋体" w:eastAsia="宋体" w:hAnsi="宋体" w:cs="宋体" w:hint="eastAsia"/>
          <w:b/>
          <w:bCs/>
          <w:color w:val="000000"/>
          <w:kern w:val="0"/>
          <w:sz w:val="18"/>
          <w:szCs w:val="18"/>
        </w:rPr>
        <w:t>＜</w:t>
      </w:r>
      <w:r w:rsidRPr="00677D1F">
        <w:rPr>
          <w:rFonts w:ascii="Times New Roman" w:eastAsia="宋体" w:hAnsi="Times New Roman" w:cs="Times New Roman"/>
          <w:b/>
          <w:bCs/>
          <w:color w:val="000000"/>
          <w:kern w:val="0"/>
          <w:sz w:val="18"/>
          <w:szCs w:val="18"/>
        </w:rPr>
        <w:t>0.003</w:t>
      </w:r>
      <w:r w:rsidRPr="00677D1F">
        <w:rPr>
          <w:rFonts w:ascii="黑体" w:eastAsia="黑体" w:hAnsi="黑体" w:cs="宋体" w:hint="eastAsia"/>
          <w:b/>
          <w:bCs/>
          <w:color w:val="000000"/>
          <w:kern w:val="0"/>
          <w:sz w:val="18"/>
          <w:szCs w:val="18"/>
        </w:rPr>
        <w:t>mg/m</w:t>
      </w:r>
      <w:r w:rsidRPr="00677D1F">
        <w:rPr>
          <w:rFonts w:ascii="黑体" w:eastAsia="黑体" w:hAnsi="黑体" w:cs="宋体" w:hint="eastAsia"/>
          <w:b/>
          <w:bCs/>
          <w:color w:val="000000"/>
          <w:kern w:val="0"/>
          <w:sz w:val="9"/>
          <w:szCs w:val="9"/>
        </w:rPr>
        <w:t>3</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特征污染物</w:t>
      </w:r>
      <w:r w:rsidRPr="00677D1F">
        <w:rPr>
          <w:rFonts w:asciiTheme="minorEastAsia" w:hAnsiTheme="minorEastAsia" w:cs="Times New Roman"/>
          <w:color w:val="000000"/>
          <w:kern w:val="0"/>
          <w:sz w:val="24"/>
          <w:szCs w:val="24"/>
        </w:rPr>
        <w:t>Cl</w:t>
      </w:r>
      <w:r w:rsidRPr="00677D1F">
        <w:rPr>
          <w:rFonts w:asciiTheme="minorEastAsia" w:hAnsiTheme="minorEastAsia" w:cs="Times New Roman"/>
          <w:color w:val="000000"/>
          <w:kern w:val="0"/>
          <w:sz w:val="24"/>
          <w:szCs w:val="24"/>
          <w:vertAlign w:val="subscript"/>
        </w:rPr>
        <w:t>2</w:t>
      </w:r>
      <w:r w:rsidRPr="00677D1F">
        <w:rPr>
          <w:rFonts w:asciiTheme="minorEastAsia" w:hAnsiTheme="minorEastAsia" w:cs="宋体" w:hint="eastAsia"/>
          <w:color w:val="000000"/>
          <w:kern w:val="0"/>
          <w:sz w:val="24"/>
          <w:szCs w:val="24"/>
        </w:rPr>
        <w:t>和</w:t>
      </w:r>
      <w:r w:rsidRPr="00677D1F">
        <w:rPr>
          <w:rFonts w:asciiTheme="minorEastAsia" w:hAnsiTheme="minorEastAsia" w:cs="Times New Roman"/>
          <w:color w:val="000000"/>
          <w:kern w:val="0"/>
          <w:sz w:val="24"/>
          <w:szCs w:val="24"/>
        </w:rPr>
        <w:t>HCl</w:t>
      </w:r>
      <w:r w:rsidRPr="00677D1F">
        <w:rPr>
          <w:rFonts w:asciiTheme="minorEastAsia" w:hAnsiTheme="minorEastAsia" w:cs="宋体" w:hint="eastAsia"/>
          <w:color w:val="000000"/>
          <w:kern w:val="0"/>
          <w:sz w:val="24"/>
          <w:szCs w:val="24"/>
        </w:rPr>
        <w:t>监测分析结果见表</w:t>
      </w:r>
      <w:r w:rsidRPr="00677D1F">
        <w:rPr>
          <w:rFonts w:asciiTheme="minorEastAsia" w:hAnsiTheme="minorEastAsia" w:cs="Times New Roman"/>
          <w:color w:val="000000"/>
          <w:kern w:val="0"/>
          <w:sz w:val="24"/>
          <w:szCs w:val="24"/>
        </w:rPr>
        <w:t>5.1-3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表5.1-3Cl2和HCl监测结果统计表（小时浓度）单位：mg/m3</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5.1.2</w:t>
      </w:r>
      <w:r w:rsidRPr="00677D1F">
        <w:rPr>
          <w:rFonts w:ascii="宋体" w:hAnsi="宋体" w:hint="eastAsia"/>
          <w:sz w:val="28"/>
          <w:szCs w:val="28"/>
        </w:rPr>
        <w:t>大气环境质量现状评价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SO</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、NO</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、PM</w:t>
      </w:r>
      <w:r w:rsidRPr="00677D1F">
        <w:rPr>
          <w:rFonts w:asciiTheme="minorEastAsia" w:hAnsiTheme="minorEastAsia" w:cs="宋体" w:hint="eastAsia"/>
          <w:color w:val="000000"/>
          <w:kern w:val="0"/>
          <w:sz w:val="24"/>
          <w:szCs w:val="24"/>
          <w:vertAlign w:val="subscript"/>
        </w:rPr>
        <w:t>10</w:t>
      </w:r>
      <w:r w:rsidRPr="00677D1F">
        <w:rPr>
          <w:rFonts w:asciiTheme="minorEastAsia" w:hAnsiTheme="minorEastAsia" w:cs="宋体" w:hint="eastAsia"/>
          <w:color w:val="000000"/>
          <w:kern w:val="0"/>
          <w:sz w:val="24"/>
          <w:szCs w:val="24"/>
        </w:rPr>
        <w:t>采用《环境空气质量标准》（GB3095-2012）的二级标准，特征污染物Cl</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和HCl采用《工业企业设计卫生标准》（TJ36-79）中“居住区大气中有害物质的最高容许浓度”的规定，采用单因子污染指数法对区域环境空气质量监测点监测数值的评价结果统计见表5.1-4和表5.1-5。</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5.1-4</w:t>
      </w:r>
      <w:r w:rsidRPr="00677D1F">
        <w:rPr>
          <w:rFonts w:ascii="黑体" w:eastAsia="黑体" w:hAnsi="黑体" w:cs="宋体" w:hint="eastAsia"/>
          <w:b/>
          <w:color w:val="000000"/>
          <w:kern w:val="0"/>
          <w:szCs w:val="21"/>
        </w:rPr>
        <w:t>评价区SO2、NO2、PM10大气环境现状评价结果</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日均值</w:t>
      </w:r>
      <w:r w:rsidRPr="00677D1F">
        <w:rPr>
          <w:rFonts w:ascii="黑体" w:eastAsia="黑体" w:hAnsi="黑体" w:cs="宋体"/>
          <w:b/>
          <w:color w:val="000000"/>
          <w:kern w:val="0"/>
          <w:szCs w:val="21"/>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5.1-5</w:t>
      </w:r>
      <w:r w:rsidRPr="00677D1F">
        <w:rPr>
          <w:rFonts w:ascii="黑体" w:eastAsia="黑体" w:hAnsi="黑体" w:cs="宋体" w:hint="eastAsia"/>
          <w:b/>
          <w:color w:val="000000"/>
          <w:kern w:val="0"/>
          <w:szCs w:val="21"/>
        </w:rPr>
        <w:t>评价区Cl2和HCl大气环境现状评价结果</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小时值</w:t>
      </w:r>
      <w:r w:rsidRPr="00677D1F">
        <w:rPr>
          <w:rFonts w:ascii="黑体" w:eastAsia="黑体" w:hAnsi="黑体" w:cs="宋体"/>
          <w:b/>
          <w:color w:val="000000"/>
          <w:kern w:val="0"/>
          <w:szCs w:val="21"/>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5.1-3</w:t>
      </w:r>
      <w:r w:rsidRPr="00677D1F">
        <w:rPr>
          <w:rFonts w:asciiTheme="minorEastAsia" w:hAnsiTheme="minorEastAsia" w:cs="宋体" w:hint="eastAsia"/>
          <w:color w:val="000000"/>
          <w:kern w:val="0"/>
          <w:sz w:val="24"/>
          <w:szCs w:val="24"/>
        </w:rPr>
        <w:t>可知，在</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日监测期内，</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个监测点，除了</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外，</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日均值均满足《环境空气质量标准》</w:t>
      </w:r>
      <w:r w:rsidRPr="00677D1F">
        <w:rPr>
          <w:rFonts w:asciiTheme="minorEastAsia" w:hAnsiTheme="minorEastAsia" w:cs="宋体"/>
          <w:color w:val="000000"/>
          <w:kern w:val="0"/>
          <w:sz w:val="24"/>
          <w:szCs w:val="24"/>
        </w:rPr>
        <w:t>（GB3095-2012）</w:t>
      </w:r>
      <w:r w:rsidRPr="00677D1F">
        <w:rPr>
          <w:rFonts w:asciiTheme="minorEastAsia" w:hAnsiTheme="minorEastAsia" w:cs="宋体" w:hint="eastAsia"/>
          <w:color w:val="000000"/>
          <w:kern w:val="0"/>
          <w:sz w:val="24"/>
          <w:szCs w:val="24"/>
        </w:rPr>
        <w:t>及修改单通知中的二级标准要求。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特征污染物的一次小时浓度最大值满足《工业企业设计卫生标准》</w:t>
      </w:r>
      <w:r w:rsidRPr="00677D1F">
        <w:rPr>
          <w:rFonts w:asciiTheme="minorEastAsia" w:hAnsiTheme="minorEastAsia" w:cs="宋体"/>
          <w:color w:val="000000"/>
          <w:kern w:val="0"/>
          <w:sz w:val="24"/>
          <w:szCs w:val="24"/>
        </w:rPr>
        <w:t>（TJ36-79）</w:t>
      </w:r>
      <w:r w:rsidRPr="00677D1F">
        <w:rPr>
          <w:rFonts w:asciiTheme="minorEastAsia" w:hAnsiTheme="minorEastAsia" w:cs="宋体" w:hint="eastAsia"/>
          <w:color w:val="000000"/>
          <w:kern w:val="0"/>
          <w:sz w:val="24"/>
          <w:szCs w:val="24"/>
        </w:rPr>
        <w:t>中标准。</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5.2</w:t>
      </w:r>
      <w:r w:rsidRPr="00677D1F">
        <w:rPr>
          <w:rFonts w:ascii="宋体" w:hAnsi="宋体" w:hint="eastAsia"/>
          <w:bCs w:val="0"/>
          <w:kern w:val="2"/>
          <w:sz w:val="30"/>
          <w:szCs w:val="30"/>
        </w:rPr>
        <w:t>地下水环境质量现状调查与评价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）监测项目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地下水监测项目为：</w:t>
      </w:r>
      <w:r w:rsidRPr="00677D1F">
        <w:rPr>
          <w:rFonts w:asciiTheme="minorEastAsia" w:hAnsiTheme="minorEastAsia" w:cs="宋体"/>
          <w:color w:val="000000"/>
          <w:kern w:val="0"/>
          <w:sz w:val="24"/>
          <w:szCs w:val="24"/>
        </w:rPr>
        <w:t>pH</w:t>
      </w:r>
      <w:r w:rsidRPr="00677D1F">
        <w:rPr>
          <w:rFonts w:asciiTheme="minorEastAsia" w:hAnsiTheme="minorEastAsia" w:cs="宋体" w:hint="eastAsia"/>
          <w:color w:val="000000"/>
          <w:kern w:val="0"/>
          <w:sz w:val="24"/>
          <w:szCs w:val="24"/>
        </w:rPr>
        <w:t>、总硬度、高锰酸盐指数、氯化物、氟化物、硫酸盐、硝酸盐氮、总大肠菌群、氨氮、</w:t>
      </w:r>
      <w:r w:rsidRPr="00677D1F">
        <w:rPr>
          <w:rFonts w:asciiTheme="minorEastAsia" w:hAnsiTheme="minorEastAsia" w:cs="宋体"/>
          <w:color w:val="000000"/>
          <w:kern w:val="0"/>
          <w:sz w:val="24"/>
          <w:szCs w:val="24"/>
        </w:rPr>
        <w:t>Cr</w:t>
      </w:r>
      <w:r w:rsidRPr="00677D1F">
        <w:rPr>
          <w:rFonts w:asciiTheme="minorEastAsia" w:hAnsiTheme="minorEastAsia" w:cs="宋体"/>
          <w:color w:val="000000"/>
          <w:kern w:val="0"/>
          <w:sz w:val="24"/>
          <w:szCs w:val="24"/>
          <w:vertAlign w:val="superscript"/>
        </w:rPr>
        <w:t>6+</w:t>
      </w:r>
      <w:r w:rsidRPr="00677D1F">
        <w:rPr>
          <w:rFonts w:asciiTheme="minorEastAsia" w:hAnsiTheme="minorEastAsia" w:cs="宋体" w:hint="eastAsia"/>
          <w:color w:val="000000"/>
          <w:kern w:val="0"/>
          <w:sz w:val="24"/>
          <w:szCs w:val="24"/>
        </w:rPr>
        <w:t>、亚硝酸盐、挥发酚、氰化物、锌、铜、铅、镉、铁、锰、硒、砷、汞共</w:t>
      </w:r>
      <w:r w:rsidRPr="00677D1F">
        <w:rPr>
          <w:rFonts w:asciiTheme="minorEastAsia" w:hAnsiTheme="minorEastAsia" w:cs="宋体"/>
          <w:color w:val="000000"/>
          <w:kern w:val="0"/>
          <w:sz w:val="24"/>
          <w:szCs w:val="24"/>
        </w:rPr>
        <w:t>22</w:t>
      </w:r>
      <w:r w:rsidRPr="00677D1F">
        <w:rPr>
          <w:rFonts w:asciiTheme="minorEastAsia" w:hAnsiTheme="minorEastAsia" w:cs="宋体" w:hint="eastAsia"/>
          <w:color w:val="000000"/>
          <w:kern w:val="0"/>
          <w:sz w:val="24"/>
          <w:szCs w:val="24"/>
        </w:rPr>
        <w:t>项。地下水监测资料由哈密地区环境保护监测站提供。</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）监测点位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监测点位为厂址附近水井。监测位置见图</w:t>
      </w:r>
      <w:r w:rsidRPr="00677D1F">
        <w:rPr>
          <w:rFonts w:asciiTheme="minorEastAsia" w:hAnsiTheme="minorEastAsia" w:cs="宋体"/>
          <w:color w:val="000000"/>
          <w:kern w:val="0"/>
          <w:sz w:val="24"/>
          <w:szCs w:val="24"/>
        </w:rPr>
        <w:t>2.5-1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）监测时间和监测方法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地下水水质采样时间为</w:t>
      </w:r>
      <w:r w:rsidRPr="00677D1F">
        <w:rPr>
          <w:rFonts w:asciiTheme="minorEastAsia" w:hAnsiTheme="minorEastAsia" w:cs="宋体"/>
          <w:color w:val="000000"/>
          <w:kern w:val="0"/>
          <w:sz w:val="24"/>
          <w:szCs w:val="24"/>
        </w:rPr>
        <w:t>2011</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11</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29</w:t>
      </w:r>
      <w:r w:rsidRPr="00677D1F">
        <w:rPr>
          <w:rFonts w:asciiTheme="minorEastAsia" w:hAnsiTheme="minorEastAsia" w:cs="宋体" w:hint="eastAsia"/>
          <w:color w:val="000000"/>
          <w:kern w:val="0"/>
          <w:sz w:val="24"/>
          <w:szCs w:val="24"/>
        </w:rPr>
        <w:t>日，各监测项目的监测方法按地下水监测规范执行。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）评价标准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采用《地下水质量标准》（</w:t>
      </w:r>
      <w:r w:rsidRPr="00677D1F">
        <w:rPr>
          <w:rFonts w:asciiTheme="minorEastAsia" w:hAnsiTheme="minorEastAsia" w:cs="宋体"/>
          <w:color w:val="000000"/>
          <w:kern w:val="0"/>
          <w:sz w:val="24"/>
          <w:szCs w:val="24"/>
        </w:rPr>
        <w:t>GB14848-93</w:t>
      </w:r>
      <w:r w:rsidRPr="00677D1F">
        <w:rPr>
          <w:rFonts w:asciiTheme="minorEastAsia" w:hAnsiTheme="minorEastAsia" w:cs="宋体" w:hint="eastAsia"/>
          <w:color w:val="000000"/>
          <w:kern w:val="0"/>
          <w:sz w:val="24"/>
          <w:szCs w:val="24"/>
        </w:rPr>
        <w:t>）中Ⅲ类标准。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）评价方法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）评价结果与结论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根据哈密地区环境保护监测站提供的监测资料，地下水监测及评价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统计结果见表</w:t>
      </w:r>
      <w:r w:rsidRPr="00677D1F">
        <w:rPr>
          <w:rFonts w:asciiTheme="minorEastAsia" w:hAnsiTheme="minorEastAsia" w:cs="宋体"/>
          <w:color w:val="000000"/>
          <w:kern w:val="0"/>
          <w:sz w:val="24"/>
          <w:szCs w:val="24"/>
        </w:rPr>
        <w:t>5.2-1</w:t>
      </w:r>
      <w:r w:rsidRPr="00677D1F">
        <w:rPr>
          <w:rFonts w:asciiTheme="minorEastAsia" w:hAnsiTheme="minorEastAsia" w:cs="宋体" w:hint="eastAsia"/>
          <w:color w:val="000000"/>
          <w:kern w:val="0"/>
          <w:sz w:val="24"/>
          <w:szCs w:val="24"/>
        </w:rPr>
        <w:t>。</w:t>
      </w:r>
    </w:p>
    <w:p w:rsidR="00D228BE" w:rsidRPr="00A2479C" w:rsidRDefault="00332EB6" w:rsidP="00A2479C">
      <w:pPr>
        <w:widowControl/>
        <w:spacing w:line="360" w:lineRule="auto"/>
        <w:contextualSpacing/>
        <w:jc w:val="center"/>
        <w:outlineLvl w:val="8"/>
        <w:rPr>
          <w:rFonts w:ascii="黑体" w:eastAsia="黑体" w:hAnsi="黑体" w:cs="宋体"/>
          <w:b/>
          <w:color w:val="000000"/>
          <w:kern w:val="0"/>
          <w:szCs w:val="21"/>
        </w:rPr>
      </w:pPr>
      <w:r w:rsidRPr="00A2479C">
        <w:rPr>
          <w:rFonts w:ascii="黑体" w:eastAsia="黑体" w:hAnsi="黑体" w:cs="宋体" w:hint="eastAsia"/>
          <w:b/>
          <w:color w:val="000000"/>
          <w:kern w:val="0"/>
          <w:szCs w:val="21"/>
        </w:rPr>
        <w:t>表</w:t>
      </w:r>
      <w:r w:rsidRPr="00A2479C">
        <w:rPr>
          <w:rFonts w:ascii="黑体" w:eastAsia="黑体" w:hAnsi="黑体" w:cs="宋体"/>
          <w:b/>
          <w:color w:val="000000"/>
          <w:kern w:val="0"/>
          <w:szCs w:val="21"/>
        </w:rPr>
        <w:t>5.2-1</w:t>
      </w:r>
      <w:r w:rsidRPr="00A2479C">
        <w:rPr>
          <w:rFonts w:ascii="黑体" w:eastAsia="黑体" w:hAnsi="黑体" w:cs="宋体" w:hint="eastAsia"/>
          <w:b/>
          <w:color w:val="000000"/>
          <w:kern w:val="0"/>
          <w:szCs w:val="21"/>
        </w:rPr>
        <w:t>地下水监测及评价统计结果单位：</w:t>
      </w:r>
      <w:r w:rsidRPr="00A2479C">
        <w:rPr>
          <w:rFonts w:ascii="黑体" w:eastAsia="黑体" w:hAnsi="黑体" w:cs="宋体"/>
          <w:b/>
          <w:color w:val="000000"/>
          <w:kern w:val="0"/>
          <w:szCs w:val="21"/>
        </w:rPr>
        <w:t>mg/L</w:t>
      </w:r>
      <w:r w:rsidRPr="00A2479C">
        <w:rPr>
          <w:rFonts w:ascii="黑体" w:eastAsia="黑体" w:hAnsi="黑体" w:cs="宋体" w:hint="eastAsia"/>
          <w:b/>
          <w:color w:val="000000"/>
          <w:kern w:val="0"/>
          <w:szCs w:val="21"/>
        </w:rPr>
        <w:t>（</w:t>
      </w:r>
      <w:r w:rsidRPr="00A2479C">
        <w:rPr>
          <w:rFonts w:ascii="黑体" w:eastAsia="黑体" w:hAnsi="黑体" w:cs="宋体"/>
          <w:b/>
          <w:color w:val="000000"/>
          <w:kern w:val="0"/>
          <w:szCs w:val="21"/>
        </w:rPr>
        <w:t>pH</w:t>
      </w:r>
      <w:r w:rsidRPr="00A2479C">
        <w:rPr>
          <w:rFonts w:ascii="黑体" w:eastAsia="黑体" w:hAnsi="黑体" w:cs="宋体" w:hint="eastAsia"/>
          <w:b/>
          <w:color w:val="000000"/>
          <w:kern w:val="0"/>
          <w:szCs w:val="21"/>
        </w:rPr>
        <w:t>除外）</w:t>
      </w:r>
    </w:p>
    <w:p w:rsidR="00390272" w:rsidRPr="00677D1F" w:rsidRDefault="00390272" w:rsidP="00677D1F">
      <w:pPr>
        <w:widowControl/>
        <w:spacing w:line="360" w:lineRule="auto"/>
        <w:ind w:firstLineChars="200" w:firstLine="420"/>
        <w:contextualSpacing/>
        <w:rPr>
          <w:rFonts w:ascii="宋体" w:eastAsia="宋体" w:hAnsi="宋体" w:cs="宋体"/>
          <w:color w:val="000000"/>
          <w:kern w:val="0"/>
          <w:szCs w:val="21"/>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5.2-1</w:t>
      </w:r>
      <w:r w:rsidRPr="00677D1F">
        <w:rPr>
          <w:rFonts w:asciiTheme="minorEastAsia" w:hAnsiTheme="minorEastAsia" w:cs="宋体" w:hint="eastAsia"/>
          <w:color w:val="000000"/>
          <w:kern w:val="0"/>
          <w:sz w:val="24"/>
          <w:szCs w:val="24"/>
        </w:rPr>
        <w:t>可以看出，项目区域地下水监测因子总硬度、</w:t>
      </w:r>
      <w:r w:rsidRPr="00677D1F">
        <w:rPr>
          <w:rFonts w:asciiTheme="minorEastAsia" w:hAnsiTheme="minorEastAsia" w:cs="宋体"/>
          <w:color w:val="000000"/>
          <w:kern w:val="0"/>
          <w:sz w:val="24"/>
          <w:szCs w:val="24"/>
        </w:rPr>
        <w:t>CODmn</w:t>
      </w:r>
      <w:r w:rsidRPr="00677D1F">
        <w:rPr>
          <w:rFonts w:asciiTheme="minorEastAsia" w:hAnsiTheme="minorEastAsia" w:cs="宋体" w:hint="eastAsia"/>
          <w:color w:val="000000"/>
          <w:kern w:val="0"/>
          <w:sz w:val="24"/>
          <w:szCs w:val="24"/>
        </w:rPr>
        <w:t>、氯化物、硫酸盐、硝酸盐、总大肠菌群超标，其余监测因子满足《地下水环境质量标准》（</w:t>
      </w:r>
      <w:r w:rsidRPr="00677D1F">
        <w:rPr>
          <w:rFonts w:asciiTheme="minorEastAsia" w:hAnsiTheme="minorEastAsia" w:cs="宋体"/>
          <w:color w:val="000000"/>
          <w:kern w:val="0"/>
          <w:sz w:val="24"/>
          <w:szCs w:val="24"/>
        </w:rPr>
        <w:t>GB/T14848-93</w:t>
      </w:r>
      <w:r w:rsidRPr="00677D1F">
        <w:rPr>
          <w:rFonts w:asciiTheme="minorEastAsia" w:hAnsiTheme="minorEastAsia" w:cs="宋体" w:hint="eastAsia"/>
          <w:color w:val="000000"/>
          <w:kern w:val="0"/>
          <w:sz w:val="24"/>
          <w:szCs w:val="24"/>
        </w:rPr>
        <w:t>）Ⅲ类标准限值。</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5.3</w:t>
      </w:r>
      <w:r w:rsidRPr="00677D1F">
        <w:rPr>
          <w:rFonts w:ascii="宋体" w:hAnsi="宋体" w:hint="eastAsia"/>
          <w:bCs w:val="0"/>
          <w:kern w:val="2"/>
          <w:sz w:val="30"/>
          <w:szCs w:val="30"/>
        </w:rPr>
        <w:t>声环境质量现状调查与评价</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5.3.1</w:t>
      </w:r>
      <w:r w:rsidRPr="00677D1F">
        <w:rPr>
          <w:rFonts w:ascii="宋体" w:hAnsi="宋体" w:hint="eastAsia"/>
          <w:sz w:val="28"/>
          <w:szCs w:val="28"/>
        </w:rPr>
        <w:t>声环境现状调查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）调查范围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本项目为新建工程，声环境现状调查范围为拟建厂址厂界噪声。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）监测点布置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根据项目所在区域的自然和社会环境状况，在厂区的东、西、南、北厂界布设噪声监测点</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个噪声监测布点。监测布点位置见图</w:t>
      </w:r>
      <w:r w:rsidRPr="00677D1F">
        <w:rPr>
          <w:rFonts w:asciiTheme="minorEastAsia" w:hAnsiTheme="minorEastAsia" w:cs="宋体"/>
          <w:color w:val="000000"/>
          <w:kern w:val="0"/>
          <w:sz w:val="24"/>
          <w:szCs w:val="24"/>
        </w:rPr>
        <w:t>2.5-1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）监测方法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监测仪器采用</w:t>
      </w:r>
      <w:r w:rsidRPr="00677D1F">
        <w:rPr>
          <w:rFonts w:asciiTheme="minorEastAsia" w:hAnsiTheme="minorEastAsia" w:cs="宋体"/>
          <w:color w:val="000000"/>
          <w:kern w:val="0"/>
          <w:sz w:val="24"/>
          <w:szCs w:val="24"/>
        </w:rPr>
        <w:t>AWA6218-B</w:t>
      </w:r>
      <w:r w:rsidRPr="00677D1F">
        <w:rPr>
          <w:rFonts w:asciiTheme="minorEastAsia" w:hAnsiTheme="minorEastAsia" w:cs="宋体" w:hint="eastAsia"/>
          <w:color w:val="000000"/>
          <w:kern w:val="0"/>
          <w:sz w:val="24"/>
          <w:szCs w:val="24"/>
        </w:rPr>
        <w:t>型声级计。监测方法按照《声环境质量标准》（</w:t>
      </w:r>
      <w:r w:rsidRPr="00677D1F">
        <w:rPr>
          <w:rFonts w:asciiTheme="minorEastAsia" w:hAnsiTheme="minorEastAsia" w:cs="宋体"/>
          <w:color w:val="000000"/>
          <w:kern w:val="0"/>
          <w:sz w:val="24"/>
          <w:szCs w:val="24"/>
        </w:rPr>
        <w:t>GB3096-2008</w:t>
      </w:r>
      <w:r w:rsidRPr="00677D1F">
        <w:rPr>
          <w:rFonts w:asciiTheme="minorEastAsia" w:hAnsiTheme="minorEastAsia" w:cs="宋体" w:hint="eastAsia"/>
          <w:color w:val="000000"/>
          <w:kern w:val="0"/>
          <w:sz w:val="24"/>
          <w:szCs w:val="24"/>
        </w:rPr>
        <w:t>）和《工业企业厂界环境噪声排放标准》（</w:t>
      </w:r>
      <w:r w:rsidRPr="00677D1F">
        <w:rPr>
          <w:rFonts w:asciiTheme="minorEastAsia" w:hAnsiTheme="minorEastAsia" w:cs="宋体"/>
          <w:color w:val="000000"/>
          <w:kern w:val="0"/>
          <w:sz w:val="24"/>
          <w:szCs w:val="24"/>
        </w:rPr>
        <w:t>GB12348-2008</w:t>
      </w:r>
      <w:r w:rsidRPr="00677D1F">
        <w:rPr>
          <w:rFonts w:asciiTheme="minorEastAsia" w:hAnsiTheme="minorEastAsia" w:cs="宋体" w:hint="eastAsia"/>
          <w:color w:val="000000"/>
          <w:kern w:val="0"/>
          <w:sz w:val="24"/>
          <w:szCs w:val="24"/>
        </w:rPr>
        <w:t>）相关监测规定进行。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）监测时间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监测时间为，分别在昼间和夜间进行监测。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）监测结果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监测结果见表</w:t>
      </w:r>
      <w:r w:rsidRPr="00677D1F">
        <w:rPr>
          <w:rFonts w:asciiTheme="minorEastAsia" w:hAnsiTheme="minorEastAsia" w:cs="宋体"/>
          <w:color w:val="000000"/>
          <w:kern w:val="0"/>
          <w:sz w:val="24"/>
          <w:szCs w:val="24"/>
        </w:rPr>
        <w:t>5.3-1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5.3-1</w:t>
      </w:r>
      <w:r w:rsidRPr="00677D1F">
        <w:rPr>
          <w:rFonts w:ascii="黑体" w:eastAsia="黑体" w:hAnsi="黑体" w:cs="宋体" w:hint="eastAsia"/>
          <w:b/>
          <w:color w:val="000000"/>
          <w:kern w:val="0"/>
          <w:szCs w:val="21"/>
        </w:rPr>
        <w:t>厂界噪声现状监测值和评价结果单位：</w:t>
      </w:r>
      <w:r w:rsidRPr="00677D1F">
        <w:rPr>
          <w:rFonts w:ascii="黑体" w:eastAsia="黑体" w:hAnsi="黑体" w:cs="宋体"/>
          <w:b/>
          <w:color w:val="000000"/>
          <w:kern w:val="0"/>
          <w:szCs w:val="21"/>
        </w:rPr>
        <w:t>dB</w:t>
      </w:r>
      <w:r w:rsidRPr="00677D1F">
        <w:rPr>
          <w:rFonts w:ascii="黑体" w:eastAsia="黑体" w:hAnsi="黑体" w:cs="宋体" w:hint="eastAsia"/>
          <w:b/>
          <w:color w:val="000000"/>
          <w:kern w:val="0"/>
          <w:szCs w:val="21"/>
        </w:rPr>
        <w:t>（</w:t>
      </w:r>
      <w:r w:rsidRPr="00677D1F">
        <w:rPr>
          <w:rFonts w:ascii="黑体" w:eastAsia="黑体" w:hAnsi="黑体" w:cs="宋体"/>
          <w:b/>
          <w:color w:val="000000"/>
          <w:kern w:val="0"/>
          <w:szCs w:val="21"/>
        </w:rPr>
        <w:t>A</w:t>
      </w:r>
      <w:r w:rsidRPr="00677D1F">
        <w:rPr>
          <w:rFonts w:ascii="黑体" w:eastAsia="黑体" w:hAnsi="黑体" w:cs="宋体" w:hint="eastAsia"/>
          <w:b/>
          <w:color w:val="000000"/>
          <w:kern w:val="0"/>
          <w:szCs w:val="21"/>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5.3.2</w:t>
      </w:r>
      <w:r w:rsidRPr="00677D1F">
        <w:rPr>
          <w:rFonts w:ascii="宋体" w:hAnsi="宋体" w:hint="eastAsia"/>
          <w:sz w:val="28"/>
          <w:szCs w:val="28"/>
        </w:rPr>
        <w:t>噪声现状评价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）评价标准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评价区为</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类声环境功能区，评价标准执行《声环境质量标准》（</w:t>
      </w:r>
      <w:r w:rsidRPr="00677D1F">
        <w:rPr>
          <w:rFonts w:asciiTheme="minorEastAsia" w:hAnsiTheme="minorEastAsia" w:cs="宋体"/>
          <w:color w:val="000000"/>
          <w:kern w:val="0"/>
          <w:sz w:val="24"/>
          <w:szCs w:val="24"/>
        </w:rPr>
        <w:t>GB3096-2008</w:t>
      </w:r>
      <w:r w:rsidRPr="00677D1F">
        <w:rPr>
          <w:rFonts w:asciiTheme="minorEastAsia" w:hAnsiTheme="minorEastAsia" w:cs="宋体" w:hint="eastAsia"/>
          <w:color w:val="000000"/>
          <w:kern w:val="0"/>
          <w:sz w:val="24"/>
          <w:szCs w:val="24"/>
        </w:rPr>
        <w:t>）中</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类区相应标准，即：昼间</w:t>
      </w:r>
      <w:r w:rsidRPr="00677D1F">
        <w:rPr>
          <w:rFonts w:asciiTheme="minorEastAsia" w:hAnsiTheme="minorEastAsia" w:cs="宋体"/>
          <w:color w:val="000000"/>
          <w:kern w:val="0"/>
          <w:sz w:val="24"/>
          <w:szCs w:val="24"/>
        </w:rPr>
        <w:t>≤65dB（A）</w:t>
      </w:r>
      <w:r w:rsidRPr="00677D1F">
        <w:rPr>
          <w:rFonts w:asciiTheme="minorEastAsia" w:hAnsiTheme="minorEastAsia" w:cs="宋体" w:hint="eastAsia"/>
          <w:color w:val="000000"/>
          <w:kern w:val="0"/>
          <w:sz w:val="24"/>
          <w:szCs w:val="24"/>
        </w:rPr>
        <w:t>，夜间</w:t>
      </w:r>
      <w:r w:rsidRPr="00677D1F">
        <w:rPr>
          <w:rFonts w:asciiTheme="minorEastAsia" w:hAnsiTheme="minorEastAsia" w:cs="宋体"/>
          <w:color w:val="000000"/>
          <w:kern w:val="0"/>
          <w:sz w:val="24"/>
          <w:szCs w:val="24"/>
        </w:rPr>
        <w:t>≤55dB（A）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）评价方法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采用监测数据与标准限值对比的方法进行声环境质量现状评价。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）评价结果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5.3-1</w:t>
      </w:r>
      <w:r w:rsidRPr="00677D1F">
        <w:rPr>
          <w:rFonts w:asciiTheme="minorEastAsia" w:hAnsiTheme="minorEastAsia" w:cs="宋体" w:hint="eastAsia"/>
          <w:color w:val="000000"/>
          <w:kern w:val="0"/>
          <w:sz w:val="24"/>
          <w:szCs w:val="24"/>
        </w:rPr>
        <w:t>可知，所有监测点位昼、夜连续等效声级均未超过《声环境质量标准》（</w:t>
      </w:r>
      <w:r w:rsidRPr="00677D1F">
        <w:rPr>
          <w:rFonts w:asciiTheme="minorEastAsia" w:hAnsiTheme="minorEastAsia" w:cs="宋体"/>
          <w:color w:val="000000"/>
          <w:kern w:val="0"/>
          <w:sz w:val="24"/>
          <w:szCs w:val="24"/>
        </w:rPr>
        <w:t>GB3096-2008</w:t>
      </w:r>
      <w:r w:rsidRPr="00677D1F">
        <w:rPr>
          <w:rFonts w:asciiTheme="minorEastAsia" w:hAnsiTheme="minorEastAsia" w:cs="宋体" w:hint="eastAsia"/>
          <w:color w:val="000000"/>
          <w:kern w:val="0"/>
          <w:sz w:val="24"/>
          <w:szCs w:val="24"/>
        </w:rPr>
        <w:t>）中</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类区标准限值，本项目所在厂区四周的声环境质量较好。</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5.4</w:t>
      </w:r>
      <w:r w:rsidRPr="00677D1F">
        <w:rPr>
          <w:rFonts w:ascii="宋体" w:hAnsi="宋体" w:hint="eastAsia"/>
          <w:bCs w:val="0"/>
          <w:kern w:val="2"/>
          <w:sz w:val="30"/>
          <w:szCs w:val="30"/>
        </w:rPr>
        <w:t>土壤环境质量现状监测与评价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）现状监测点位与监测项目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收集的土壤监测资料的监测点位为新疆金盛镁业有限公司厂址，具体监测点位见图</w:t>
      </w:r>
      <w:r w:rsidRPr="00677D1F">
        <w:rPr>
          <w:rFonts w:asciiTheme="minorEastAsia" w:hAnsiTheme="minorEastAsia" w:cs="宋体"/>
          <w:color w:val="000000"/>
          <w:kern w:val="0"/>
          <w:sz w:val="24"/>
          <w:szCs w:val="24"/>
        </w:rPr>
        <w:t>2.5-1</w:t>
      </w:r>
      <w:r w:rsidRPr="00677D1F">
        <w:rPr>
          <w:rFonts w:asciiTheme="minorEastAsia" w:hAnsiTheme="minorEastAsia" w:cs="宋体" w:hint="eastAsia"/>
          <w:color w:val="000000"/>
          <w:kern w:val="0"/>
          <w:sz w:val="24"/>
          <w:szCs w:val="24"/>
        </w:rPr>
        <w:t>，监测项目见表</w:t>
      </w:r>
      <w:r w:rsidRPr="00677D1F">
        <w:rPr>
          <w:rFonts w:asciiTheme="minorEastAsia" w:hAnsiTheme="minorEastAsia" w:cs="宋体"/>
          <w:color w:val="000000"/>
          <w:kern w:val="0"/>
          <w:sz w:val="24"/>
          <w:szCs w:val="24"/>
        </w:rPr>
        <w:t>5.4-1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表5.4-1土壤现状监测项目</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w:t>
      </w:r>
      <w:r w:rsidRPr="00677D1F">
        <w:rPr>
          <w:rFonts w:ascii="Times New Roman" w:eastAsia="宋体" w:hAnsi="Times New Roman" w:cs="Times New Roman"/>
          <w:color w:val="000000"/>
          <w:kern w:val="0"/>
          <w:sz w:val="24"/>
          <w:szCs w:val="24"/>
        </w:rPr>
        <w:t>2</w:t>
      </w:r>
      <w:r w:rsidRPr="00677D1F">
        <w:rPr>
          <w:rFonts w:ascii="宋体" w:eastAsia="宋体" w:hAnsi="宋体" w:cs="宋体" w:hint="eastAsia"/>
          <w:color w:val="000000"/>
          <w:kern w:val="0"/>
          <w:sz w:val="24"/>
          <w:szCs w:val="24"/>
        </w:rPr>
        <w:t>）监测方法</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宋体" w:eastAsia="宋体" w:hAnsi="宋体" w:cs="宋体" w:hint="eastAsia"/>
          <w:color w:val="000000"/>
          <w:kern w:val="0"/>
          <w:sz w:val="24"/>
          <w:szCs w:val="24"/>
        </w:rPr>
        <w:t>监测方法见表</w:t>
      </w:r>
      <w:r w:rsidRPr="00677D1F">
        <w:rPr>
          <w:rFonts w:ascii="Times New Roman" w:eastAsia="宋体" w:hAnsi="Times New Roman" w:cs="Times New Roman"/>
          <w:color w:val="000000"/>
          <w:kern w:val="0"/>
          <w:sz w:val="24"/>
          <w:szCs w:val="24"/>
        </w:rPr>
        <w:t>5.4-2</w:t>
      </w:r>
      <w:r w:rsidRPr="00677D1F">
        <w:rPr>
          <w:rFonts w:ascii="宋体" w:eastAsia="宋体" w:hAnsi="宋体"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表5.4-2土壤监测方法</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）现状评价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评价标准采用《土壤环境质量标准》（</w:t>
      </w:r>
      <w:r w:rsidRPr="00677D1F">
        <w:rPr>
          <w:rFonts w:asciiTheme="minorEastAsia" w:hAnsiTheme="minorEastAsia" w:cs="宋体"/>
          <w:color w:val="000000"/>
          <w:kern w:val="0"/>
          <w:sz w:val="24"/>
          <w:szCs w:val="24"/>
        </w:rPr>
        <w:t>GB15618</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1995</w:t>
      </w:r>
      <w:r w:rsidRPr="00677D1F">
        <w:rPr>
          <w:rFonts w:asciiTheme="minorEastAsia" w:hAnsiTheme="minorEastAsia" w:cs="宋体" w:hint="eastAsia"/>
          <w:color w:val="000000"/>
          <w:kern w:val="0"/>
          <w:sz w:val="24"/>
          <w:szCs w:val="24"/>
        </w:rPr>
        <w:t>）中的二级标准。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评价方法采用单因子指数法。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Pij:</w:t>
      </w:r>
      <w:r w:rsidRPr="00677D1F">
        <w:rPr>
          <w:rFonts w:asciiTheme="minorEastAsia" w:hAnsiTheme="minorEastAsia" w:cs="宋体" w:hint="eastAsia"/>
          <w:color w:val="000000"/>
          <w:kern w:val="0"/>
          <w:sz w:val="24"/>
          <w:szCs w:val="24"/>
        </w:rPr>
        <w:t>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种污染物在第</w:t>
      </w:r>
      <w:r w:rsidRPr="00677D1F">
        <w:rPr>
          <w:rFonts w:asciiTheme="minorEastAsia" w:hAnsiTheme="minorEastAsia" w:cs="宋体"/>
          <w:color w:val="000000"/>
          <w:kern w:val="0"/>
          <w:sz w:val="24"/>
          <w:szCs w:val="24"/>
        </w:rPr>
        <w:t>j</w:t>
      </w:r>
      <w:r w:rsidRPr="00677D1F">
        <w:rPr>
          <w:rFonts w:asciiTheme="minorEastAsia" w:hAnsiTheme="minorEastAsia" w:cs="宋体" w:hint="eastAsia"/>
          <w:color w:val="000000"/>
          <w:kern w:val="0"/>
          <w:sz w:val="24"/>
          <w:szCs w:val="24"/>
        </w:rPr>
        <w:t>点的标准指数；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Cij:</w:t>
      </w:r>
      <w:r w:rsidRPr="00677D1F">
        <w:rPr>
          <w:rFonts w:asciiTheme="minorEastAsia" w:hAnsiTheme="minorEastAsia" w:cs="宋体" w:hint="eastAsia"/>
          <w:color w:val="000000"/>
          <w:kern w:val="0"/>
          <w:sz w:val="24"/>
          <w:szCs w:val="24"/>
        </w:rPr>
        <w:t>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种污染物在第</w:t>
      </w:r>
      <w:r w:rsidRPr="00677D1F">
        <w:rPr>
          <w:rFonts w:asciiTheme="minorEastAsia" w:hAnsiTheme="minorEastAsia" w:cs="宋体"/>
          <w:color w:val="000000"/>
          <w:kern w:val="0"/>
          <w:sz w:val="24"/>
          <w:szCs w:val="24"/>
        </w:rPr>
        <w:t>j</w:t>
      </w:r>
      <w:r w:rsidRPr="00677D1F">
        <w:rPr>
          <w:rFonts w:asciiTheme="minorEastAsia" w:hAnsiTheme="minorEastAsia" w:cs="宋体" w:hint="eastAsia"/>
          <w:color w:val="000000"/>
          <w:kern w:val="0"/>
          <w:sz w:val="24"/>
          <w:szCs w:val="24"/>
        </w:rPr>
        <w:t>点的监测值，</w:t>
      </w:r>
      <w:r w:rsidRPr="00677D1F">
        <w:rPr>
          <w:rFonts w:asciiTheme="minorEastAsia" w:hAnsiTheme="minorEastAsia" w:cs="宋体"/>
          <w:color w:val="000000"/>
          <w:kern w:val="0"/>
          <w:sz w:val="24"/>
          <w:szCs w:val="24"/>
        </w:rPr>
        <w:t>mg/m3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CSj:</w:t>
      </w:r>
      <w:r w:rsidRPr="00677D1F">
        <w:rPr>
          <w:rFonts w:asciiTheme="minorEastAsia" w:hAnsiTheme="minorEastAsia" w:cs="宋体" w:hint="eastAsia"/>
          <w:color w:val="000000"/>
          <w:kern w:val="0"/>
          <w:sz w:val="24"/>
          <w:szCs w:val="24"/>
        </w:rPr>
        <w:t>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种污染物的评价标准，</w:t>
      </w:r>
      <w:r w:rsidRPr="00677D1F">
        <w:rPr>
          <w:rFonts w:asciiTheme="minorEastAsia" w:hAnsiTheme="minorEastAsia" w:cs="宋体"/>
          <w:color w:val="000000"/>
          <w:kern w:val="0"/>
          <w:sz w:val="24"/>
          <w:szCs w:val="24"/>
        </w:rPr>
        <w:t>mg/m3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评价结果列于表</w:t>
      </w:r>
      <w:r w:rsidRPr="00677D1F">
        <w:rPr>
          <w:rFonts w:asciiTheme="minorEastAsia" w:hAnsiTheme="minorEastAsia" w:cs="宋体"/>
          <w:color w:val="000000"/>
          <w:kern w:val="0"/>
          <w:sz w:val="24"/>
          <w:szCs w:val="24"/>
        </w:rPr>
        <w:t>5.4-3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表5.4-3土壤监测数据评价单位：mg/kg，pH无量纲</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5.4-3</w:t>
      </w:r>
      <w:r w:rsidRPr="00677D1F">
        <w:rPr>
          <w:rFonts w:asciiTheme="minorEastAsia" w:hAnsiTheme="minorEastAsia" w:cs="宋体" w:hint="eastAsia"/>
          <w:color w:val="000000"/>
          <w:kern w:val="0"/>
          <w:sz w:val="24"/>
          <w:szCs w:val="24"/>
        </w:rPr>
        <w:t>可知，各指标均能满足《土壤环境质量标准》（</w:t>
      </w:r>
      <w:r w:rsidRPr="00677D1F">
        <w:rPr>
          <w:rFonts w:asciiTheme="minorEastAsia" w:hAnsiTheme="minorEastAsia" w:cs="宋体"/>
          <w:color w:val="000000"/>
          <w:kern w:val="0"/>
          <w:sz w:val="24"/>
          <w:szCs w:val="24"/>
        </w:rPr>
        <w:t>GB15618-1995</w:t>
      </w:r>
      <w:r w:rsidRPr="00677D1F">
        <w:rPr>
          <w:rFonts w:asciiTheme="minorEastAsia" w:hAnsiTheme="minorEastAsia" w:cs="宋体" w:hint="eastAsia"/>
          <w:color w:val="000000"/>
          <w:kern w:val="0"/>
          <w:sz w:val="24"/>
          <w:szCs w:val="24"/>
        </w:rPr>
        <w:t>）二级标准的要求。</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5.5</w:t>
      </w:r>
      <w:r w:rsidRPr="00677D1F">
        <w:rPr>
          <w:rFonts w:ascii="宋体" w:hAnsi="宋体" w:hint="eastAsia"/>
          <w:bCs w:val="0"/>
          <w:kern w:val="2"/>
          <w:sz w:val="30"/>
          <w:szCs w:val="30"/>
        </w:rPr>
        <w:t>现状评价结果汇总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（1）大气环境现状评价：在</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日监测期内，</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个监测点，除了</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外，</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日均值均满足《环境空气质量标准》</w:t>
      </w:r>
      <w:r w:rsidRPr="00677D1F">
        <w:rPr>
          <w:rFonts w:asciiTheme="minorEastAsia" w:hAnsiTheme="minorEastAsia" w:cs="宋体"/>
          <w:color w:val="000000"/>
          <w:kern w:val="0"/>
          <w:sz w:val="24"/>
          <w:szCs w:val="24"/>
        </w:rPr>
        <w:t>（GB</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3095-2012）</w:t>
      </w:r>
      <w:r w:rsidRPr="00677D1F">
        <w:rPr>
          <w:rFonts w:asciiTheme="minorEastAsia" w:hAnsiTheme="minorEastAsia" w:cs="宋体" w:hint="eastAsia"/>
          <w:color w:val="000000"/>
          <w:kern w:val="0"/>
          <w:sz w:val="24"/>
          <w:szCs w:val="24"/>
        </w:rPr>
        <w:t>及修改单通知中的二级标准要求。特征污染物的一次小时浓度最大值满足《工业企业设计卫生标准》</w:t>
      </w:r>
      <w:r w:rsidRPr="00677D1F">
        <w:rPr>
          <w:rFonts w:asciiTheme="minorEastAsia" w:hAnsiTheme="minorEastAsia" w:cs="宋体"/>
          <w:color w:val="000000"/>
          <w:kern w:val="0"/>
          <w:sz w:val="24"/>
          <w:szCs w:val="24"/>
        </w:rPr>
        <w:t>（TJ</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36-79）</w:t>
      </w:r>
      <w:r w:rsidRPr="00677D1F">
        <w:rPr>
          <w:rFonts w:asciiTheme="minorEastAsia" w:hAnsiTheme="minorEastAsia" w:cs="宋体" w:hint="eastAsia"/>
          <w:color w:val="000000"/>
          <w:kern w:val="0"/>
          <w:sz w:val="24"/>
          <w:szCs w:val="24"/>
        </w:rPr>
        <w:t>中标准。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（2）声环境现状评价：所有测点满足《声环境质量标准》（</w:t>
      </w:r>
      <w:r w:rsidRPr="00677D1F">
        <w:rPr>
          <w:rFonts w:asciiTheme="minorEastAsia" w:hAnsiTheme="minorEastAsia" w:cs="宋体"/>
          <w:color w:val="000000"/>
          <w:kern w:val="0"/>
          <w:sz w:val="24"/>
          <w:szCs w:val="24"/>
        </w:rPr>
        <w:t>GB</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3096-2008</w:t>
      </w:r>
      <w:r w:rsidRPr="00677D1F">
        <w:rPr>
          <w:rFonts w:asciiTheme="minorEastAsia" w:hAnsiTheme="minorEastAsia" w:cs="宋体" w:hint="eastAsia"/>
          <w:color w:val="000000"/>
          <w:kern w:val="0"/>
          <w:sz w:val="24"/>
          <w:szCs w:val="24"/>
        </w:rPr>
        <w:t>）中的</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类标准要求。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（3）地下水环境现状评价：项目区域地下水监测因子总硬度、</w:t>
      </w:r>
      <w:r w:rsidRPr="00677D1F">
        <w:rPr>
          <w:rFonts w:asciiTheme="minorEastAsia" w:hAnsiTheme="minorEastAsia" w:cs="宋体"/>
          <w:color w:val="000000"/>
          <w:kern w:val="0"/>
          <w:sz w:val="24"/>
          <w:szCs w:val="24"/>
        </w:rPr>
        <w:t>COD</w:t>
      </w:r>
      <w:r w:rsidRPr="00677D1F">
        <w:rPr>
          <w:rFonts w:asciiTheme="minorEastAsia" w:hAnsiTheme="minorEastAsia" w:cs="宋体" w:hint="eastAsia"/>
          <w:color w:val="000000"/>
          <w:kern w:val="0"/>
          <w:sz w:val="24"/>
          <w:szCs w:val="24"/>
          <w:vertAlign w:val="subscript"/>
        </w:rPr>
        <w:t>M</w:t>
      </w:r>
      <w:r w:rsidRPr="00677D1F">
        <w:rPr>
          <w:rFonts w:asciiTheme="minorEastAsia" w:hAnsiTheme="minorEastAsia" w:cs="宋体"/>
          <w:color w:val="000000"/>
          <w:kern w:val="0"/>
          <w:sz w:val="24"/>
          <w:szCs w:val="24"/>
          <w:vertAlign w:val="subscript"/>
        </w:rPr>
        <w:t>n</w:t>
      </w:r>
      <w:r w:rsidRPr="00677D1F">
        <w:rPr>
          <w:rFonts w:asciiTheme="minorEastAsia" w:hAnsiTheme="minorEastAsia" w:cs="宋体" w:hint="eastAsia"/>
          <w:color w:val="000000"/>
          <w:kern w:val="0"/>
          <w:sz w:val="24"/>
          <w:szCs w:val="24"/>
        </w:rPr>
        <w:t>、氯化物、硫酸盐、硝酸盐、总大肠菌群超标，其余监测因子满足《地下水环境质量标准》（</w:t>
      </w:r>
      <w:r w:rsidRPr="00677D1F">
        <w:rPr>
          <w:rFonts w:asciiTheme="minorEastAsia" w:hAnsiTheme="minorEastAsia" w:cs="宋体"/>
          <w:color w:val="000000"/>
          <w:kern w:val="0"/>
          <w:sz w:val="24"/>
          <w:szCs w:val="24"/>
        </w:rPr>
        <w:t>GB/T</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14848-93</w:t>
      </w:r>
      <w:r w:rsidRPr="00677D1F">
        <w:rPr>
          <w:rFonts w:asciiTheme="minorEastAsia" w:hAnsiTheme="minorEastAsia" w:cs="宋体" w:hint="eastAsia"/>
          <w:color w:val="000000"/>
          <w:kern w:val="0"/>
          <w:sz w:val="24"/>
          <w:szCs w:val="24"/>
        </w:rPr>
        <w:t>）Ⅲ类标准限值。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（4）土壤环境现状评价：各指标均能满足《土壤环境质量标准》（</w:t>
      </w:r>
      <w:r w:rsidRPr="00677D1F">
        <w:rPr>
          <w:rFonts w:asciiTheme="minorEastAsia" w:hAnsiTheme="minorEastAsia" w:cs="宋体"/>
          <w:color w:val="000000"/>
          <w:kern w:val="0"/>
          <w:sz w:val="24"/>
          <w:szCs w:val="24"/>
        </w:rPr>
        <w:t>GB</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15618-1995</w:t>
      </w:r>
      <w:r w:rsidRPr="00677D1F">
        <w:rPr>
          <w:rFonts w:asciiTheme="minorEastAsia" w:hAnsiTheme="minorEastAsia" w:cs="宋体" w:hint="eastAsia"/>
          <w:color w:val="000000"/>
          <w:kern w:val="0"/>
          <w:sz w:val="24"/>
          <w:szCs w:val="24"/>
        </w:rPr>
        <w:t>）二级标准的要求。</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5.6</w:t>
      </w:r>
      <w:r w:rsidRPr="00677D1F">
        <w:rPr>
          <w:rFonts w:ascii="宋体" w:hAnsi="宋体" w:hint="eastAsia"/>
          <w:bCs w:val="0"/>
          <w:kern w:val="2"/>
          <w:sz w:val="30"/>
          <w:szCs w:val="30"/>
        </w:rPr>
        <w:t>区域污染源调查与评价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区域污染源调查结果见</w:t>
      </w:r>
      <w:r w:rsidRPr="00677D1F">
        <w:rPr>
          <w:rFonts w:asciiTheme="minorEastAsia" w:hAnsiTheme="minorEastAsia" w:cs="宋体"/>
          <w:color w:val="000000"/>
          <w:kern w:val="0"/>
          <w:sz w:val="24"/>
          <w:szCs w:val="24"/>
        </w:rPr>
        <w:t>4.4.7.6</w:t>
      </w:r>
      <w:r w:rsidRPr="00677D1F">
        <w:rPr>
          <w:rFonts w:asciiTheme="minorEastAsia" w:hAnsiTheme="minorEastAsia" w:cs="宋体" w:hint="eastAsia"/>
          <w:color w:val="000000"/>
          <w:kern w:val="0"/>
          <w:sz w:val="24"/>
          <w:szCs w:val="24"/>
        </w:rPr>
        <w:t>章节内容。</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outlineLvl w:val="0"/>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6 施工期环境影响及环境保护措施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施工过程可分为土方挖掘、主体结构和内外装修三个主要阶段。分析本项目的施工内容，可以看出施工期的污染源主要有生态破坏、施工扬尘、噪声、施工废水和固体废物。工程建设完成后，除永久性占地为持续性影响外，其它影响仅在施工期内存在，并且影响范围小，时间短。</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6.1</w:t>
      </w:r>
      <w:r w:rsidRPr="00677D1F">
        <w:rPr>
          <w:rFonts w:ascii="宋体" w:hAnsi="宋体" w:hint="eastAsia"/>
          <w:bCs w:val="0"/>
          <w:kern w:val="2"/>
          <w:sz w:val="30"/>
          <w:szCs w:val="30"/>
        </w:rPr>
        <w:t xml:space="preserve"> 施工期大气环境影响分析及措施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6.1.1</w:t>
      </w:r>
      <w:r w:rsidRPr="00677D1F">
        <w:rPr>
          <w:rFonts w:ascii="宋体" w:hAnsi="宋体" w:hint="eastAsia"/>
          <w:sz w:val="28"/>
          <w:szCs w:val="28"/>
        </w:rPr>
        <w:t xml:space="preserve"> 施工扬尘影响分析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扬尘是项目施工期间影响环境空气的主要污染物，来源于多项粉尘无组织源：建筑场地的平整清理，土方挖掘填埋，物料堆存，建筑材料的装卸、搬运、使用，以及运料车辆的出入等，都易产生扬尘污染。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在施工运输中，由于开挖土方后，致使大片土地裸露和土方堆放，建筑材料装卸以及运输车辆产生粉尘，这些粉尘随风扩散和飘动，造成施工扬尘。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施工扬尘是施工活动的一个重要污染源，是人们十分关注的问题。施工扬尘的大小随施工季节、施工管理等不同差别甚大，影响范围可达</w:t>
      </w:r>
      <w:r w:rsidRPr="00677D1F">
        <w:rPr>
          <w:rFonts w:asciiTheme="minorEastAsia" w:hAnsiTheme="minorEastAsia" w:cs="宋体"/>
          <w:color w:val="000000"/>
          <w:kern w:val="0"/>
          <w:sz w:val="24"/>
          <w:szCs w:val="24"/>
        </w:rPr>
        <w:t>150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300m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通过类比调查，在一般气象条件下，平均风速为</w:t>
      </w:r>
      <w:r w:rsidRPr="00677D1F">
        <w:rPr>
          <w:rFonts w:asciiTheme="minorEastAsia" w:hAnsiTheme="minorEastAsia" w:cs="宋体"/>
          <w:color w:val="000000"/>
          <w:kern w:val="0"/>
          <w:sz w:val="24"/>
          <w:szCs w:val="24"/>
        </w:rPr>
        <w:t>2.6m/s</w:t>
      </w:r>
      <w:r w:rsidRPr="00677D1F">
        <w:rPr>
          <w:rFonts w:asciiTheme="minorEastAsia" w:hAnsiTheme="minorEastAsia" w:cs="宋体" w:hint="eastAsia"/>
          <w:color w:val="000000"/>
          <w:kern w:val="0"/>
          <w:sz w:val="24"/>
          <w:szCs w:val="24"/>
        </w:rPr>
        <w:t>时，施工扬尘污染有如下结果：建筑工地内</w:t>
      </w:r>
      <w:r w:rsidRPr="00677D1F">
        <w:rPr>
          <w:rFonts w:asciiTheme="minorEastAsia" w:hAnsiTheme="minorEastAsia" w:cs="宋体"/>
          <w:color w:val="000000"/>
          <w:kern w:val="0"/>
          <w:sz w:val="24"/>
          <w:szCs w:val="24"/>
        </w:rPr>
        <w:t>TSP</w:t>
      </w:r>
      <w:r w:rsidRPr="00677D1F">
        <w:rPr>
          <w:rFonts w:asciiTheme="minorEastAsia" w:hAnsiTheme="minorEastAsia" w:cs="宋体" w:hint="eastAsia"/>
          <w:color w:val="000000"/>
          <w:kern w:val="0"/>
          <w:sz w:val="24"/>
          <w:szCs w:val="24"/>
        </w:rPr>
        <w:t>浓度为上风向对照点的</w:t>
      </w:r>
      <w:r w:rsidRPr="00677D1F">
        <w:rPr>
          <w:rFonts w:asciiTheme="minorEastAsia" w:hAnsiTheme="minorEastAsia" w:cs="宋体"/>
          <w:color w:val="000000"/>
          <w:kern w:val="0"/>
          <w:sz w:val="24"/>
          <w:szCs w:val="24"/>
        </w:rPr>
        <w:t>1.5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2.3</w:t>
      </w:r>
      <w:r w:rsidRPr="00677D1F">
        <w:rPr>
          <w:rFonts w:asciiTheme="minorEastAsia" w:hAnsiTheme="minorEastAsia" w:cs="宋体" w:hint="eastAsia"/>
          <w:color w:val="000000"/>
          <w:kern w:val="0"/>
          <w:sz w:val="24"/>
          <w:szCs w:val="24"/>
        </w:rPr>
        <w:t>倍。建筑工地扬尘影响的下风向</w:t>
      </w:r>
      <w:r w:rsidRPr="00677D1F">
        <w:rPr>
          <w:rFonts w:asciiTheme="minorEastAsia" w:hAnsiTheme="minorEastAsia" w:cs="宋体"/>
          <w:color w:val="000000"/>
          <w:kern w:val="0"/>
          <w:sz w:val="24"/>
          <w:szCs w:val="24"/>
        </w:rPr>
        <w:t>150m</w:t>
      </w:r>
      <w:r w:rsidRPr="00677D1F">
        <w:rPr>
          <w:rFonts w:asciiTheme="minorEastAsia" w:hAnsiTheme="minorEastAsia" w:cs="宋体" w:hint="eastAsia"/>
          <w:color w:val="000000"/>
          <w:kern w:val="0"/>
          <w:sz w:val="24"/>
          <w:szCs w:val="24"/>
        </w:rPr>
        <w:t>处，被影响地区</w:t>
      </w:r>
      <w:r w:rsidRPr="00677D1F">
        <w:rPr>
          <w:rFonts w:asciiTheme="minorEastAsia" w:hAnsiTheme="minorEastAsia" w:cs="宋体"/>
          <w:color w:val="000000"/>
          <w:kern w:val="0"/>
          <w:sz w:val="24"/>
          <w:szCs w:val="24"/>
        </w:rPr>
        <w:t>TSP</w:t>
      </w:r>
      <w:r w:rsidRPr="00677D1F">
        <w:rPr>
          <w:rFonts w:asciiTheme="minorEastAsia" w:hAnsiTheme="minorEastAsia" w:cs="宋体" w:hint="eastAsia"/>
          <w:color w:val="000000"/>
          <w:kern w:val="0"/>
          <w:sz w:val="24"/>
          <w:szCs w:val="24"/>
        </w:rPr>
        <w:t>平均浓度为</w:t>
      </w:r>
      <w:r w:rsidRPr="00677D1F">
        <w:rPr>
          <w:rFonts w:asciiTheme="minorEastAsia" w:hAnsiTheme="minorEastAsia" w:cs="宋体"/>
          <w:color w:val="000000"/>
          <w:kern w:val="0"/>
          <w:sz w:val="24"/>
          <w:szCs w:val="24"/>
        </w:rPr>
        <w:t>0.49mg/Nm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左右，相当于大气环境质量标准的</w:t>
      </w:r>
      <w:r w:rsidRPr="00677D1F">
        <w:rPr>
          <w:rFonts w:asciiTheme="minorEastAsia" w:hAnsiTheme="minorEastAsia" w:cs="宋体"/>
          <w:color w:val="000000"/>
          <w:kern w:val="0"/>
          <w:sz w:val="24"/>
          <w:szCs w:val="24"/>
        </w:rPr>
        <w:t>1.6</w:t>
      </w:r>
      <w:r w:rsidRPr="00677D1F">
        <w:rPr>
          <w:rFonts w:asciiTheme="minorEastAsia" w:hAnsiTheme="minorEastAsia" w:cs="宋体" w:hint="eastAsia"/>
          <w:color w:val="000000"/>
          <w:kern w:val="0"/>
          <w:sz w:val="24"/>
          <w:szCs w:val="24"/>
        </w:rPr>
        <w:t>倍。围栏对减少施工扬尘污染有一定作用，风速为</w:t>
      </w:r>
      <w:r w:rsidRPr="00677D1F">
        <w:rPr>
          <w:rFonts w:asciiTheme="minorEastAsia" w:hAnsiTheme="minorEastAsia" w:cs="宋体"/>
          <w:color w:val="000000"/>
          <w:kern w:val="0"/>
          <w:sz w:val="24"/>
          <w:szCs w:val="24"/>
        </w:rPr>
        <w:t>0.5m/s</w:t>
      </w:r>
      <w:r w:rsidRPr="00677D1F">
        <w:rPr>
          <w:rFonts w:asciiTheme="minorEastAsia" w:hAnsiTheme="minorEastAsia" w:cs="宋体" w:hint="eastAsia"/>
          <w:color w:val="000000"/>
          <w:kern w:val="0"/>
          <w:sz w:val="24"/>
          <w:szCs w:val="24"/>
        </w:rPr>
        <w:t>时，可使影响距离缩短</w:t>
      </w:r>
      <w:r w:rsidRPr="00677D1F">
        <w:rPr>
          <w:rFonts w:asciiTheme="minorEastAsia" w:hAnsiTheme="minorEastAsia" w:cs="宋体"/>
          <w:color w:val="000000"/>
          <w:kern w:val="0"/>
          <w:sz w:val="24"/>
          <w:szCs w:val="24"/>
        </w:rPr>
        <w:t>40%</w:t>
      </w:r>
      <w:r w:rsidRPr="00677D1F">
        <w:rPr>
          <w:rFonts w:asciiTheme="minorEastAsia" w:hAnsiTheme="minorEastAsia" w:cs="宋体" w:hint="eastAsia"/>
          <w:color w:val="000000"/>
          <w:kern w:val="0"/>
          <w:sz w:val="24"/>
          <w:szCs w:val="24"/>
        </w:rPr>
        <w:t>左右。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本工程施工期对大气的影响主要是施工和运输产生的粉尘和二次扬尘。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施工过程中大量的挖土堆置施工场地。工程所在区域风速较大，且堆置的土较为疏松，容易引起扬尘，给周围大气环境带来较大影响。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施工运输车辆在道路上行驶会引起扬尘，运送粘性土料的车辆如不遮盖也会产生扬尘。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上述扬尘对大气环境的影响虽然是暂时的，但局部污染状况是较为严重的，必须引起重视，采取道路喷洒水或遮盖措施减少其影响。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6.1.2</w:t>
      </w:r>
      <w:r w:rsidRPr="00677D1F">
        <w:rPr>
          <w:rFonts w:ascii="宋体" w:hAnsi="宋体" w:hint="eastAsia"/>
          <w:sz w:val="28"/>
          <w:szCs w:val="28"/>
        </w:rPr>
        <w:t>施工期大气环保对策措施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本项目施工期大气环保对策措施依据《建筑施工现场环境与卫生标准》（</w:t>
      </w:r>
      <w:r w:rsidRPr="00677D1F">
        <w:rPr>
          <w:rFonts w:asciiTheme="minorEastAsia" w:hAnsiTheme="minorEastAsia" w:cs="宋体"/>
          <w:color w:val="000000"/>
          <w:kern w:val="0"/>
          <w:sz w:val="24"/>
          <w:szCs w:val="24"/>
        </w:rPr>
        <w:t>JGJ</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146-2004</w:t>
      </w:r>
      <w:r w:rsidRPr="00677D1F">
        <w:rPr>
          <w:rFonts w:asciiTheme="minorEastAsia" w:hAnsiTheme="minorEastAsia" w:cs="宋体" w:hint="eastAsia"/>
          <w:color w:val="000000"/>
          <w:kern w:val="0"/>
          <w:sz w:val="24"/>
          <w:szCs w:val="24"/>
        </w:rPr>
        <w:t>）中</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环境保护</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强制性条文有关内容，其内容如下：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）大风天禁止施工作业，同时散体材料装卸必须采取防风遮挡等降尘措施。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）未铺装的施工道路在干燥天气及大风条件下极易起尘，因此要求及时洒水降尘，缩短扬尘污染的时段和污染范围，最大限度地减少起尘量；同时对施工道路进行定期养护、清扫，确保路况良好。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）对施工临时堆放的土方，应采取防护措施，如加盖保护网、喷淋保湿等，防止扬尘污染。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）施工单位必须选用符合国家卫生防护标准的施工机械设备和运输工具，确保废气排放符合国家有关标准的规定。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）车辆及施工器械在施工过程中应尽量避免扰动原始地面、碾压周围地区的植被，不得随意开辟便道，严禁车辆下道行驶，并对施工集中区进行喷洒作业，以减少大气中浮尘及扬尘来源，减轻对动植物的干扰。</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6.2</w:t>
      </w:r>
      <w:r w:rsidRPr="00677D1F">
        <w:rPr>
          <w:rFonts w:ascii="宋体" w:hAnsi="宋体" w:hint="eastAsia"/>
          <w:bCs w:val="0"/>
          <w:kern w:val="2"/>
          <w:sz w:val="30"/>
          <w:szCs w:val="30"/>
        </w:rPr>
        <w:t xml:space="preserve"> 施工期水环境影响分析及措施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6.2.1</w:t>
      </w:r>
      <w:r w:rsidRPr="00677D1F">
        <w:rPr>
          <w:rFonts w:ascii="宋体" w:hAnsi="宋体" w:hint="eastAsia"/>
          <w:sz w:val="28"/>
          <w:szCs w:val="28"/>
        </w:rPr>
        <w:t xml:space="preserve"> 施工期废水影响分析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施工期废水主要来自施工拌料、清洗机械和车辆产生的废水以及生活污水。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一般施工活动产生的废水主要污染物为泥沙悬浮颗粒物和矿物油，生活污水含有</w:t>
      </w:r>
      <w:r w:rsidRPr="00677D1F">
        <w:rPr>
          <w:rFonts w:asciiTheme="minorEastAsia" w:hAnsiTheme="minorEastAsia" w:cs="宋体"/>
          <w:color w:val="000000"/>
          <w:kern w:val="0"/>
          <w:sz w:val="24"/>
          <w:szCs w:val="24"/>
        </w:rPr>
        <w:t>BOD</w:t>
      </w:r>
      <w:r w:rsidRPr="00677D1F">
        <w:rPr>
          <w:rFonts w:asciiTheme="minorEastAsia" w:hAnsiTheme="minorEastAsia" w:cs="宋体"/>
          <w:color w:val="000000"/>
          <w:kern w:val="0"/>
          <w:sz w:val="24"/>
          <w:szCs w:val="24"/>
          <w:vertAlign w:val="subscript"/>
        </w:rPr>
        <w:t>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COD</w:t>
      </w:r>
      <w:r w:rsidRPr="00677D1F">
        <w:rPr>
          <w:rFonts w:asciiTheme="minorEastAsia" w:hAnsiTheme="minorEastAsia" w:cs="宋体" w:hint="eastAsia"/>
          <w:color w:val="000000"/>
          <w:kern w:val="0"/>
          <w:sz w:val="24"/>
          <w:szCs w:val="24"/>
        </w:rPr>
        <w:t>和悬浮物。在施工生活区内应设置简易厕所和化粪池，对施工住地的食堂、浴室及粪便污水进行处理，使污水在池中充分停留消化，上清液回用；施工机械维修过程中产生的含油污水可集中至集油池，通过移动式油处理设备处理后达标后排入污水池；施工过程中产生的泥浆水应集中经沉淀池沉淀后排入污水池，由于目前施工场地内尚无排水设施，因此在施工期间应在施工场地内建一座小型污水池，并作防渗处理，各种污水处理后排入污水池中，回用于施工要求不高的场所或</w:t>
      </w:r>
      <w:r w:rsidRPr="00677D1F">
        <w:rPr>
          <w:rFonts w:asciiTheme="minorEastAsia" w:hAnsiTheme="minorEastAsia" w:cs="宋体" w:hint="eastAsia"/>
          <w:color w:val="000000"/>
          <w:kern w:val="0"/>
          <w:sz w:val="24"/>
          <w:szCs w:val="24"/>
        </w:rPr>
        <w:lastRenderedPageBreak/>
        <w:t>自然蒸发。厂址区地处内陆干旱区，干燥、蒸发快，会消纳部分污水，待施工期结束后对临时储存池进行清理，与建筑垃圾一同外运。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6.2.2</w:t>
      </w:r>
      <w:r w:rsidRPr="00677D1F">
        <w:rPr>
          <w:rFonts w:ascii="宋体" w:hAnsi="宋体" w:hint="eastAsia"/>
          <w:sz w:val="28"/>
          <w:szCs w:val="28"/>
        </w:rPr>
        <w:t xml:space="preserve"> 施工废水防治措施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施工期由于施工人员多，生活用水量较大，为了防止建筑施工对周围地下水体产生污染，建设单位应与施工单位密切配合，采取以下措施：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）定期清洁建筑施工机械表面不必要的润滑油及其它油废，对废油应妥善处置；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）加强施工机械设备的维修保养，避免在施工过程中燃料油的跑、冒、滴、漏；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）不得随意在施工区域内冲洗汽车，对施工机械进行检修和清洗时必须定点，检修和清洗场地必须经水泥硬化；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）施工场地内建</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座小型污水池收集各类污水，并作防渗处理。</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6.3</w:t>
      </w:r>
      <w:r w:rsidRPr="00677D1F">
        <w:rPr>
          <w:rFonts w:ascii="宋体" w:hAnsi="宋体" w:hint="eastAsia"/>
          <w:bCs w:val="0"/>
          <w:kern w:val="2"/>
          <w:sz w:val="30"/>
          <w:szCs w:val="30"/>
        </w:rPr>
        <w:t>施工期声环境影响分析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拟建项目施工期会对周围产生噪声影响。由于拟建工程地址位于规划的工业区内，距离人群较远。因此，施工期产生的机械噪声对居民的日常生活不产生影响。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6.3.1</w:t>
      </w:r>
      <w:r w:rsidRPr="00677D1F">
        <w:rPr>
          <w:rFonts w:ascii="宋体" w:hAnsi="宋体" w:hint="eastAsia"/>
          <w:sz w:val="28"/>
          <w:szCs w:val="28"/>
        </w:rPr>
        <w:t xml:space="preserve"> 噪声源源强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施工中的噪声主要来源于施工机械设备，大多为不连续性噪声。施工中的主要设备噪声见表</w:t>
      </w:r>
      <w:r w:rsidRPr="00677D1F">
        <w:rPr>
          <w:rFonts w:asciiTheme="minorEastAsia" w:hAnsiTheme="minorEastAsia" w:cs="宋体"/>
          <w:color w:val="000000"/>
          <w:kern w:val="0"/>
          <w:sz w:val="24"/>
          <w:szCs w:val="24"/>
        </w:rPr>
        <w:t>6.3-1</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表6.3-1施工期主要设备噪声源强</w:t>
      </w:r>
    </w:p>
    <w:tbl>
      <w:tblPr>
        <w:tblStyle w:val="aa"/>
        <w:tblW w:w="9072" w:type="dxa"/>
        <w:jc w:val="center"/>
        <w:tblLayout w:type="fixed"/>
        <w:tblLook w:val="04A0" w:firstRow="1" w:lastRow="0" w:firstColumn="1" w:lastColumn="0" w:noHBand="0" w:noVBand="1"/>
      </w:tblPr>
      <w:tblGrid>
        <w:gridCol w:w="1318"/>
        <w:gridCol w:w="3049"/>
        <w:gridCol w:w="3282"/>
        <w:gridCol w:w="1423"/>
      </w:tblGrid>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序号</w:t>
            </w:r>
          </w:p>
        </w:tc>
        <w:tc>
          <w:tcPr>
            <w:tcW w:w="3049"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设备名称</w:t>
            </w:r>
          </w:p>
        </w:tc>
        <w:tc>
          <w:tcPr>
            <w:tcW w:w="3282"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源强[dB（A）]</w:t>
            </w:r>
          </w:p>
        </w:tc>
        <w:tc>
          <w:tcPr>
            <w:tcW w:w="1423"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备注</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汽车吊</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4m处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2</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翻斗车</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86～90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3</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推土机</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82～90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4</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挖掘机</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82～90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5</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电焊机</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混凝土振捣棒</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100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木工机械</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100～110</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r w:rsidR="00D228BE" w:rsidRPr="00677D1F">
        <w:trPr>
          <w:trHeight w:val="340"/>
          <w:jc w:val="center"/>
        </w:trPr>
        <w:tc>
          <w:tcPr>
            <w:tcW w:w="1318"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w:t>
            </w:r>
          </w:p>
        </w:tc>
        <w:tc>
          <w:tcPr>
            <w:tcW w:w="3049"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载重车</w:t>
            </w:r>
          </w:p>
        </w:tc>
        <w:tc>
          <w:tcPr>
            <w:tcW w:w="3282"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89</w:t>
            </w:r>
          </w:p>
        </w:tc>
        <w:tc>
          <w:tcPr>
            <w:tcW w:w="142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1m处</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由上表可以看出，施工设备属强噪声源，且位于室外，无有效的控制措施。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6.3.2</w:t>
      </w:r>
      <w:r w:rsidRPr="00677D1F">
        <w:rPr>
          <w:rFonts w:ascii="宋体" w:hAnsi="宋体" w:hint="eastAsia"/>
          <w:sz w:val="28"/>
          <w:szCs w:val="28"/>
        </w:rPr>
        <w:t xml:space="preserve"> 施工噪声影响分析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施工期各种噪声源多为点源，按点声源衰减模式计算施工机械噪声的距离，计算公式为：</w:t>
      </w:r>
    </w:p>
    <w:p w:rsidR="00D228BE" w:rsidRPr="00677D1F" w:rsidRDefault="00550417" w:rsidP="00677D1F">
      <w:pPr>
        <w:widowControl/>
        <w:spacing w:line="360" w:lineRule="auto"/>
        <w:ind w:firstLineChars="200" w:firstLine="480"/>
        <w:contextualSpacing/>
        <w:rPr>
          <w:rFonts w:asciiTheme="minorEastAsia" w:hAnsiTheme="minorEastAsia" w:cs="宋体"/>
          <w:color w:val="000000"/>
          <w:kern w:val="0"/>
          <w:sz w:val="24"/>
          <w:szCs w:val="24"/>
        </w:rPr>
      </w:pPr>
      <m:oMathPara>
        <m:oMath>
          <m:sSub>
            <m:sSubPr>
              <m:ctrlPr>
                <w:rPr>
                  <w:rFonts w:ascii="Cambria Math" w:hAnsi="Cambria Math" w:cs="宋体"/>
                  <w:color w:val="000000"/>
                  <w:kern w:val="0"/>
                  <w:sz w:val="24"/>
                  <w:szCs w:val="24"/>
                </w:rPr>
              </m:ctrlPr>
            </m:sSubPr>
            <m:e>
              <m:r>
                <w:rPr>
                  <w:rFonts w:ascii="Cambria Math" w:hAnsi="Cambria Math" w:cs="宋体"/>
                  <w:color w:val="000000"/>
                  <w:kern w:val="0"/>
                  <w:sz w:val="24"/>
                  <w:szCs w:val="24"/>
                </w:rPr>
                <m:t>L</m:t>
              </m:r>
            </m:e>
            <m:sub>
              <m:r>
                <w:rPr>
                  <w:rFonts w:ascii="Cambria Math" w:hAnsi="Cambria Math" w:cs="宋体"/>
                  <w:color w:val="000000"/>
                  <w:kern w:val="0"/>
                  <w:sz w:val="24"/>
                  <w:szCs w:val="24"/>
                </w:rPr>
                <m:t>2</m:t>
              </m:r>
            </m:sub>
          </m:sSub>
          <m:r>
            <w:rPr>
              <w:rFonts w:ascii="Cambria Math" w:hAnsi="Cambria Math" w:cs="宋体"/>
              <w:color w:val="000000"/>
              <w:kern w:val="0"/>
              <w:sz w:val="24"/>
              <w:szCs w:val="24"/>
            </w:rPr>
            <m:t>=</m:t>
          </m:r>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L</m:t>
              </m:r>
            </m:e>
            <m:sub>
              <m:r>
                <w:rPr>
                  <w:rFonts w:ascii="Cambria Math" w:hAnsi="Cambria Math" w:cs="宋体"/>
                  <w:color w:val="000000"/>
                  <w:kern w:val="0"/>
                  <w:sz w:val="24"/>
                  <w:szCs w:val="24"/>
                </w:rPr>
                <m:t>1</m:t>
              </m:r>
            </m:sub>
          </m:sSub>
          <m:r>
            <w:rPr>
              <w:rFonts w:ascii="Cambria Math" w:hAnsi="Cambria Math" w:cs="宋体"/>
              <w:color w:val="000000"/>
              <w:kern w:val="0"/>
              <w:sz w:val="24"/>
              <w:szCs w:val="24"/>
            </w:rPr>
            <m:t>-20</m:t>
          </m:r>
          <m:func>
            <m:funcPr>
              <m:ctrlPr>
                <w:rPr>
                  <w:rFonts w:ascii="Cambria Math" w:hAnsi="Cambria Math" w:cs="宋体"/>
                  <w:color w:val="000000"/>
                  <w:kern w:val="0"/>
                  <w:sz w:val="24"/>
                  <w:szCs w:val="24"/>
                </w:rPr>
              </m:ctrlPr>
            </m:funcPr>
            <m:fName>
              <m:r>
                <m:rPr>
                  <m:sty m:val="p"/>
                </m:rPr>
                <w:rPr>
                  <w:rFonts w:ascii="Cambria Math" w:hAnsi="Cambria Math" w:cs="宋体"/>
                  <w:color w:val="000000"/>
                  <w:kern w:val="0"/>
                  <w:sz w:val="24"/>
                  <w:szCs w:val="24"/>
                </w:rPr>
                <m:t>lg</m:t>
              </m:r>
            </m:fName>
            <m:e>
              <m:d>
                <m:dPr>
                  <m:ctrlPr>
                    <w:rPr>
                      <w:rFonts w:ascii="Cambria Math" w:hAnsi="Cambria Math" w:cs="宋体"/>
                      <w:color w:val="000000"/>
                      <w:kern w:val="0"/>
                      <w:sz w:val="24"/>
                      <w:szCs w:val="24"/>
                    </w:rPr>
                  </m:ctrlPr>
                </m:dPr>
                <m:e>
                  <m:f>
                    <m:fPr>
                      <m:ctrlPr>
                        <w:rPr>
                          <w:rFonts w:ascii="Cambria Math" w:hAnsi="Cambria Math" w:cs="宋体"/>
                          <w:color w:val="000000"/>
                          <w:kern w:val="0"/>
                          <w:sz w:val="24"/>
                          <w:szCs w:val="24"/>
                        </w:rPr>
                      </m:ctrlPr>
                    </m:fPr>
                    <m:num>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r</m:t>
                          </m:r>
                        </m:e>
                        <m:sub>
                          <m:r>
                            <w:rPr>
                              <w:rFonts w:ascii="Cambria Math" w:hAnsi="Cambria Math" w:cs="宋体"/>
                              <w:color w:val="000000"/>
                              <w:kern w:val="0"/>
                              <w:sz w:val="24"/>
                              <w:szCs w:val="24"/>
                            </w:rPr>
                            <m:t>2</m:t>
                          </m:r>
                        </m:sub>
                      </m:sSub>
                    </m:num>
                    <m:den>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r</m:t>
                          </m:r>
                        </m:e>
                        <m:sub>
                          <m:r>
                            <w:rPr>
                              <w:rFonts w:ascii="Cambria Math" w:hAnsi="Cambria Math" w:cs="宋体"/>
                              <w:color w:val="000000"/>
                              <w:kern w:val="0"/>
                              <w:sz w:val="24"/>
                              <w:szCs w:val="24"/>
                            </w:rPr>
                            <m:t>1</m:t>
                          </m:r>
                        </m:sub>
                      </m:sSub>
                    </m:den>
                  </m:f>
                  <m:ctrlPr>
                    <w:rPr>
                      <w:rFonts w:ascii="Cambria Math" w:hAnsi="Cambria Math" w:cs="宋体"/>
                      <w:i/>
                      <w:color w:val="000000"/>
                      <w:kern w:val="0"/>
                      <w:sz w:val="24"/>
                      <w:szCs w:val="24"/>
                    </w:rPr>
                  </m:ctrlPr>
                </m:e>
              </m:d>
            </m:e>
          </m:func>
          <m:r>
            <w:rPr>
              <w:rFonts w:ascii="Cambria Math" w:hAnsi="Cambria Math" w:cs="宋体"/>
              <w:color w:val="000000"/>
              <w:kern w:val="0"/>
              <w:sz w:val="24"/>
              <w:szCs w:val="24"/>
            </w:rPr>
            <m:t>-∆L</m:t>
          </m:r>
        </m:oMath>
      </m:oMathPara>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L</w:t>
      </w:r>
      <w:r w:rsidRPr="00677D1F">
        <w:rPr>
          <w:rFonts w:asciiTheme="minorEastAsia" w:hAnsiTheme="minorEastAsia" w:cs="宋体"/>
          <w:color w:val="000000"/>
          <w:kern w:val="0"/>
          <w:sz w:val="24"/>
          <w:szCs w:val="24"/>
          <w:vertAlign w:val="subscript"/>
        </w:rPr>
        <w:t>1</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为距声源</w:t>
      </w:r>
      <w:r w:rsidRPr="00677D1F">
        <w:rPr>
          <w:rFonts w:asciiTheme="minorEastAsia" w:hAnsiTheme="minorEastAsia" w:cs="宋体"/>
          <w:color w:val="000000"/>
          <w:kern w:val="0"/>
          <w:sz w:val="24"/>
          <w:szCs w:val="24"/>
        </w:rPr>
        <w:t>r</w:t>
      </w:r>
      <w:r w:rsidRPr="00677D1F">
        <w:rPr>
          <w:rFonts w:asciiTheme="minorEastAsia" w:hAnsiTheme="minorEastAsia" w:cs="宋体"/>
          <w:color w:val="000000"/>
          <w:kern w:val="0"/>
          <w:sz w:val="24"/>
          <w:szCs w:val="24"/>
          <w:vertAlign w:val="subscript"/>
        </w:rPr>
        <w:t>1</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r</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处声级值，</w:t>
      </w:r>
      <w:r w:rsidRPr="00677D1F">
        <w:rPr>
          <w:rFonts w:asciiTheme="minorEastAsia" w:hAnsiTheme="minorEastAsia" w:cs="宋体"/>
          <w:color w:val="000000"/>
          <w:kern w:val="0"/>
          <w:sz w:val="24"/>
          <w:szCs w:val="24"/>
        </w:rPr>
        <w:t>dB</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r</w:t>
      </w:r>
      <w:r w:rsidRPr="00677D1F">
        <w:rPr>
          <w:rFonts w:asciiTheme="minorEastAsia" w:hAnsiTheme="minorEastAsia" w:cs="宋体"/>
          <w:color w:val="000000"/>
          <w:kern w:val="0"/>
          <w:sz w:val="24"/>
          <w:szCs w:val="24"/>
          <w:vertAlign w:val="subscript"/>
        </w:rPr>
        <w:t>1</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r</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为距点源的距离，</w:t>
      </w: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ΔL——</w:t>
      </w:r>
      <w:r w:rsidRPr="00677D1F">
        <w:rPr>
          <w:rFonts w:asciiTheme="minorEastAsia" w:hAnsiTheme="minorEastAsia" w:cs="宋体" w:hint="eastAsia"/>
          <w:color w:val="000000"/>
          <w:kern w:val="0"/>
          <w:sz w:val="24"/>
          <w:szCs w:val="24"/>
        </w:rPr>
        <w:t>为其它衰减作用的噪声级，</w:t>
      </w:r>
      <w:r w:rsidRPr="00677D1F">
        <w:rPr>
          <w:rFonts w:asciiTheme="minorEastAsia" w:hAnsiTheme="minorEastAsia" w:cs="宋体"/>
          <w:color w:val="000000"/>
          <w:kern w:val="0"/>
          <w:sz w:val="24"/>
          <w:szCs w:val="24"/>
        </w:rPr>
        <w:t>dB</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预测结果见表</w:t>
      </w:r>
      <w:r w:rsidRPr="00677D1F">
        <w:rPr>
          <w:rFonts w:asciiTheme="minorEastAsia" w:hAnsiTheme="minorEastAsia" w:cs="宋体"/>
          <w:color w:val="000000"/>
          <w:kern w:val="0"/>
          <w:sz w:val="24"/>
          <w:szCs w:val="24"/>
        </w:rPr>
        <w:t>6.3-2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表6.3-2施工期噪声预测结果</w:t>
      </w:r>
    </w:p>
    <w:tbl>
      <w:tblPr>
        <w:tblStyle w:val="aa"/>
        <w:tblW w:w="9072" w:type="dxa"/>
        <w:jc w:val="center"/>
        <w:tblLayout w:type="fixed"/>
        <w:tblLook w:val="04A0" w:firstRow="1" w:lastRow="0" w:firstColumn="1" w:lastColumn="0" w:noHBand="0" w:noVBand="1"/>
      </w:tblPr>
      <w:tblGrid>
        <w:gridCol w:w="1401"/>
        <w:gridCol w:w="2503"/>
        <w:gridCol w:w="861"/>
        <w:gridCol w:w="694"/>
        <w:gridCol w:w="694"/>
        <w:gridCol w:w="1031"/>
        <w:gridCol w:w="944"/>
        <w:gridCol w:w="944"/>
      </w:tblGrid>
      <w:tr w:rsidR="00D228BE" w:rsidRPr="00677D1F">
        <w:trPr>
          <w:trHeight w:val="340"/>
          <w:jc w:val="center"/>
        </w:trPr>
        <w:tc>
          <w:tcPr>
            <w:tcW w:w="1401" w:type="dxa"/>
            <w:vMerge w:val="restart"/>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施工阶段</w:t>
            </w:r>
          </w:p>
        </w:tc>
        <w:tc>
          <w:tcPr>
            <w:tcW w:w="2503" w:type="dxa"/>
            <w:vMerge w:val="restart"/>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施工机械</w:t>
            </w:r>
          </w:p>
        </w:tc>
        <w:tc>
          <w:tcPr>
            <w:tcW w:w="3280" w:type="dxa"/>
            <w:gridSpan w:val="4"/>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X（m）处声压级dB（A）</w:t>
            </w:r>
          </w:p>
        </w:tc>
        <w:tc>
          <w:tcPr>
            <w:tcW w:w="1888" w:type="dxa"/>
            <w:gridSpan w:val="2"/>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标准dB（A）</w:t>
            </w:r>
          </w:p>
        </w:tc>
      </w:tr>
      <w:tr w:rsidR="00D228BE" w:rsidRPr="00677D1F">
        <w:trPr>
          <w:trHeight w:val="340"/>
          <w:jc w:val="center"/>
        </w:trPr>
        <w:tc>
          <w:tcPr>
            <w:tcW w:w="1401"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2503"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861"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1</w:t>
            </w:r>
          </w:p>
        </w:tc>
        <w:tc>
          <w:tcPr>
            <w:tcW w:w="694"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10</w:t>
            </w:r>
          </w:p>
        </w:tc>
        <w:tc>
          <w:tcPr>
            <w:tcW w:w="694"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20</w:t>
            </w:r>
          </w:p>
        </w:tc>
        <w:tc>
          <w:tcPr>
            <w:tcW w:w="1031"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30</w:t>
            </w:r>
          </w:p>
        </w:tc>
        <w:tc>
          <w:tcPr>
            <w:tcW w:w="944"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昼间</w:t>
            </w:r>
          </w:p>
        </w:tc>
        <w:tc>
          <w:tcPr>
            <w:tcW w:w="944" w:type="dxa"/>
            <w:vAlign w:val="center"/>
          </w:tcPr>
          <w:p w:rsidR="00D228BE" w:rsidRPr="00677D1F" w:rsidRDefault="00332EB6" w:rsidP="00677D1F">
            <w:pPr>
              <w:widowControl/>
              <w:contextualSpacing/>
              <w:jc w:val="center"/>
              <w:rPr>
                <w:rFonts w:ascii="宋体" w:eastAsia="宋体" w:hAnsi="宋体" w:cs="宋体"/>
                <w:b/>
                <w:kern w:val="0"/>
                <w:szCs w:val="21"/>
              </w:rPr>
            </w:pPr>
            <w:r w:rsidRPr="00677D1F">
              <w:rPr>
                <w:rFonts w:ascii="宋体" w:eastAsia="宋体" w:hAnsi="宋体" w:cs="宋体" w:hint="eastAsia"/>
                <w:b/>
                <w:kern w:val="0"/>
                <w:szCs w:val="21"/>
              </w:rPr>
              <w:t>夜间</w:t>
            </w:r>
          </w:p>
        </w:tc>
      </w:tr>
      <w:tr w:rsidR="00D228BE" w:rsidRPr="00677D1F">
        <w:trPr>
          <w:trHeight w:val="340"/>
          <w:jc w:val="center"/>
        </w:trPr>
        <w:tc>
          <w:tcPr>
            <w:tcW w:w="1401" w:type="dxa"/>
            <w:vMerge w:val="restart"/>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土石方</w:t>
            </w: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载重车</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89</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69</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63</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59.5</w:t>
            </w:r>
          </w:p>
        </w:tc>
        <w:tc>
          <w:tcPr>
            <w:tcW w:w="944" w:type="dxa"/>
            <w:vMerge w:val="restart"/>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70</w:t>
            </w:r>
          </w:p>
        </w:tc>
        <w:tc>
          <w:tcPr>
            <w:tcW w:w="944" w:type="dxa"/>
            <w:vMerge w:val="restart"/>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55</w:t>
            </w:r>
          </w:p>
        </w:tc>
      </w:tr>
      <w:tr w:rsidR="00D228BE" w:rsidRPr="00677D1F">
        <w:trPr>
          <w:trHeight w:val="340"/>
          <w:jc w:val="center"/>
        </w:trPr>
        <w:tc>
          <w:tcPr>
            <w:tcW w:w="1401"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推土机</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64</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60.5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r w:rsidR="00D228BE" w:rsidRPr="00677D1F">
        <w:trPr>
          <w:trHeight w:val="340"/>
          <w:jc w:val="center"/>
        </w:trPr>
        <w:tc>
          <w:tcPr>
            <w:tcW w:w="1401"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翻斗车</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64</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60.5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r w:rsidR="00D228BE" w:rsidRPr="00677D1F">
        <w:trPr>
          <w:trHeight w:val="340"/>
          <w:jc w:val="center"/>
        </w:trPr>
        <w:tc>
          <w:tcPr>
            <w:tcW w:w="1401"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挖掘机</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64</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60.5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r w:rsidR="00D228BE" w:rsidRPr="00677D1F">
        <w:trPr>
          <w:trHeight w:val="340"/>
          <w:jc w:val="center"/>
        </w:trPr>
        <w:tc>
          <w:tcPr>
            <w:tcW w:w="1401" w:type="dxa"/>
            <w:vMerge w:val="restart"/>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结构</w:t>
            </w: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混凝振捣机</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100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74</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70.5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r w:rsidR="00D228BE" w:rsidRPr="00677D1F">
        <w:trPr>
          <w:trHeight w:val="340"/>
          <w:jc w:val="center"/>
        </w:trPr>
        <w:tc>
          <w:tcPr>
            <w:tcW w:w="1401"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木工机械（电锯）</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110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84</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80.5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r w:rsidR="00D228BE" w:rsidRPr="00677D1F">
        <w:trPr>
          <w:trHeight w:val="340"/>
          <w:jc w:val="center"/>
        </w:trPr>
        <w:tc>
          <w:tcPr>
            <w:tcW w:w="1401" w:type="dxa"/>
            <w:vMerge w:val="restart"/>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装修</w:t>
            </w: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汽车吊</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102</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82</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76</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72.5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r w:rsidR="00D228BE" w:rsidRPr="00677D1F">
        <w:trPr>
          <w:trHeight w:val="340"/>
          <w:jc w:val="center"/>
        </w:trPr>
        <w:tc>
          <w:tcPr>
            <w:tcW w:w="1401"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2503"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电焊机</w:t>
            </w:r>
          </w:p>
        </w:tc>
        <w:tc>
          <w:tcPr>
            <w:tcW w:w="86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90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70</w:t>
            </w:r>
          </w:p>
        </w:tc>
        <w:tc>
          <w:tcPr>
            <w:tcW w:w="694"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64</w:t>
            </w:r>
          </w:p>
        </w:tc>
        <w:tc>
          <w:tcPr>
            <w:tcW w:w="1031" w:type="dxa"/>
            <w:vAlign w:val="center"/>
          </w:tcPr>
          <w:p w:rsidR="00D228BE" w:rsidRPr="00677D1F" w:rsidRDefault="00332EB6" w:rsidP="00677D1F">
            <w:pPr>
              <w:widowControl/>
              <w:contextualSpacing/>
              <w:jc w:val="center"/>
              <w:rPr>
                <w:rFonts w:ascii="宋体" w:eastAsia="宋体" w:hAnsi="宋体" w:cs="宋体"/>
                <w:kern w:val="0"/>
                <w:szCs w:val="21"/>
              </w:rPr>
            </w:pPr>
            <w:r w:rsidRPr="00677D1F">
              <w:rPr>
                <w:rFonts w:ascii="宋体" w:eastAsia="宋体" w:hAnsi="宋体" w:cs="宋体" w:hint="eastAsia"/>
                <w:kern w:val="0"/>
                <w:szCs w:val="21"/>
              </w:rPr>
              <w:t>60.5</w:t>
            </w: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c>
          <w:tcPr>
            <w:tcW w:w="944" w:type="dxa"/>
            <w:vMerge/>
            <w:vAlign w:val="center"/>
          </w:tcPr>
          <w:p w:rsidR="00D228BE" w:rsidRPr="00677D1F" w:rsidRDefault="00D228BE" w:rsidP="00677D1F">
            <w:pPr>
              <w:widowControl/>
              <w:contextualSpacing/>
              <w:jc w:val="center"/>
              <w:rPr>
                <w:rFonts w:ascii="宋体" w:eastAsia="宋体" w:hAnsi="宋体" w:cs="宋体"/>
                <w:kern w:val="0"/>
                <w:szCs w:val="21"/>
              </w:rPr>
            </w:pP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6.3-2</w:t>
      </w:r>
      <w:r w:rsidRPr="00677D1F">
        <w:rPr>
          <w:rFonts w:asciiTheme="minorEastAsia" w:hAnsiTheme="minorEastAsia" w:cs="宋体" w:hint="eastAsia"/>
          <w:color w:val="000000"/>
          <w:kern w:val="0"/>
          <w:sz w:val="24"/>
          <w:szCs w:val="24"/>
        </w:rPr>
        <w:t>可以看出，土石方和装修阶段，白天场界可以达标，但夜间超标。声级值在</w:t>
      </w:r>
      <w:r w:rsidRPr="00677D1F">
        <w:rPr>
          <w:rFonts w:asciiTheme="minorEastAsia" w:hAnsiTheme="minorEastAsia" w:cs="宋体"/>
          <w:color w:val="000000"/>
          <w:kern w:val="0"/>
          <w:sz w:val="24"/>
          <w:szCs w:val="24"/>
        </w:rPr>
        <w:t>100dB</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）以上的设备在</w:t>
      </w:r>
      <w:r w:rsidRPr="00677D1F">
        <w:rPr>
          <w:rFonts w:asciiTheme="minorEastAsia" w:hAnsiTheme="minorEastAsia" w:cs="宋体"/>
          <w:color w:val="000000"/>
          <w:kern w:val="0"/>
          <w:sz w:val="24"/>
          <w:szCs w:val="24"/>
        </w:rPr>
        <w:t>30m</w:t>
      </w:r>
      <w:r w:rsidRPr="00677D1F">
        <w:rPr>
          <w:rFonts w:asciiTheme="minorEastAsia" w:hAnsiTheme="minorEastAsia" w:cs="宋体" w:hint="eastAsia"/>
          <w:color w:val="000000"/>
          <w:kern w:val="0"/>
          <w:sz w:val="24"/>
          <w:szCs w:val="24"/>
        </w:rPr>
        <w:t>处仍不能满足场界施工期间噪声限值。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现场调查，项目区周围无居民区，在建设过程中只有施工人员。因此，施工阶段对周围环境无大的不利影响。故施工阶段使用中高噪声机械设备，只要严格遵守当地环保管理部门制定的施工工地噪声作业规定及要求，并在午休时间和夜间休息时间停止施工，积极采取相应措施降低施工噪声，不会对自身人员造成噪声危害。</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6.3.</w:t>
      </w:r>
      <w:r w:rsidRPr="00677D1F">
        <w:rPr>
          <w:rFonts w:ascii="宋体" w:hAnsi="宋体" w:hint="eastAsia"/>
          <w:sz w:val="28"/>
          <w:szCs w:val="28"/>
        </w:rPr>
        <w:t>3 施工噪声防治措施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为了减轻施工噪声对周边环境的影响，施工期应采取以下噪声防治措施：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）制订施工计划时应避免同时使用大量高噪声设备施工，除此之外，高噪声机械施工时间要安排在日间，减少夜间施工量，禁止夜间打桩及限制车辆运输，白天车辆经过村庄时，尽量不鸣喇叭。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合理布局施工现场，避免在同一地点安排大量动力机械设备，以防止局部声级过高。对一些施工位置相对固定的高噪施工设备，可以在棚内操作的尽量进入操作间，如搅拌机、木工机械、线材切割机等设备应远离厂内人群活动密集区域，必要时采取声屏障等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设备选型上应采用低噪声设备，如液压机械代替燃油机械，振捣器采用高频振捣器等。固定机械设备与挖土、运土机械（如挖土机、推土机等）可通过排气管消声器和隔离发动机振动部件的方法降低噪声；设备常因松动部件的振动或消声器的损坏而增加其工作时的噪声级。对动力机械设备进行定期的维修、养护。运输车辆进入现场应减速，并减少鸣笛。</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）尽量少用哨子、钟、笛等指挥作业，代之以现代化通讯设备，按规程操作机械设备，减少人为噪声。</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6.4</w:t>
      </w:r>
      <w:r w:rsidRPr="00677D1F">
        <w:rPr>
          <w:rFonts w:ascii="宋体" w:hAnsi="宋体" w:hint="eastAsia"/>
          <w:bCs w:val="0"/>
          <w:kern w:val="2"/>
          <w:sz w:val="30"/>
          <w:szCs w:val="30"/>
        </w:rPr>
        <w:t xml:space="preserve"> 施工期固体废弃物影响分析及防治措施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6.4.1</w:t>
      </w:r>
      <w:r w:rsidRPr="00677D1F">
        <w:rPr>
          <w:rFonts w:ascii="宋体" w:hAnsi="宋体" w:hint="eastAsia"/>
          <w:sz w:val="28"/>
          <w:szCs w:val="28"/>
        </w:rPr>
        <w:t xml:space="preserve"> 施工固体废物来源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施工期固体废物主要来源于：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）施工活动产生的废弃建筑材料如砂石、石灰、混凝土、废砖、土石方等；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）施工人员工作和生活在施工现场，其日常生活将产生一定数量的生活垃圾。</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6.4.2</w:t>
      </w:r>
      <w:r w:rsidRPr="00677D1F">
        <w:rPr>
          <w:rFonts w:ascii="宋体" w:hAnsi="宋体" w:hint="eastAsia"/>
          <w:sz w:val="28"/>
          <w:szCs w:val="28"/>
        </w:rPr>
        <w:t xml:space="preserve"> 施工固体废物影响分析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根据施工期固体废物的来源及性质，起影响主要表现为：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）建筑垃圾：建筑垃圾产生于厂房等建（构）筑物建设，分选后对土石方就地填方，金属木块等废物回收利用。如长时间堆存，在风力作用下易产生扬尘，造成二次污染。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）施工人员的生活垃圾：生活垃圾主要为就餐后的废饭盒和办公区的少量日常办公垃圾，堆放期间长则腐烂变质，产生恶臭，夏季易滋生蚊蝇。及时收集、清理和转运，则不会对当地环境产生明显影响。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6.4.3</w:t>
      </w:r>
      <w:r w:rsidRPr="00677D1F">
        <w:rPr>
          <w:rFonts w:ascii="宋体" w:hAnsi="宋体" w:hint="eastAsia"/>
          <w:sz w:val="28"/>
          <w:szCs w:val="28"/>
        </w:rPr>
        <w:t xml:space="preserve"> 施工固体废物防治措施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）施工生产废料处理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首先应考虑废料的回收利用，对钢筋、钢板、木材等下角料可分类回收，交废物收购站处理；对建筑垃圾，如混凝土废料、废砖、含砖、石、砂的杂土应集中堆放，定时清运，以免影响施工和环境卫生。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）施工生活垃圾处置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生活垃圾：施工人员平均每天每人产生</w:t>
      </w:r>
      <w:r w:rsidRPr="00677D1F">
        <w:rPr>
          <w:rFonts w:asciiTheme="minorEastAsia" w:hAnsiTheme="minorEastAsia" w:cs="宋体"/>
          <w:color w:val="000000"/>
          <w:kern w:val="0"/>
          <w:sz w:val="24"/>
          <w:szCs w:val="24"/>
        </w:rPr>
        <w:t>0.5kg</w:t>
      </w:r>
      <w:r w:rsidRPr="00677D1F">
        <w:rPr>
          <w:rFonts w:asciiTheme="minorEastAsia" w:hAnsiTheme="minorEastAsia" w:cs="宋体" w:hint="eastAsia"/>
          <w:color w:val="000000"/>
          <w:kern w:val="0"/>
          <w:sz w:val="24"/>
          <w:szCs w:val="24"/>
        </w:rPr>
        <w:t>左右的生活垃圾；生活垃圾的产生量和施工人数有很大关系。对施工人员产生的生活垃圾要统一收集，定期运往当地环卫部门指定的垃圾场进行卫生填埋处置后，不会对项目周围环境造成明显影响。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）完工清场的固体废物处理处置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工程完工后临时设施拆除时应防止扬尘、噪声及废弃物污染。搅拌场、储桨池等施工生产用地，应撤离所有设施和部件，四周溢流砂桨的泥土全部挖除。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）对各种车辆、设备使用的燃油、机油、润滑油等应加强管理，所有废弃油类均要集中处理，不得随意倾倒。</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6.5</w:t>
      </w:r>
      <w:r w:rsidRPr="00677D1F">
        <w:rPr>
          <w:rFonts w:ascii="宋体" w:hAnsi="宋体" w:hint="eastAsia"/>
          <w:bCs w:val="0"/>
          <w:kern w:val="2"/>
          <w:sz w:val="30"/>
          <w:szCs w:val="30"/>
        </w:rPr>
        <w:t xml:space="preserve"> 施工期生态环境影响分析及措施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6.5.1</w:t>
      </w:r>
      <w:r w:rsidRPr="00677D1F">
        <w:rPr>
          <w:rFonts w:ascii="宋体" w:hAnsi="宋体" w:hint="eastAsia"/>
          <w:sz w:val="28"/>
          <w:szCs w:val="28"/>
        </w:rPr>
        <w:t xml:space="preserve"> 施工期生态环境影响分析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本项目建设施工对生态环境的影响主要表现在工程占地及</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三废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排放对项目区影响范围内土壤植被的影响；施工噪声对野生动物的影响；运输、人类活动对土壤植被及野生动物的影响。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）施工对土壤植被的影响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根据工程建设方案，与本议题相关的工程建设内容包括：厂区平整及设施建设、入厂道路建设建设。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本工程厂区总占地为永久性占地。经过施工期的场地平整建设，厂区大部分地表原生植被及土壤结构将被破坏，地形地貌被改变。虽然建厂后期要进行厂区绿化，但厂区植被覆盖度总体还是有所下降。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永久性占地将改变土壤表层结构，破坏其中大部分地表植被，虽然本项目所占用土地性质为建设用地，但从目前的实际自然状态而言，工程建设将间接地对当地生态造成一些影响。施工临时占地范围内部分地表植被和土壤表层结构被破坏，但随着施工的结束，地表植被将逐渐恢复，同时土地原有功能也得以恢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施工建设过程人员本身产生的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三废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量较少，影响不大，但场地平整和入厂道路建设开挖土方量很大，要求全部在厂区内部平衡，避免在工程用地范围以外设立堆场等设施，控制对土壤植被的破坏。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）工程对生态系统连续性、生物多样性的影响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态系统的功能是以系统完整的结构和良好的运行为基础的，要保护生态系统的整体性和运行的连续性，则要做到①地域的连续性，这是生态系统存在和长久维持的重要条件；②物种的多样性，这也是生态系统趋于稳定的重要因素，物种多样性越低，生态系统也就越脆弱。</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本工程的建设对生态系统地域的连续性和物种的多样性影响微弱，因为厂区占地面积有限且集中，厂外道路依托园区设施，不会对本地区生态系统的功能和可持续利用造成影响。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此外，本工程对野生动物的影响方式，就鸟类而言，由于施工范围内地表植被全部为草本植物，没有树木丛林，不存在因伐树减少栖息地所造成的直接影响，主要是施工过程惊吓造成的间接影响；对两栖类动物而言，其敏感性反应较差，无固定巢穴，施工对其影响不大；施工对啮齿类和爬行类动物的影响主要在于施工挖沟会毁坏这些动物在施工地带的洞穴，同时，施工人员的活动和来往机械的运动也会使它们受到惊吓，其结果是迫使它们迁往别处。就与人类的关系而言，人们更喜欢留住那些能给环境带来美感并无害于人类和环境的动物，如绝大部分鸟类，而不喜欢那些怵人耳目（蜥脚类）及有害于人类和环境的动物（如鼠类）。由以上分析可</w:t>
      </w:r>
      <w:r w:rsidRPr="00677D1F">
        <w:rPr>
          <w:rFonts w:asciiTheme="minorEastAsia" w:hAnsiTheme="minorEastAsia" w:cs="宋体" w:hint="eastAsia"/>
          <w:color w:val="000000"/>
          <w:kern w:val="0"/>
          <w:sz w:val="24"/>
          <w:szCs w:val="24"/>
        </w:rPr>
        <w:lastRenderedPageBreak/>
        <w:t>知，工程施工期会对生物种群正常生活造成一定的干扰，但由于施工区没有珍稀及濒危物种存在，不会对生物多样性造成不利影响。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施工建设期间，施工噪声、人流物流将会影响野生动物的活动，使较敏感的野生动物远离施工区。由于拟定厂址区域目前野生动物已经较少，本项目对野生动物的影响有限。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6.5.2</w:t>
      </w:r>
      <w:r w:rsidRPr="00677D1F">
        <w:rPr>
          <w:rFonts w:ascii="宋体" w:hAnsi="宋体" w:hint="eastAsia"/>
          <w:sz w:val="28"/>
          <w:szCs w:val="28"/>
        </w:rPr>
        <w:t xml:space="preserve"> 施工期生态环境影响减缓措施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建设项目施工期间对周围环境的影响，虽然时间短，但属毁灭性破坏，原生植被遭破坏后的第一个生长期将全部消失，需经过一定时间后，工程周围的原生植被才能逐渐得以恢复。施工中的弃土问题也是工程建设中常见的，它不仅破坏了原有的地表和植被，且弃土的堆存会占用土地，影响其原有功能，开挖处如不及时进行填方，遇到降水会发生地面塌陷，弃土如不及时运走，若遇降水，可能会引起水土流失，这些问题若不能及时处理，施工过程所产生的生态环境破坏将是明显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因此，施工期前应应先做好施工组织，做出详细的规划，首先修好道路，使拉运建筑材料和土石方的车辆在固定的道路上行驶，防止四处乱辗，扰动地表；划定好施工活动范围，包括材料的堆存范围、机械设备及运输车辆的行走路线、人员食宿及运动范围，尽量减少临时占地数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在施工过程中需加强管理，严禁不按操作规程野蛮施工。施工监理部门和当地环保部门也应紧密合作，进行监督管理。施工结束后，须及时清理场地，恢复当地的植被。</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6.6</w:t>
      </w:r>
      <w:r w:rsidRPr="00677D1F">
        <w:rPr>
          <w:rFonts w:ascii="宋体" w:hAnsi="宋体" w:hint="eastAsia"/>
          <w:bCs w:val="0"/>
          <w:kern w:val="2"/>
          <w:sz w:val="30"/>
          <w:szCs w:val="30"/>
        </w:rPr>
        <w:t xml:space="preserve"> 施工期污染防治措施汇总及环境管理要求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施工影响分析结果来看，本建设项目施工扬尘、施工噪声、施工废水以及固体废物等均对外环境影响有一定的影响，本评价依据施工影响分析结果，按照国家现有的有关环境管理要求，结合项目区域自然环境实情，提出施工期的污染防治措施和环境管理要求。具体措施内容见表</w:t>
      </w:r>
      <w:r w:rsidRPr="00677D1F">
        <w:rPr>
          <w:rFonts w:asciiTheme="minorEastAsia" w:hAnsiTheme="minorEastAsia" w:cs="宋体"/>
          <w:color w:val="000000"/>
          <w:kern w:val="0"/>
          <w:sz w:val="24"/>
          <w:szCs w:val="24"/>
        </w:rPr>
        <w:t>6.6-1</w:t>
      </w:r>
      <w:r w:rsidRPr="00677D1F">
        <w:rPr>
          <w:rFonts w:asciiTheme="minorEastAsia" w:hAnsiTheme="minorEastAsia" w:cs="宋体" w:hint="eastAsia"/>
          <w:color w:val="000000"/>
          <w:kern w:val="0"/>
          <w:sz w:val="24"/>
          <w:szCs w:val="24"/>
        </w:rPr>
        <w:t>。施工期环境管理建议见表</w:t>
      </w:r>
      <w:r w:rsidRPr="00677D1F">
        <w:rPr>
          <w:rFonts w:asciiTheme="minorEastAsia" w:hAnsiTheme="minorEastAsia" w:cs="宋体"/>
          <w:color w:val="000000"/>
          <w:kern w:val="0"/>
          <w:sz w:val="24"/>
          <w:szCs w:val="24"/>
        </w:rPr>
        <w:t>6.6-2</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表6.6-1  建设期环保措施及预期效果一览表</w:t>
      </w:r>
    </w:p>
    <w:tbl>
      <w:tblPr>
        <w:tblStyle w:val="aa"/>
        <w:tblW w:w="9072" w:type="dxa"/>
        <w:jc w:val="center"/>
        <w:tblLayout w:type="fixed"/>
        <w:tblLook w:val="04A0" w:firstRow="1" w:lastRow="0" w:firstColumn="1" w:lastColumn="0" w:noHBand="0" w:noVBand="1"/>
      </w:tblPr>
      <w:tblGrid>
        <w:gridCol w:w="824"/>
        <w:gridCol w:w="2285"/>
        <w:gridCol w:w="1143"/>
        <w:gridCol w:w="675"/>
        <w:gridCol w:w="1611"/>
        <w:gridCol w:w="1428"/>
        <w:gridCol w:w="1106"/>
      </w:tblGrid>
      <w:tr w:rsidR="00D228BE" w:rsidRPr="00677D1F">
        <w:trPr>
          <w:trHeight w:val="340"/>
          <w:jc w:val="center"/>
        </w:trPr>
        <w:tc>
          <w:tcPr>
            <w:tcW w:w="824"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项目</w:t>
            </w:r>
          </w:p>
        </w:tc>
        <w:tc>
          <w:tcPr>
            <w:tcW w:w="2285"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环保设施或措施要求</w:t>
            </w:r>
          </w:p>
        </w:tc>
        <w:tc>
          <w:tcPr>
            <w:tcW w:w="1143"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实施项目</w:t>
            </w:r>
          </w:p>
        </w:tc>
        <w:tc>
          <w:tcPr>
            <w:tcW w:w="675"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实施</w:t>
            </w:r>
          </w:p>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时间</w:t>
            </w:r>
          </w:p>
        </w:tc>
        <w:tc>
          <w:tcPr>
            <w:tcW w:w="1611"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保护对象</w:t>
            </w:r>
          </w:p>
        </w:tc>
        <w:tc>
          <w:tcPr>
            <w:tcW w:w="1428"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保护措施</w:t>
            </w:r>
          </w:p>
        </w:tc>
        <w:tc>
          <w:tcPr>
            <w:tcW w:w="1106"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预期效果</w:t>
            </w:r>
          </w:p>
        </w:tc>
      </w:tr>
      <w:tr w:rsidR="00D228BE" w:rsidRPr="00677D1F">
        <w:trPr>
          <w:trHeight w:val="340"/>
          <w:jc w:val="center"/>
        </w:trPr>
        <w:tc>
          <w:tcPr>
            <w:tcW w:w="824"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大气环</w:t>
            </w:r>
            <w:r w:rsidRPr="00677D1F">
              <w:rPr>
                <w:rFonts w:asciiTheme="minorEastAsia" w:hAnsiTheme="minorEastAsia" w:cs="宋体" w:hint="eastAsia"/>
                <w:color w:val="000000"/>
                <w:kern w:val="0"/>
                <w:sz w:val="18"/>
                <w:szCs w:val="18"/>
              </w:rPr>
              <w:lastRenderedPageBreak/>
              <w:t>境防治措施</w:t>
            </w: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采取遮盖、围挡措施，清</w:t>
            </w:r>
            <w:r w:rsidRPr="00677D1F">
              <w:rPr>
                <w:rFonts w:asciiTheme="minorEastAsia" w:hAnsiTheme="minorEastAsia" w:cs="宋体" w:hint="eastAsia"/>
                <w:color w:val="000000"/>
                <w:kern w:val="0"/>
                <w:sz w:val="18"/>
                <w:szCs w:val="18"/>
              </w:rPr>
              <w:lastRenderedPageBreak/>
              <w:t>洗车辆泥土</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运输车辆、</w:t>
            </w:r>
            <w:r w:rsidRPr="00677D1F">
              <w:rPr>
                <w:rFonts w:asciiTheme="minorEastAsia" w:hAnsiTheme="minorEastAsia" w:cs="宋体" w:hint="eastAsia"/>
                <w:color w:val="000000"/>
                <w:kern w:val="0"/>
                <w:sz w:val="18"/>
                <w:szCs w:val="18"/>
              </w:rPr>
              <w:lastRenderedPageBreak/>
              <w:t>材料堆场周围</w:t>
            </w:r>
          </w:p>
        </w:tc>
        <w:tc>
          <w:tcPr>
            <w:tcW w:w="675"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施工</w:t>
            </w:r>
            <w:r w:rsidRPr="00677D1F">
              <w:rPr>
                <w:rFonts w:asciiTheme="minorEastAsia" w:hAnsiTheme="minorEastAsia" w:cs="宋体" w:hint="eastAsia"/>
                <w:color w:val="000000"/>
                <w:kern w:val="0"/>
                <w:sz w:val="18"/>
                <w:szCs w:val="18"/>
              </w:rPr>
              <w:lastRenderedPageBreak/>
              <w:t>期全程</w:t>
            </w:r>
          </w:p>
        </w:tc>
        <w:tc>
          <w:tcPr>
            <w:tcW w:w="1611"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施工场地周围空</w:t>
            </w:r>
            <w:r w:rsidRPr="00677D1F">
              <w:rPr>
                <w:rFonts w:asciiTheme="minorEastAsia" w:hAnsiTheme="minorEastAsia" w:cs="宋体" w:hint="eastAsia"/>
                <w:color w:val="000000"/>
                <w:kern w:val="0"/>
                <w:sz w:val="18"/>
                <w:szCs w:val="18"/>
              </w:rPr>
              <w:lastRenderedPageBreak/>
              <w:t>气环境、施工人员及周围植被</w:t>
            </w:r>
          </w:p>
        </w:tc>
        <w:tc>
          <w:tcPr>
            <w:tcW w:w="1428"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①建立环境管</w:t>
            </w:r>
            <w:r w:rsidRPr="00677D1F">
              <w:rPr>
                <w:rFonts w:asciiTheme="minorEastAsia" w:hAnsiTheme="minorEastAsia" w:cs="宋体" w:hint="eastAsia"/>
                <w:color w:val="000000"/>
                <w:kern w:val="0"/>
                <w:sz w:val="18"/>
                <w:szCs w:val="18"/>
              </w:rPr>
              <w:lastRenderedPageBreak/>
              <w:t>理机构，配备专职或兼职环保管理人员；②制定相关方环境管理条例、质量管理规定③加强环境监理人员经常性检查、监督，并定期向有关部门作书面汇报，发现问题及时解决。</w:t>
            </w:r>
          </w:p>
        </w:tc>
        <w:tc>
          <w:tcPr>
            <w:tcW w:w="1106"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周围环境</w:t>
            </w:r>
            <w:r w:rsidRPr="00677D1F">
              <w:rPr>
                <w:rFonts w:asciiTheme="minorEastAsia" w:hAnsiTheme="minorEastAsia" w:cs="宋体" w:hint="eastAsia"/>
                <w:color w:val="000000"/>
                <w:kern w:val="0"/>
                <w:sz w:val="18"/>
                <w:szCs w:val="18"/>
              </w:rPr>
              <w:lastRenderedPageBreak/>
              <w:t>空气质量达到《环境空气质量标准》（GB 3095-2012）</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二级标准</w:t>
            </w:r>
          </w:p>
        </w:tc>
      </w:tr>
      <w:tr w:rsidR="00D228BE" w:rsidRPr="00677D1F">
        <w:trPr>
          <w:trHeight w:val="340"/>
          <w:jc w:val="center"/>
        </w:trPr>
        <w:tc>
          <w:tcPr>
            <w:tcW w:w="824"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洒水、周围设围栏，临时</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硬化和场地绿化</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施工场地及施工道路</w:t>
            </w:r>
          </w:p>
        </w:tc>
        <w:tc>
          <w:tcPr>
            <w:tcW w:w="67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611"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r>
      <w:tr w:rsidR="00D228BE" w:rsidRPr="00677D1F">
        <w:trPr>
          <w:trHeight w:val="340"/>
          <w:jc w:val="center"/>
        </w:trPr>
        <w:tc>
          <w:tcPr>
            <w:tcW w:w="824"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设置专门的堆场，且四周有围栏结构</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废弃物料堆放处</w:t>
            </w:r>
          </w:p>
        </w:tc>
        <w:tc>
          <w:tcPr>
            <w:tcW w:w="67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611"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r>
      <w:tr w:rsidR="00D228BE" w:rsidRPr="00677D1F">
        <w:trPr>
          <w:trHeight w:val="340"/>
          <w:jc w:val="center"/>
        </w:trPr>
        <w:tc>
          <w:tcPr>
            <w:tcW w:w="824"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噪声防治措施</w:t>
            </w: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①合理布置施工场地，选用低噪声设备②采取有效的隔音、减振、消声措施，降低噪声级</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强噪声设备</w:t>
            </w:r>
          </w:p>
        </w:tc>
        <w:tc>
          <w:tcPr>
            <w:tcW w:w="6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施工准备期</w:t>
            </w:r>
          </w:p>
        </w:tc>
        <w:tc>
          <w:tcPr>
            <w:tcW w:w="1611"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施工人员及施工场地周围的环境敏感点</w:t>
            </w: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施工厂界噪声符合《建筑施工场界环境噪声排放标准》（GB12523-2011）</w:t>
            </w:r>
          </w:p>
        </w:tc>
      </w:tr>
      <w:tr w:rsidR="00D228BE" w:rsidRPr="00677D1F">
        <w:trPr>
          <w:trHeight w:val="340"/>
          <w:jc w:val="center"/>
        </w:trPr>
        <w:tc>
          <w:tcPr>
            <w:tcW w:w="824"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调配工作频次，配备耳塞或耳罩等防护品</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强噪声设备操作人员</w:t>
            </w:r>
          </w:p>
        </w:tc>
        <w:tc>
          <w:tcPr>
            <w:tcW w:w="675"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施工期全程</w:t>
            </w:r>
          </w:p>
        </w:tc>
        <w:tc>
          <w:tcPr>
            <w:tcW w:w="1611"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r>
      <w:tr w:rsidR="00D228BE" w:rsidRPr="00677D1F">
        <w:trPr>
          <w:trHeight w:val="340"/>
          <w:jc w:val="center"/>
        </w:trPr>
        <w:tc>
          <w:tcPr>
            <w:tcW w:w="824"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严格控制施工时段，避免高噪声设备夜间作业</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w:t>
            </w:r>
          </w:p>
        </w:tc>
        <w:tc>
          <w:tcPr>
            <w:tcW w:w="67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611"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r>
      <w:tr w:rsidR="00D228BE" w:rsidRPr="00677D1F">
        <w:trPr>
          <w:trHeight w:val="340"/>
          <w:jc w:val="center"/>
        </w:trPr>
        <w:tc>
          <w:tcPr>
            <w:tcW w:w="824"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固体废物处置防治措施</w:t>
            </w: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设立生活垃圾箱，及时清运到指定的垃圾处置场</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生活垃圾</w:t>
            </w:r>
          </w:p>
        </w:tc>
        <w:tc>
          <w:tcPr>
            <w:tcW w:w="675"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施工期全程</w:t>
            </w:r>
          </w:p>
        </w:tc>
        <w:tc>
          <w:tcPr>
            <w:tcW w:w="1611"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施工场地周围空气环境、土壤及植被</w:t>
            </w: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施工废弃物全部合理处置</w:t>
            </w:r>
          </w:p>
        </w:tc>
      </w:tr>
      <w:tr w:rsidR="00D228BE" w:rsidRPr="00677D1F">
        <w:trPr>
          <w:trHeight w:val="340"/>
          <w:jc w:val="center"/>
        </w:trPr>
        <w:tc>
          <w:tcPr>
            <w:tcW w:w="824"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建筑垃圾分类处置、综合利用后，剩余部分运往指定的建筑垃圾场</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建筑垃圾</w:t>
            </w:r>
          </w:p>
        </w:tc>
        <w:tc>
          <w:tcPr>
            <w:tcW w:w="67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611"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施工场地附近水体、土壤及植被</w:t>
            </w: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r>
      <w:tr w:rsidR="00D228BE" w:rsidRPr="00677D1F">
        <w:trPr>
          <w:trHeight w:val="340"/>
          <w:jc w:val="center"/>
        </w:trPr>
        <w:tc>
          <w:tcPr>
            <w:tcW w:w="824"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废水防治措施</w:t>
            </w: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排水经过防渗处理的旱厕</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生活污水</w:t>
            </w:r>
          </w:p>
        </w:tc>
        <w:tc>
          <w:tcPr>
            <w:tcW w:w="675"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施工期全程</w:t>
            </w:r>
          </w:p>
        </w:tc>
        <w:tc>
          <w:tcPr>
            <w:tcW w:w="1611"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附近水</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体、土壤</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及植被</w:t>
            </w: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restart"/>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施工废水不外排</w:t>
            </w:r>
          </w:p>
        </w:tc>
      </w:tr>
      <w:tr w:rsidR="00D228BE" w:rsidRPr="00677D1F">
        <w:trPr>
          <w:trHeight w:val="340"/>
          <w:jc w:val="center"/>
        </w:trPr>
        <w:tc>
          <w:tcPr>
            <w:tcW w:w="824"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临时沉淀池处理后回用</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施工废水</w:t>
            </w:r>
          </w:p>
        </w:tc>
        <w:tc>
          <w:tcPr>
            <w:tcW w:w="675"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611"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r>
      <w:tr w:rsidR="00D228BE" w:rsidRPr="00677D1F">
        <w:trPr>
          <w:trHeight w:val="340"/>
          <w:jc w:val="center"/>
        </w:trPr>
        <w:tc>
          <w:tcPr>
            <w:tcW w:w="82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生态环境保护措施</w:t>
            </w:r>
          </w:p>
        </w:tc>
        <w:tc>
          <w:tcPr>
            <w:tcW w:w="228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①强化生态保护意识②加强管理、控制施工场地占地、及时恢复植被</w:t>
            </w:r>
          </w:p>
        </w:tc>
        <w:tc>
          <w:tcPr>
            <w:tcW w:w="114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施工场界</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及临时占</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地</w:t>
            </w:r>
          </w:p>
        </w:tc>
        <w:tc>
          <w:tcPr>
            <w:tcW w:w="6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施工期全程</w:t>
            </w:r>
          </w:p>
        </w:tc>
        <w:tc>
          <w:tcPr>
            <w:tcW w:w="1611"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周围土</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壤、植被</w:t>
            </w:r>
          </w:p>
        </w:tc>
        <w:tc>
          <w:tcPr>
            <w:tcW w:w="1428" w:type="dxa"/>
            <w:vMerge/>
            <w:vAlign w:val="center"/>
          </w:tcPr>
          <w:p w:rsidR="00D228BE" w:rsidRPr="00677D1F" w:rsidRDefault="00D228BE" w:rsidP="00677D1F">
            <w:pPr>
              <w:widowControl/>
              <w:contextualSpacing/>
              <w:jc w:val="center"/>
              <w:rPr>
                <w:rFonts w:asciiTheme="minorEastAsia" w:hAnsiTheme="minorEastAsia" w:cs="宋体"/>
                <w:color w:val="000000"/>
                <w:kern w:val="0"/>
                <w:sz w:val="18"/>
                <w:szCs w:val="18"/>
              </w:rPr>
            </w:pPr>
          </w:p>
        </w:tc>
        <w:tc>
          <w:tcPr>
            <w:tcW w:w="1106"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施工场地周围土壤、</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植被不被破坏</w:t>
            </w:r>
          </w:p>
        </w:tc>
      </w:tr>
    </w:tbl>
    <w:p w:rsidR="00D228BE" w:rsidRPr="00677D1F" w:rsidRDefault="00D228BE" w:rsidP="00677D1F">
      <w:pPr>
        <w:widowControl/>
        <w:spacing w:line="240" w:lineRule="exact"/>
        <w:contextualSpacing/>
        <w:rPr>
          <w:rFonts w:ascii="黑体" w:eastAsia="黑体" w:hAnsi="黑体" w:cs="宋体"/>
          <w:color w:val="000000"/>
          <w:kern w:val="0"/>
          <w:szCs w:val="21"/>
        </w:r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表6.6-2  建设期环境监理建议</w:t>
      </w:r>
    </w:p>
    <w:tbl>
      <w:tblPr>
        <w:tblStyle w:val="aa"/>
        <w:tblW w:w="9072" w:type="dxa"/>
        <w:jc w:val="center"/>
        <w:tblLayout w:type="fixed"/>
        <w:tblLook w:val="04A0" w:firstRow="1" w:lastRow="0" w:firstColumn="1" w:lastColumn="0" w:noHBand="0" w:noVBand="1"/>
      </w:tblPr>
      <w:tblGrid>
        <w:gridCol w:w="711"/>
        <w:gridCol w:w="1133"/>
        <w:gridCol w:w="3686"/>
        <w:gridCol w:w="3542"/>
      </w:tblGrid>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b/>
                <w:kern w:val="0"/>
                <w:sz w:val="18"/>
                <w:szCs w:val="18"/>
              </w:rPr>
            </w:pPr>
            <w:r w:rsidRPr="00677D1F">
              <w:rPr>
                <w:rFonts w:ascii="宋体" w:eastAsia="宋体" w:hAnsi="宋体" w:cs="宋体" w:hint="eastAsia"/>
                <w:b/>
                <w:kern w:val="0"/>
                <w:sz w:val="18"/>
                <w:szCs w:val="18"/>
              </w:rPr>
              <w:t>序号</w:t>
            </w:r>
          </w:p>
        </w:tc>
        <w:tc>
          <w:tcPr>
            <w:tcW w:w="1133" w:type="dxa"/>
            <w:vAlign w:val="center"/>
          </w:tcPr>
          <w:p w:rsidR="00D228BE" w:rsidRPr="00677D1F" w:rsidRDefault="00332EB6" w:rsidP="00677D1F">
            <w:pPr>
              <w:widowControl/>
              <w:contextualSpacing/>
              <w:jc w:val="center"/>
              <w:rPr>
                <w:rFonts w:ascii="宋体" w:eastAsia="宋体" w:hAnsi="宋体" w:cs="宋体"/>
                <w:b/>
                <w:kern w:val="0"/>
                <w:sz w:val="18"/>
                <w:szCs w:val="18"/>
              </w:rPr>
            </w:pPr>
            <w:r w:rsidRPr="00677D1F">
              <w:rPr>
                <w:rFonts w:ascii="宋体" w:eastAsia="宋体" w:hAnsi="宋体" w:cs="宋体" w:hint="eastAsia"/>
                <w:b/>
                <w:kern w:val="0"/>
                <w:sz w:val="18"/>
                <w:szCs w:val="18"/>
              </w:rPr>
              <w:t>监理项目</w:t>
            </w:r>
          </w:p>
        </w:tc>
        <w:tc>
          <w:tcPr>
            <w:tcW w:w="3686" w:type="dxa"/>
            <w:vAlign w:val="center"/>
          </w:tcPr>
          <w:p w:rsidR="00D228BE" w:rsidRPr="00677D1F" w:rsidRDefault="00332EB6" w:rsidP="00677D1F">
            <w:pPr>
              <w:widowControl/>
              <w:contextualSpacing/>
              <w:jc w:val="center"/>
              <w:rPr>
                <w:rFonts w:ascii="宋体" w:eastAsia="宋体" w:hAnsi="宋体" w:cs="宋体"/>
                <w:b/>
                <w:kern w:val="0"/>
                <w:sz w:val="18"/>
                <w:szCs w:val="18"/>
              </w:rPr>
            </w:pPr>
            <w:r w:rsidRPr="00677D1F">
              <w:rPr>
                <w:rFonts w:ascii="宋体" w:eastAsia="宋体" w:hAnsi="宋体" w:cs="宋体" w:hint="eastAsia"/>
                <w:b/>
                <w:kern w:val="0"/>
                <w:sz w:val="18"/>
                <w:szCs w:val="18"/>
              </w:rPr>
              <w:t>监理内容</w:t>
            </w:r>
          </w:p>
        </w:tc>
        <w:tc>
          <w:tcPr>
            <w:tcW w:w="3542" w:type="dxa"/>
            <w:vAlign w:val="center"/>
          </w:tcPr>
          <w:p w:rsidR="00D228BE" w:rsidRPr="00677D1F" w:rsidRDefault="00332EB6" w:rsidP="00677D1F">
            <w:pPr>
              <w:widowControl/>
              <w:contextualSpacing/>
              <w:jc w:val="center"/>
              <w:rPr>
                <w:rFonts w:ascii="宋体" w:eastAsia="宋体" w:hAnsi="宋体" w:cs="宋体"/>
                <w:b/>
                <w:kern w:val="0"/>
                <w:sz w:val="18"/>
                <w:szCs w:val="18"/>
              </w:rPr>
            </w:pPr>
            <w:r w:rsidRPr="00677D1F">
              <w:rPr>
                <w:rFonts w:ascii="宋体" w:eastAsia="宋体" w:hAnsi="宋体" w:cs="宋体" w:hint="eastAsia"/>
                <w:b/>
                <w:kern w:val="0"/>
                <w:sz w:val="18"/>
                <w:szCs w:val="18"/>
              </w:rPr>
              <w:t>监理要求</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1</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平整场地</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配备洒水车，洒水降尘规范施工用地范围</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4级以上风力天气，禁止施工；减少原有地表植被破坏，减少扬尘污染。</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2</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基础开挖</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开挖产生砂土应用于厂区填方施工时要定时洒水降尘</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砂土在厂区内合理处置；强化环境管理，减少施工扬尘</w:t>
            </w:r>
            <w:r w:rsidRPr="00677D1F">
              <w:rPr>
                <w:rFonts w:ascii="宋体" w:eastAsia="宋体" w:hAnsi="宋体" w:cs="宋体" w:hint="eastAsia"/>
                <w:kern w:val="0"/>
                <w:sz w:val="18"/>
                <w:szCs w:val="18"/>
              </w:rPr>
              <w:cr/>
              <w:t>。</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3</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扬尘作业点</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施工现场和建筑体采取围栏、设置工棚、覆盖遮蔽等措施</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减少扬尘污染</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4</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建筑砂石</w:t>
            </w:r>
          </w:p>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材料运输</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水泥石灰等袋装运输；运输建筑砂石料车辆加盖篷布</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减少运输扬尘；无篷布车辆不得运输沙土、粉料</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5</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建筑物料</w:t>
            </w:r>
          </w:p>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堆放</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沙、渣土、灰土等易产生扬尘的物料，设置专门的堆场，堆场四周有围挡结构</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扬尘物料不得露天堆放；扬尘控制不利追究领导责任。</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6</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厂区临时</w:t>
            </w:r>
          </w:p>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lastRenderedPageBreak/>
              <w:t>运输道路</w:t>
            </w:r>
          </w:p>
        </w:tc>
        <w:tc>
          <w:tcPr>
            <w:tcW w:w="3686" w:type="dxa"/>
            <w:vAlign w:val="center"/>
          </w:tcPr>
          <w:p w:rsidR="00D228BE" w:rsidRPr="00677D1F" w:rsidRDefault="00332EB6" w:rsidP="00677D1F">
            <w:pPr>
              <w:pStyle w:val="ae"/>
              <w:widowControl/>
              <w:ind w:firstLineChars="0" w:firstLine="0"/>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lastRenderedPageBreak/>
              <w:t>硬化临时道路地面</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废水不得随意排放；定时洒水灭尘</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lastRenderedPageBreak/>
              <w:t>7</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施工噪声</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选用噪声低、效率高的机械设备</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施工场界噪声符合《建筑施工场界环境噪声排放标准》（GB12523-2011）</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8</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施工固废</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设置生活垃圾箱；建筑垃圾运往指定场所</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合理处置，不得乱堆乱放</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9</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施工废水</w:t>
            </w:r>
          </w:p>
        </w:tc>
        <w:tc>
          <w:tcPr>
            <w:tcW w:w="3686" w:type="dxa"/>
            <w:vAlign w:val="center"/>
          </w:tcPr>
          <w:p w:rsidR="00D228BE" w:rsidRPr="00677D1F" w:rsidRDefault="00332EB6" w:rsidP="00677D1F">
            <w:pPr>
              <w:pStyle w:val="ae"/>
              <w:widowControl/>
              <w:ind w:firstLineChars="0" w:firstLine="0"/>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设经过防渗处理的旱厕；设临时沉淀池</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施工废水合理处置，不得随意排放</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10</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环保设施</w:t>
            </w:r>
          </w:p>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和环保投资</w:t>
            </w:r>
          </w:p>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落实情况</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环保设施在施工阶段的工程进展情况和环保投资落实情况</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严格执行“三同时”制度，确保环保措施按工程设计和报告书要求同时施工建设</w:t>
            </w:r>
          </w:p>
        </w:tc>
      </w:tr>
      <w:tr w:rsidR="00D228BE" w:rsidRPr="00677D1F">
        <w:trPr>
          <w:trHeight w:val="340"/>
          <w:jc w:val="center"/>
        </w:trPr>
        <w:tc>
          <w:tcPr>
            <w:tcW w:w="711"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11</w:t>
            </w:r>
          </w:p>
        </w:tc>
        <w:tc>
          <w:tcPr>
            <w:tcW w:w="1133"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生态环境</w:t>
            </w:r>
          </w:p>
        </w:tc>
        <w:tc>
          <w:tcPr>
            <w:tcW w:w="3686"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及时平整，易引起水土流失的土石方堆放点采取土工布围栏等措施；强化环保意识。</w:t>
            </w:r>
          </w:p>
        </w:tc>
        <w:tc>
          <w:tcPr>
            <w:tcW w:w="3542" w:type="dxa"/>
            <w:vAlign w:val="center"/>
          </w:tcPr>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严格控制水土流失发生</w:t>
            </w:r>
          </w:p>
          <w:p w:rsidR="00D228BE" w:rsidRPr="00677D1F" w:rsidRDefault="00332EB6" w:rsidP="00677D1F">
            <w:pPr>
              <w:widowControl/>
              <w:contextualSpacing/>
              <w:jc w:val="center"/>
              <w:rPr>
                <w:rFonts w:ascii="宋体" w:eastAsia="宋体" w:hAnsi="宋体" w:cs="宋体"/>
                <w:kern w:val="0"/>
                <w:sz w:val="18"/>
                <w:szCs w:val="18"/>
              </w:rPr>
            </w:pPr>
            <w:r w:rsidRPr="00677D1F">
              <w:rPr>
                <w:rFonts w:ascii="宋体" w:eastAsia="宋体" w:hAnsi="宋体" w:cs="宋体" w:hint="eastAsia"/>
                <w:kern w:val="0"/>
                <w:sz w:val="18"/>
                <w:szCs w:val="18"/>
              </w:rPr>
              <w:t>开展环保意识教育、设置环保标准</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outlineLvl w:val="0"/>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7 运营期环境影响预测与评价</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7.1</w:t>
      </w:r>
      <w:r w:rsidRPr="00677D1F">
        <w:rPr>
          <w:rFonts w:ascii="宋体" w:hAnsi="宋体" w:hint="eastAsia"/>
          <w:bCs w:val="0"/>
          <w:kern w:val="2"/>
          <w:sz w:val="30"/>
          <w:szCs w:val="30"/>
        </w:rPr>
        <w:t xml:space="preserve"> 大气环境影响分析与评价</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7.1.1</w:t>
      </w:r>
      <w:r w:rsidRPr="00677D1F">
        <w:rPr>
          <w:rFonts w:ascii="宋体" w:hAnsi="宋体" w:hint="eastAsia"/>
          <w:sz w:val="28"/>
          <w:szCs w:val="28"/>
        </w:rPr>
        <w:t xml:space="preserve"> 长期气象统计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根据近</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年气候资料统计，哈密市位于中纬度亚欧大陆腹地，属温带大陆性干旱气候。地区气候的主要特征是：干燥少雨，晴天多，光照丰富，年、日温差大，降水分布不均；春季多风、冷暖多变，夏季酷热、蒸发强，秋季晴朗、降温迅速，冬季寒冷、低空气层稳定。年平均气温为</w:t>
      </w:r>
      <w:r w:rsidRPr="00677D1F">
        <w:rPr>
          <w:rFonts w:asciiTheme="minorEastAsia" w:hAnsiTheme="minorEastAsia" w:cs="宋体"/>
          <w:color w:val="000000"/>
          <w:kern w:val="0"/>
          <w:sz w:val="24"/>
          <w:szCs w:val="24"/>
        </w:rPr>
        <w:t>10.0</w:t>
      </w:r>
      <w:r w:rsidRPr="00677D1F">
        <w:rPr>
          <w:rFonts w:asciiTheme="minorEastAsia" w:hAnsiTheme="minorEastAsia" w:cs="宋体" w:hint="eastAsia"/>
          <w:color w:val="000000"/>
          <w:kern w:val="0"/>
          <w:sz w:val="24"/>
          <w:szCs w:val="24"/>
        </w:rPr>
        <w:t>℃；年平均相对湿度为</w:t>
      </w:r>
      <w:r w:rsidRPr="00677D1F">
        <w:rPr>
          <w:rFonts w:asciiTheme="minorEastAsia" w:hAnsiTheme="minorEastAsia" w:cs="宋体"/>
          <w:color w:val="000000"/>
          <w:kern w:val="0"/>
          <w:sz w:val="24"/>
          <w:szCs w:val="24"/>
        </w:rPr>
        <w:t>41</w:t>
      </w:r>
      <w:r w:rsidRPr="00677D1F">
        <w:rPr>
          <w:rFonts w:asciiTheme="minorEastAsia" w:hAnsiTheme="minorEastAsia" w:cs="宋体" w:hint="eastAsia"/>
          <w:color w:val="000000"/>
          <w:kern w:val="0"/>
          <w:sz w:val="24"/>
          <w:szCs w:val="24"/>
        </w:rPr>
        <w:t>％；年平均降水量为</w:t>
      </w:r>
      <w:r w:rsidRPr="00677D1F">
        <w:rPr>
          <w:rFonts w:asciiTheme="minorEastAsia" w:hAnsiTheme="minorEastAsia" w:cs="宋体"/>
          <w:color w:val="000000"/>
          <w:kern w:val="0"/>
          <w:sz w:val="24"/>
          <w:szCs w:val="24"/>
        </w:rPr>
        <w:t>39.1mm</w:t>
      </w:r>
      <w:r w:rsidRPr="00677D1F">
        <w:rPr>
          <w:rFonts w:asciiTheme="minorEastAsia" w:hAnsiTheme="minorEastAsia" w:cs="宋体" w:hint="eastAsia"/>
          <w:color w:val="000000"/>
          <w:kern w:val="0"/>
          <w:sz w:val="24"/>
          <w:szCs w:val="24"/>
        </w:rPr>
        <w:t>；年平均蒸发量为</w:t>
      </w:r>
      <w:r w:rsidRPr="00677D1F">
        <w:rPr>
          <w:rFonts w:asciiTheme="minorEastAsia" w:hAnsiTheme="minorEastAsia" w:cs="宋体"/>
          <w:color w:val="000000"/>
          <w:kern w:val="0"/>
          <w:sz w:val="24"/>
          <w:szCs w:val="24"/>
        </w:rPr>
        <w:t>2237mm</w:t>
      </w:r>
      <w:r w:rsidRPr="00677D1F">
        <w:rPr>
          <w:rFonts w:asciiTheme="minorEastAsia" w:hAnsiTheme="minorEastAsia" w:cs="宋体" w:hint="eastAsia"/>
          <w:color w:val="000000"/>
          <w:kern w:val="0"/>
          <w:sz w:val="24"/>
          <w:szCs w:val="24"/>
        </w:rPr>
        <w:t>；年主导风向为西北风。</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7.1.2</w:t>
      </w:r>
      <w:r w:rsidRPr="00677D1F">
        <w:rPr>
          <w:rFonts w:ascii="宋体" w:hAnsi="宋体" w:hint="eastAsia"/>
          <w:sz w:val="28"/>
          <w:szCs w:val="28"/>
        </w:rPr>
        <w:t xml:space="preserve"> 地面气象参数收集与统计</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7.1.2.1</w:t>
      </w:r>
      <w:r w:rsidRPr="00677D1F">
        <w:rPr>
          <w:rFonts w:asciiTheme="minorEastAsia" w:hAnsiTheme="minorEastAsia" w:cs="Times New Roman" w:hint="eastAsia"/>
          <w:b/>
          <w:bCs/>
          <w:color w:val="000000"/>
          <w:kern w:val="0"/>
          <w:sz w:val="24"/>
          <w:szCs w:val="24"/>
        </w:rPr>
        <w:t xml:space="preserve"> 气象站的代表性分析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本评价采用</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年全年逐日逐时气象资料，其中地面气象数据为哈密市气象站观测数据，该站位于东经</w:t>
      </w:r>
      <w:r w:rsidRPr="00677D1F">
        <w:rPr>
          <w:rFonts w:asciiTheme="minorEastAsia" w:hAnsiTheme="minorEastAsia" w:cs="宋体"/>
          <w:color w:val="000000"/>
          <w:kern w:val="0"/>
          <w:sz w:val="24"/>
          <w:szCs w:val="24"/>
        </w:rPr>
        <w:t>93.517°</w:t>
      </w:r>
      <w:r w:rsidRPr="00677D1F">
        <w:rPr>
          <w:rFonts w:asciiTheme="minorEastAsia" w:hAnsiTheme="minorEastAsia" w:cs="宋体" w:hint="eastAsia"/>
          <w:color w:val="000000"/>
          <w:kern w:val="0"/>
          <w:sz w:val="24"/>
          <w:szCs w:val="24"/>
        </w:rPr>
        <w:t>、北纬</w:t>
      </w:r>
      <w:r w:rsidRPr="00677D1F">
        <w:rPr>
          <w:rFonts w:asciiTheme="minorEastAsia" w:hAnsiTheme="minorEastAsia" w:cs="宋体"/>
          <w:color w:val="000000"/>
          <w:kern w:val="0"/>
          <w:sz w:val="24"/>
          <w:szCs w:val="24"/>
        </w:rPr>
        <w:t>42.817°</w:t>
      </w:r>
      <w:r w:rsidRPr="00677D1F">
        <w:rPr>
          <w:rFonts w:asciiTheme="minorEastAsia" w:hAnsiTheme="minorEastAsia" w:cs="宋体" w:hint="eastAsia"/>
          <w:color w:val="000000"/>
          <w:kern w:val="0"/>
          <w:sz w:val="24"/>
          <w:szCs w:val="24"/>
        </w:rPr>
        <w:t>，海拔高度</w:t>
      </w:r>
      <w:r w:rsidRPr="00677D1F">
        <w:rPr>
          <w:rFonts w:asciiTheme="minorEastAsia" w:hAnsiTheme="minorEastAsia" w:cs="宋体"/>
          <w:color w:val="000000"/>
          <w:kern w:val="0"/>
          <w:sz w:val="24"/>
          <w:szCs w:val="24"/>
        </w:rPr>
        <w:t>739</w:t>
      </w:r>
      <w:r w:rsidRPr="00677D1F">
        <w:rPr>
          <w:rFonts w:asciiTheme="minorEastAsia" w:hAnsiTheme="minorEastAsia" w:cs="宋体" w:hint="eastAsia"/>
          <w:color w:val="000000"/>
          <w:kern w:val="0"/>
          <w:sz w:val="24"/>
          <w:szCs w:val="24"/>
        </w:rPr>
        <w:t>m，距离本项目约</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km，区间地形平坦，高差较小，两地自然气候条件基本一致，属同一气候区域，具有较好的代表性。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根据《环境影响评价技术导则大气环境》（</w:t>
      </w:r>
      <w:r w:rsidRPr="00677D1F">
        <w:rPr>
          <w:rFonts w:asciiTheme="minorEastAsia" w:hAnsiTheme="minorEastAsia" w:cs="宋体"/>
          <w:color w:val="000000"/>
          <w:kern w:val="0"/>
          <w:sz w:val="24"/>
          <w:szCs w:val="24"/>
        </w:rPr>
        <w:t>HJ2.2-2008</w:t>
      </w:r>
      <w:r w:rsidRPr="00677D1F">
        <w:rPr>
          <w:rFonts w:asciiTheme="minorEastAsia" w:hAnsiTheme="minorEastAsia" w:cs="宋体" w:hint="eastAsia"/>
          <w:color w:val="000000"/>
          <w:kern w:val="0"/>
          <w:sz w:val="24"/>
          <w:szCs w:val="24"/>
        </w:rPr>
        <w:t>）的规定及预测模式需要，本项目地面气象参数采用哈密市气象站</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年全年逐日一日</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次（</w:t>
      </w:r>
      <w:r w:rsidRPr="00677D1F">
        <w:rPr>
          <w:rFonts w:asciiTheme="minorEastAsia" w:hAnsiTheme="minorEastAsia" w:cs="宋体"/>
          <w:color w:val="000000"/>
          <w:kern w:val="0"/>
          <w:sz w:val="24"/>
          <w:szCs w:val="24"/>
        </w:rPr>
        <w:t>02</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08</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14</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时）观测数据。地面气象数据中</w:t>
      </w:r>
      <w:r w:rsidRPr="00677D1F">
        <w:rPr>
          <w:rFonts w:asciiTheme="minorEastAsia" w:hAnsiTheme="minorEastAsia" w:cs="宋体"/>
          <w:color w:val="000000"/>
          <w:kern w:val="0"/>
          <w:sz w:val="24"/>
          <w:szCs w:val="24"/>
        </w:rPr>
        <w:t>AERMOD</w:t>
      </w:r>
      <w:r w:rsidRPr="00677D1F">
        <w:rPr>
          <w:rFonts w:asciiTheme="minorEastAsia" w:hAnsiTheme="minorEastAsia" w:cs="宋体" w:hint="eastAsia"/>
          <w:color w:val="000000"/>
          <w:kern w:val="0"/>
          <w:sz w:val="24"/>
          <w:szCs w:val="24"/>
        </w:rPr>
        <w:t>预测模式必须参数包括：时间、风向、风速、总云量、低云量、干球温度。</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7.1.2.2</w:t>
      </w:r>
      <w:r w:rsidRPr="00677D1F">
        <w:rPr>
          <w:rFonts w:asciiTheme="minorEastAsia" w:hAnsiTheme="minorEastAsia" w:cs="Times New Roman" w:hint="eastAsia"/>
          <w:b/>
          <w:bCs/>
          <w:color w:val="000000"/>
          <w:kern w:val="0"/>
          <w:sz w:val="24"/>
          <w:szCs w:val="24"/>
        </w:rPr>
        <w:t xml:space="preserve"> 地面常规气象观测资料调查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根据《环境影响评价技术导则</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大气环境》（</w:t>
      </w:r>
      <w:r w:rsidRPr="00677D1F">
        <w:rPr>
          <w:rFonts w:asciiTheme="minorEastAsia" w:hAnsiTheme="minorEastAsia" w:cs="宋体"/>
          <w:color w:val="000000"/>
          <w:kern w:val="0"/>
          <w:sz w:val="24"/>
          <w:szCs w:val="24"/>
        </w:rPr>
        <w:t>HJ/T2.2-2008</w:t>
      </w:r>
      <w:r w:rsidRPr="00677D1F">
        <w:rPr>
          <w:rFonts w:asciiTheme="minorEastAsia" w:hAnsiTheme="minorEastAsia" w:cs="宋体" w:hint="eastAsia"/>
          <w:color w:val="000000"/>
          <w:kern w:val="0"/>
          <w:sz w:val="24"/>
          <w:szCs w:val="24"/>
        </w:rPr>
        <w:t>）对二级评价的气象分析要求，拟建项目评价区域基本气象分析结果如下：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）地面风向特征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经对</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年地面气象观测数据的统计分析，</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年年均风频的月变化、年均风频的季变化及年均风频见表</w:t>
      </w:r>
      <w:r w:rsidRPr="00677D1F">
        <w:rPr>
          <w:rFonts w:asciiTheme="minorEastAsia" w:hAnsiTheme="minorEastAsia" w:cs="宋体"/>
          <w:color w:val="000000"/>
          <w:kern w:val="0"/>
          <w:sz w:val="24"/>
          <w:szCs w:val="24"/>
        </w:rPr>
        <w:t>7.1-1</w:t>
      </w:r>
      <w:r w:rsidRPr="00677D1F">
        <w:rPr>
          <w:rFonts w:asciiTheme="minorEastAsia" w:hAnsiTheme="minorEastAsia" w:cs="宋体" w:hint="eastAsia"/>
          <w:color w:val="000000"/>
          <w:kern w:val="0"/>
          <w:sz w:val="24"/>
          <w:szCs w:val="24"/>
        </w:rPr>
        <w:t>，全年及各季节风向图见图</w:t>
      </w:r>
      <w:r w:rsidRPr="00677D1F">
        <w:rPr>
          <w:rFonts w:asciiTheme="minorEastAsia" w:hAnsiTheme="minorEastAsia" w:cs="宋体"/>
          <w:color w:val="000000"/>
          <w:kern w:val="0"/>
          <w:sz w:val="24"/>
          <w:szCs w:val="24"/>
        </w:rPr>
        <w:t>7.1-1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表7.1-1全年各月、各季、全年各风向出现频率（%）</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从统计结果来看，评价区域主导风向明显，静风频率较高。区域年主导风向为</w:t>
      </w:r>
      <w:r w:rsidRPr="00677D1F">
        <w:rPr>
          <w:rFonts w:asciiTheme="minorEastAsia" w:hAnsiTheme="minorEastAsia" w:cs="宋体"/>
          <w:color w:val="000000"/>
          <w:kern w:val="0"/>
          <w:sz w:val="24"/>
          <w:szCs w:val="24"/>
        </w:rPr>
        <w:t>NE-ENE</w:t>
      </w:r>
      <w:r w:rsidRPr="00677D1F">
        <w:rPr>
          <w:rFonts w:asciiTheme="minorEastAsia" w:hAnsiTheme="minorEastAsia" w:cs="宋体" w:hint="eastAsia"/>
          <w:color w:val="000000"/>
          <w:kern w:val="0"/>
          <w:sz w:val="24"/>
          <w:szCs w:val="24"/>
        </w:rPr>
        <w:t>风向角范围，其主导风向角频率之和为</w:t>
      </w:r>
      <w:r w:rsidRPr="00677D1F">
        <w:rPr>
          <w:rFonts w:asciiTheme="minorEastAsia" w:hAnsiTheme="minorEastAsia" w:cs="宋体"/>
          <w:color w:val="000000"/>
          <w:kern w:val="0"/>
          <w:sz w:val="24"/>
          <w:szCs w:val="24"/>
        </w:rPr>
        <w:t>31.03%</w:t>
      </w:r>
      <w:r w:rsidRPr="00677D1F">
        <w:rPr>
          <w:rFonts w:asciiTheme="minorEastAsia" w:hAnsiTheme="minorEastAsia" w:cs="宋体" w:hint="eastAsia"/>
          <w:color w:val="000000"/>
          <w:kern w:val="0"/>
          <w:sz w:val="24"/>
          <w:szCs w:val="24"/>
        </w:rPr>
        <w:t>；全年静风出现频率较高为</w:t>
      </w:r>
      <w:r w:rsidRPr="00677D1F">
        <w:rPr>
          <w:rFonts w:asciiTheme="minorEastAsia" w:hAnsiTheme="minorEastAsia" w:cs="宋体"/>
          <w:color w:val="000000"/>
          <w:kern w:val="0"/>
          <w:sz w:val="24"/>
          <w:szCs w:val="24"/>
        </w:rPr>
        <w:t>5.21%</w:t>
      </w:r>
      <w:r w:rsidRPr="00677D1F">
        <w:rPr>
          <w:rFonts w:asciiTheme="minorEastAsia" w:hAnsiTheme="minorEastAsia"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7.1-1</w:t>
      </w:r>
      <w:r w:rsidRPr="00677D1F">
        <w:rPr>
          <w:rFonts w:ascii="黑体" w:eastAsia="黑体" w:hAnsi="黑体" w:cs="宋体" w:hint="eastAsia"/>
          <w:b/>
          <w:color w:val="000000"/>
          <w:kern w:val="0"/>
          <w:szCs w:val="21"/>
        </w:rPr>
        <w:t>全年及各季节风向玫瑰图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）地面风速特征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经对</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年地面气象观测数据的统计分析，</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年年均风速的月变&lt;2&gt;附表化及年均风频见表</w:t>
      </w:r>
      <w:r w:rsidRPr="00677D1F">
        <w:rPr>
          <w:rFonts w:asciiTheme="minorEastAsia" w:hAnsiTheme="minorEastAsia" w:cs="宋体"/>
          <w:color w:val="000000"/>
          <w:kern w:val="0"/>
          <w:sz w:val="24"/>
          <w:szCs w:val="24"/>
        </w:rPr>
        <w:t>7.1-2</w:t>
      </w:r>
      <w:r w:rsidRPr="00677D1F">
        <w:rPr>
          <w:rFonts w:asciiTheme="minorEastAsia" w:hAnsiTheme="minorEastAsia" w:cs="宋体" w:hint="eastAsia"/>
          <w:color w:val="000000"/>
          <w:kern w:val="0"/>
          <w:sz w:val="24"/>
          <w:szCs w:val="24"/>
        </w:rPr>
        <w:t>，相应月平均风速变化图见图</w:t>
      </w:r>
      <w:r w:rsidRPr="00677D1F">
        <w:rPr>
          <w:rFonts w:asciiTheme="minorEastAsia" w:hAnsiTheme="minorEastAsia" w:cs="宋体"/>
          <w:color w:val="000000"/>
          <w:kern w:val="0"/>
          <w:sz w:val="24"/>
          <w:szCs w:val="24"/>
        </w:rPr>
        <w:t>7.1-2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从统计结果来看，年平均风速</w:t>
      </w:r>
      <w:r w:rsidRPr="00677D1F">
        <w:rPr>
          <w:rFonts w:asciiTheme="minorEastAsia" w:hAnsiTheme="minorEastAsia" w:cs="宋体"/>
          <w:color w:val="000000"/>
          <w:kern w:val="0"/>
          <w:sz w:val="24"/>
          <w:szCs w:val="24"/>
        </w:rPr>
        <w:t>1.41m/s</w:t>
      </w:r>
      <w:r w:rsidRPr="00677D1F">
        <w:rPr>
          <w:rFonts w:asciiTheme="minorEastAsia" w:hAnsiTheme="minorEastAsia" w:cs="宋体" w:hint="eastAsia"/>
          <w:color w:val="000000"/>
          <w:kern w:val="0"/>
          <w:sz w:val="24"/>
          <w:szCs w:val="24"/>
        </w:rPr>
        <w:t>，全年</w:t>
      </w:r>
      <w:r w:rsidRPr="00677D1F">
        <w:rPr>
          <w:rFonts w:asciiTheme="minorEastAsia" w:hAnsiTheme="minorEastAsia" w:cs="宋体"/>
          <w:color w:val="000000"/>
          <w:kern w:val="0"/>
          <w:sz w:val="24"/>
          <w:szCs w:val="24"/>
        </w:rPr>
        <w:t>ESE</w:t>
      </w:r>
      <w:r w:rsidRPr="00677D1F">
        <w:rPr>
          <w:rFonts w:asciiTheme="minorEastAsia" w:hAnsiTheme="minorEastAsia" w:cs="宋体" w:hint="eastAsia"/>
          <w:color w:val="000000"/>
          <w:kern w:val="0"/>
          <w:sz w:val="24"/>
          <w:szCs w:val="24"/>
        </w:rPr>
        <w:t>方向的平均风速最大，为</w:t>
      </w:r>
      <w:r w:rsidRPr="00677D1F">
        <w:rPr>
          <w:rFonts w:asciiTheme="minorEastAsia" w:hAnsiTheme="minorEastAsia" w:cs="宋体"/>
          <w:color w:val="000000"/>
          <w:kern w:val="0"/>
          <w:sz w:val="24"/>
          <w:szCs w:val="24"/>
        </w:rPr>
        <w:t>1.82m/s</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表7.1-2全年、各月各风向下平均风速统计（m/s）</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7.1-2</w:t>
      </w:r>
      <w:r w:rsidRPr="00677D1F">
        <w:rPr>
          <w:rFonts w:ascii="黑体" w:eastAsia="黑体" w:hAnsi="黑体" w:cs="宋体" w:hint="eastAsia"/>
          <w:b/>
          <w:color w:val="000000"/>
          <w:kern w:val="0"/>
          <w:szCs w:val="21"/>
        </w:rPr>
        <w:t>全年平均风速月变化图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）地面温度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经对</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年地面气象观测数据的统计分析，评价区域</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年全年平均温度</w:t>
      </w:r>
      <w:r w:rsidRPr="00677D1F">
        <w:rPr>
          <w:rFonts w:asciiTheme="minorEastAsia" w:hAnsiTheme="minorEastAsia" w:cs="宋体"/>
          <w:color w:val="000000"/>
          <w:kern w:val="0"/>
          <w:sz w:val="24"/>
          <w:szCs w:val="24"/>
        </w:rPr>
        <w:t>10.18</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年年平均温度的月变化见表</w:t>
      </w:r>
      <w:r w:rsidRPr="00677D1F">
        <w:rPr>
          <w:rFonts w:asciiTheme="minorEastAsia" w:hAnsiTheme="minorEastAsia" w:cs="宋体"/>
          <w:color w:val="000000"/>
          <w:kern w:val="0"/>
          <w:sz w:val="24"/>
          <w:szCs w:val="24"/>
        </w:rPr>
        <w:t>7.1-3</w:t>
      </w:r>
      <w:r w:rsidRPr="00677D1F">
        <w:rPr>
          <w:rFonts w:asciiTheme="minorEastAsia" w:hAnsiTheme="minorEastAsia" w:cs="宋体" w:hint="eastAsia"/>
          <w:color w:val="000000"/>
          <w:kern w:val="0"/>
          <w:sz w:val="24"/>
          <w:szCs w:val="24"/>
        </w:rPr>
        <w:t>，年平均温度月变化曲线见图</w:t>
      </w:r>
      <w:r w:rsidRPr="00677D1F">
        <w:rPr>
          <w:rFonts w:asciiTheme="minorEastAsia" w:hAnsiTheme="minorEastAsia" w:cs="宋体"/>
          <w:color w:val="000000"/>
          <w:kern w:val="0"/>
          <w:sz w:val="24"/>
          <w:szCs w:val="24"/>
        </w:rPr>
        <w:t>7.1-3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表7.1-3年平均温度的月变化</w:t>
      </w:r>
    </w:p>
    <w:p w:rsidR="00390272" w:rsidRPr="00677D1F" w:rsidRDefault="00390272" w:rsidP="00677D1F">
      <w:pPr>
        <w:pStyle w:val="3"/>
        <w:ind w:firstLine="482"/>
        <w:contextualSpacing/>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7.1-3</w:t>
      </w:r>
      <w:r w:rsidRPr="00677D1F">
        <w:rPr>
          <w:rFonts w:ascii="黑体" w:eastAsia="黑体" w:hAnsi="黑体" w:cs="宋体" w:hint="eastAsia"/>
          <w:b/>
          <w:color w:val="000000"/>
          <w:kern w:val="0"/>
          <w:szCs w:val="21"/>
        </w:rPr>
        <w:t>年平均温度月变化曲线图</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7.1.3</w:t>
      </w:r>
      <w:r w:rsidRPr="00677D1F">
        <w:rPr>
          <w:rFonts w:ascii="宋体" w:hAnsi="宋体" w:hint="eastAsia"/>
          <w:sz w:val="28"/>
          <w:szCs w:val="28"/>
        </w:rPr>
        <w:t xml:space="preserve"> 预测方案</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7.1.3.1</w:t>
      </w:r>
      <w:r w:rsidRPr="00677D1F">
        <w:rPr>
          <w:rFonts w:asciiTheme="minorEastAsia" w:hAnsiTheme="minorEastAsia" w:cs="Times New Roman" w:hint="eastAsia"/>
          <w:b/>
          <w:bCs/>
          <w:color w:val="000000"/>
          <w:kern w:val="0"/>
          <w:sz w:val="24"/>
          <w:szCs w:val="24"/>
        </w:rPr>
        <w:t xml:space="preserve"> 预测因子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根据拟建项目建成后排放的常规污染源和特征污染物对评价区域和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环境空气敏感点的最大影响，确定其预测因子为：</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7.1.3.2</w:t>
      </w:r>
      <w:r w:rsidRPr="00677D1F">
        <w:rPr>
          <w:rFonts w:asciiTheme="minorEastAsia" w:hAnsiTheme="minorEastAsia" w:cs="Times New Roman" w:hint="eastAsia"/>
          <w:b/>
          <w:bCs/>
          <w:color w:val="000000"/>
          <w:kern w:val="0"/>
          <w:sz w:val="24"/>
          <w:szCs w:val="24"/>
        </w:rPr>
        <w:t>预测计算点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预测计算点包括评价范围内的</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个环境保护目标和整个评价区域，区域预测网格距取</w:t>
      </w:r>
      <w:r w:rsidRPr="00677D1F">
        <w:rPr>
          <w:rFonts w:asciiTheme="minorEastAsia" w:hAnsiTheme="minorEastAsia" w:cs="宋体"/>
          <w:color w:val="000000"/>
          <w:kern w:val="0"/>
          <w:sz w:val="24"/>
          <w:szCs w:val="24"/>
        </w:rPr>
        <w:t>500m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7.1.3.3</w:t>
      </w:r>
      <w:r w:rsidRPr="00677D1F">
        <w:rPr>
          <w:rFonts w:asciiTheme="minorEastAsia" w:hAnsiTheme="minorEastAsia" w:cs="Times New Roman" w:hint="eastAsia"/>
          <w:b/>
          <w:bCs/>
          <w:color w:val="000000"/>
          <w:kern w:val="0"/>
          <w:sz w:val="24"/>
          <w:szCs w:val="24"/>
        </w:rPr>
        <w:t>预测内容及预测情景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①</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年全年逐时、逐日和全年气象条件下，拟建项目对关心点、评价范围内的最大地面小时浓度、日平均浓度及年均浓度贡献值，并绘制典型小时、典型日及年平均浓度等值线分布图；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②非正常排放情况下，</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年全年逐时气象条件下，拟建项目对关心点、评价范围内的最大地面小时浓度；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③拟建项目</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、颗粒物、</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厂界外最大地面小时浓度；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④拟建项目大气环境保护距离；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预测情景组合详见表</w:t>
      </w:r>
      <w:r w:rsidRPr="00677D1F">
        <w:rPr>
          <w:rFonts w:asciiTheme="minorEastAsia" w:hAnsiTheme="minorEastAsia" w:cs="宋体"/>
          <w:color w:val="000000"/>
          <w:kern w:val="0"/>
          <w:sz w:val="24"/>
          <w:szCs w:val="24"/>
        </w:rPr>
        <w:t>7.1-4</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表7.1-4预测情景组合表</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7.1.4</w:t>
      </w:r>
      <w:r w:rsidRPr="00677D1F">
        <w:rPr>
          <w:rFonts w:ascii="宋体" w:hAnsi="宋体" w:hint="eastAsia"/>
          <w:sz w:val="28"/>
          <w:szCs w:val="28"/>
        </w:rPr>
        <w:t xml:space="preserve"> 预测模式及有关参数</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7.1.4.1</w:t>
      </w:r>
      <w:r w:rsidRPr="00677D1F">
        <w:rPr>
          <w:rFonts w:asciiTheme="minorEastAsia" w:hAnsiTheme="minorEastAsia" w:cs="Times New Roman" w:hint="eastAsia"/>
          <w:b/>
          <w:bCs/>
          <w:color w:val="000000"/>
          <w:kern w:val="0"/>
          <w:sz w:val="24"/>
          <w:szCs w:val="24"/>
        </w:rPr>
        <w:t xml:space="preserve"> 预测模式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本次大气环境影响预测采用六五软件工作室开发的</w:t>
      </w:r>
      <w:r w:rsidRPr="00677D1F">
        <w:rPr>
          <w:rFonts w:asciiTheme="minorEastAsia" w:hAnsiTheme="minorEastAsia" w:cs="宋体"/>
          <w:color w:val="000000"/>
          <w:kern w:val="0"/>
          <w:sz w:val="24"/>
          <w:szCs w:val="24"/>
        </w:rPr>
        <w:t>EIAProA2008</w:t>
      </w:r>
      <w:r w:rsidRPr="00677D1F">
        <w:rPr>
          <w:rFonts w:asciiTheme="minorEastAsia" w:hAnsiTheme="minorEastAsia" w:cs="宋体" w:hint="eastAsia"/>
          <w:color w:val="000000"/>
          <w:kern w:val="0"/>
          <w:sz w:val="24"/>
          <w:szCs w:val="24"/>
        </w:rPr>
        <w:t>大气环评专业辅助系统（此软件以</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年大气环境影响评价导则的要求为编制依据，采用大气导则中推荐的</w:t>
      </w:r>
      <w:r w:rsidRPr="00677D1F">
        <w:rPr>
          <w:rFonts w:asciiTheme="minorEastAsia" w:hAnsiTheme="minorEastAsia" w:cs="宋体"/>
          <w:color w:val="000000"/>
          <w:kern w:val="0"/>
          <w:sz w:val="24"/>
          <w:szCs w:val="24"/>
        </w:rPr>
        <w:t>AERMOD</w:t>
      </w:r>
      <w:r w:rsidRPr="00677D1F">
        <w:rPr>
          <w:rFonts w:asciiTheme="minorEastAsia" w:hAnsiTheme="minorEastAsia" w:cs="宋体" w:hint="eastAsia"/>
          <w:color w:val="000000"/>
          <w:kern w:val="0"/>
          <w:sz w:val="24"/>
          <w:szCs w:val="24"/>
        </w:rPr>
        <w:t>模式系统为模型内核，进行汉化和界面化处理），计算各网格点的环境空气地面浓度值，并对各关心点进行特定的计算。</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7.1.4.2</w:t>
      </w:r>
      <w:r w:rsidRPr="00677D1F">
        <w:rPr>
          <w:rFonts w:asciiTheme="minorEastAsia" w:hAnsiTheme="minorEastAsia" w:cs="Times New Roman" w:hint="eastAsia"/>
          <w:b/>
          <w:bCs/>
          <w:color w:val="000000"/>
          <w:kern w:val="0"/>
          <w:sz w:val="24"/>
          <w:szCs w:val="24"/>
        </w:rPr>
        <w:t xml:space="preserve"> 地形参数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地形数据采用</w:t>
      </w:r>
      <w:r w:rsidRPr="00677D1F">
        <w:rPr>
          <w:rFonts w:asciiTheme="minorEastAsia" w:hAnsiTheme="minorEastAsia" w:cs="宋体"/>
          <w:color w:val="000000"/>
          <w:kern w:val="0"/>
          <w:sz w:val="24"/>
          <w:szCs w:val="24"/>
        </w:rPr>
        <w:t>csi.cgiar.org</w:t>
      </w:r>
      <w:r w:rsidRPr="00677D1F">
        <w:rPr>
          <w:rFonts w:asciiTheme="minorEastAsia" w:hAnsiTheme="minorEastAsia" w:cs="宋体" w:hint="eastAsia"/>
          <w:color w:val="000000"/>
          <w:kern w:val="0"/>
          <w:sz w:val="24"/>
          <w:szCs w:val="24"/>
        </w:rPr>
        <w:t>提供的</w:t>
      </w:r>
      <w:r w:rsidRPr="00677D1F">
        <w:rPr>
          <w:rFonts w:asciiTheme="minorEastAsia" w:hAnsiTheme="minorEastAsia" w:cs="宋体"/>
          <w:color w:val="000000"/>
          <w:kern w:val="0"/>
          <w:sz w:val="24"/>
          <w:szCs w:val="24"/>
        </w:rPr>
        <w:t>srtm</w:t>
      </w:r>
      <w:r w:rsidRPr="00677D1F">
        <w:rPr>
          <w:rFonts w:asciiTheme="minorEastAsia" w:hAnsiTheme="minorEastAsia" w:cs="宋体" w:hint="eastAsia"/>
          <w:color w:val="000000"/>
          <w:kern w:val="0"/>
          <w:sz w:val="24"/>
          <w:szCs w:val="24"/>
        </w:rPr>
        <w:t>免费数据，数据精度为</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秒（约</w:t>
      </w:r>
      <w:r w:rsidRPr="00677D1F">
        <w:rPr>
          <w:rFonts w:asciiTheme="minorEastAsia" w:hAnsiTheme="minorEastAsia" w:cs="宋体"/>
          <w:color w:val="000000"/>
          <w:kern w:val="0"/>
          <w:sz w:val="24"/>
          <w:szCs w:val="24"/>
        </w:rPr>
        <w:t>90m</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EIAProA2008</w:t>
      </w:r>
      <w:r w:rsidRPr="00677D1F">
        <w:rPr>
          <w:rFonts w:asciiTheme="minorEastAsia" w:hAnsiTheme="minorEastAsia" w:cs="宋体" w:hint="eastAsia"/>
          <w:color w:val="000000"/>
          <w:kern w:val="0"/>
          <w:sz w:val="24"/>
          <w:szCs w:val="24"/>
        </w:rPr>
        <w:t>软件可根据项目位置即时提供所需文件下载连接进行数据下载。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对</w:t>
      </w:r>
      <w:r w:rsidRPr="00677D1F">
        <w:rPr>
          <w:rFonts w:asciiTheme="minorEastAsia" w:hAnsiTheme="minorEastAsia" w:cs="宋体"/>
          <w:color w:val="000000"/>
          <w:kern w:val="0"/>
          <w:sz w:val="24"/>
          <w:szCs w:val="24"/>
        </w:rPr>
        <w:t>AERMOD</w:t>
      </w:r>
      <w:r w:rsidRPr="00677D1F">
        <w:rPr>
          <w:rFonts w:asciiTheme="minorEastAsia" w:hAnsiTheme="minorEastAsia" w:cs="宋体" w:hint="eastAsia"/>
          <w:color w:val="000000"/>
          <w:kern w:val="0"/>
          <w:sz w:val="24"/>
          <w:szCs w:val="24"/>
        </w:rPr>
        <w:t>模型，将使用</w:t>
      </w:r>
      <w:r w:rsidRPr="00677D1F">
        <w:rPr>
          <w:rFonts w:asciiTheme="minorEastAsia" w:hAnsiTheme="minorEastAsia" w:cs="宋体"/>
          <w:color w:val="000000"/>
          <w:kern w:val="0"/>
          <w:sz w:val="24"/>
          <w:szCs w:val="24"/>
        </w:rPr>
        <w:t>AERMAP</w:t>
      </w:r>
      <w:r w:rsidRPr="00677D1F">
        <w:rPr>
          <w:rFonts w:asciiTheme="minorEastAsia" w:hAnsiTheme="minorEastAsia" w:cs="宋体" w:hint="eastAsia"/>
          <w:color w:val="000000"/>
          <w:kern w:val="0"/>
          <w:sz w:val="24"/>
          <w:szCs w:val="24"/>
        </w:rPr>
        <w:t>处理地形。地形数据为</w:t>
      </w:r>
      <w:r w:rsidRPr="00677D1F">
        <w:rPr>
          <w:rFonts w:asciiTheme="minorEastAsia" w:hAnsiTheme="minorEastAsia" w:cs="宋体"/>
          <w:color w:val="000000"/>
          <w:kern w:val="0"/>
          <w:sz w:val="24"/>
          <w:szCs w:val="24"/>
        </w:rPr>
        <w:t>DEM</w:t>
      </w:r>
      <w:r w:rsidRPr="00677D1F">
        <w:rPr>
          <w:rFonts w:asciiTheme="minorEastAsia" w:hAnsiTheme="minorEastAsia" w:cs="宋体" w:hint="eastAsia"/>
          <w:color w:val="000000"/>
          <w:kern w:val="0"/>
          <w:sz w:val="24"/>
          <w:szCs w:val="24"/>
        </w:rPr>
        <w:t>文件，</w:t>
      </w:r>
      <w:r w:rsidRPr="00677D1F">
        <w:rPr>
          <w:rFonts w:asciiTheme="minorEastAsia" w:hAnsiTheme="minorEastAsia" w:cs="宋体"/>
          <w:color w:val="000000"/>
          <w:kern w:val="0"/>
          <w:sz w:val="24"/>
          <w:szCs w:val="24"/>
        </w:rPr>
        <w:t>DEM</w:t>
      </w:r>
      <w:r w:rsidRPr="00677D1F">
        <w:rPr>
          <w:rFonts w:asciiTheme="minorEastAsia" w:hAnsiTheme="minorEastAsia" w:cs="宋体" w:hint="eastAsia"/>
          <w:color w:val="000000"/>
          <w:kern w:val="0"/>
          <w:sz w:val="24"/>
          <w:szCs w:val="24"/>
        </w:rPr>
        <w:t>文件数据范围覆盖全部坐标点的范围。</w:t>
      </w:r>
      <w:r w:rsidRPr="00677D1F">
        <w:rPr>
          <w:rFonts w:asciiTheme="minorEastAsia" w:hAnsiTheme="minorEastAsia" w:cs="宋体"/>
          <w:color w:val="000000"/>
          <w:kern w:val="0"/>
          <w:sz w:val="24"/>
          <w:szCs w:val="24"/>
        </w:rPr>
        <w:t>EIAProA2008</w:t>
      </w:r>
      <w:r w:rsidRPr="00677D1F">
        <w:rPr>
          <w:rFonts w:asciiTheme="minorEastAsia" w:hAnsiTheme="minorEastAsia" w:cs="宋体" w:hint="eastAsia"/>
          <w:color w:val="000000"/>
          <w:kern w:val="0"/>
          <w:sz w:val="24"/>
          <w:szCs w:val="24"/>
        </w:rPr>
        <w:t>软件运行</w:t>
      </w:r>
      <w:r w:rsidRPr="00677D1F">
        <w:rPr>
          <w:rFonts w:asciiTheme="minorEastAsia" w:hAnsiTheme="minorEastAsia" w:cs="宋体"/>
          <w:color w:val="000000"/>
          <w:kern w:val="0"/>
          <w:sz w:val="24"/>
          <w:szCs w:val="24"/>
        </w:rPr>
        <w:t>AERMAP</w:t>
      </w:r>
      <w:r w:rsidRPr="00677D1F">
        <w:rPr>
          <w:rFonts w:asciiTheme="minorEastAsia" w:hAnsiTheme="minorEastAsia" w:cs="宋体" w:hint="eastAsia"/>
          <w:color w:val="000000"/>
          <w:kern w:val="0"/>
          <w:sz w:val="24"/>
          <w:szCs w:val="24"/>
        </w:rPr>
        <w:t>即调用</w:t>
      </w:r>
      <w:r w:rsidRPr="00677D1F">
        <w:rPr>
          <w:rFonts w:asciiTheme="minorEastAsia" w:hAnsiTheme="minorEastAsia" w:cs="宋体"/>
          <w:color w:val="000000"/>
          <w:kern w:val="0"/>
          <w:sz w:val="24"/>
          <w:szCs w:val="24"/>
        </w:rPr>
        <w:t>AERMAP</w:t>
      </w:r>
      <w:r w:rsidRPr="00677D1F">
        <w:rPr>
          <w:rFonts w:asciiTheme="minorEastAsia" w:hAnsiTheme="minorEastAsia" w:cs="宋体" w:hint="eastAsia"/>
          <w:color w:val="000000"/>
          <w:kern w:val="0"/>
          <w:sz w:val="24"/>
          <w:szCs w:val="24"/>
        </w:rPr>
        <w:t>生成全部预测点的地面高程和控制高度。因此，该软件预测分析时已考虑了复杂地形影响。</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7.1.4.3</w:t>
      </w:r>
      <w:r w:rsidRPr="00677D1F">
        <w:rPr>
          <w:rFonts w:asciiTheme="minorEastAsia" w:hAnsiTheme="minorEastAsia" w:cs="Times New Roman" w:hint="eastAsia"/>
          <w:b/>
          <w:bCs/>
          <w:color w:val="000000"/>
          <w:kern w:val="0"/>
          <w:sz w:val="24"/>
          <w:szCs w:val="24"/>
        </w:rPr>
        <w:t xml:space="preserve"> 近地面参数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AERMOD</w:t>
      </w:r>
      <w:r w:rsidRPr="00677D1F">
        <w:rPr>
          <w:rFonts w:asciiTheme="minorEastAsia" w:hAnsiTheme="minorEastAsia" w:cs="宋体" w:hint="eastAsia"/>
          <w:color w:val="000000"/>
          <w:kern w:val="0"/>
          <w:sz w:val="24"/>
          <w:szCs w:val="24"/>
        </w:rPr>
        <w:t>所需近地面参数（正午地面反照率、白天波纹率及地面粗糙度）按一年四季不同，根据项目评价区域特点参考模型推荐参数进行设置，本项目设置近地面参数见表</w:t>
      </w:r>
      <w:r w:rsidRPr="00677D1F">
        <w:rPr>
          <w:rFonts w:asciiTheme="minorEastAsia" w:hAnsiTheme="minorEastAsia" w:cs="宋体"/>
          <w:color w:val="000000"/>
          <w:kern w:val="0"/>
          <w:sz w:val="24"/>
          <w:szCs w:val="24"/>
        </w:rPr>
        <w:t>7.1-5</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表7.1-5  AERMOD选用近地面参数</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7.1.4.4</w:t>
      </w:r>
      <w:r w:rsidRPr="00677D1F">
        <w:rPr>
          <w:rFonts w:asciiTheme="minorEastAsia" w:hAnsiTheme="minorEastAsia" w:cs="Times New Roman" w:hint="eastAsia"/>
          <w:b/>
          <w:bCs/>
          <w:color w:val="000000"/>
          <w:kern w:val="0"/>
          <w:sz w:val="24"/>
          <w:szCs w:val="24"/>
        </w:rPr>
        <w:t xml:space="preserve"> 相关气象条件参数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地面气象资料采用哈密市气象站</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年全年逐时（即一日</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次）的地面气象数据（主要包括风速、风向、总云量、低云量和干球温度）。根据</w:t>
      </w:r>
      <w:r w:rsidRPr="00677D1F">
        <w:rPr>
          <w:rFonts w:asciiTheme="minorEastAsia" w:hAnsiTheme="minorEastAsia" w:cs="宋体"/>
          <w:color w:val="000000"/>
          <w:kern w:val="0"/>
          <w:sz w:val="24"/>
          <w:szCs w:val="24"/>
        </w:rPr>
        <w:t>AERMOD</w:t>
      </w:r>
      <w:r w:rsidRPr="00677D1F">
        <w:rPr>
          <w:rFonts w:asciiTheme="minorEastAsia" w:hAnsiTheme="minorEastAsia" w:cs="宋体" w:hint="eastAsia"/>
          <w:color w:val="000000"/>
          <w:kern w:val="0"/>
          <w:sz w:val="24"/>
          <w:szCs w:val="24"/>
        </w:rPr>
        <w:t>模型对</w:t>
      </w: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年全年逐日逐时气象资料对预测计算点进行预测计算，选出区域最大浓度点及关心点</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对应的最大浓度出现的时刻或时期，作为最不利天气为计算气象条件。</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7.1.4.5</w:t>
      </w:r>
      <w:r w:rsidRPr="00677D1F">
        <w:rPr>
          <w:rFonts w:asciiTheme="minorEastAsia" w:hAnsiTheme="minorEastAsia" w:cs="Times New Roman" w:hint="eastAsia"/>
          <w:b/>
          <w:bCs/>
          <w:color w:val="000000"/>
          <w:kern w:val="0"/>
          <w:sz w:val="24"/>
          <w:szCs w:val="24"/>
        </w:rPr>
        <w:t xml:space="preserve"> 排放源参数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本拟建项目点源排放参数、非正常工况排放源参数及面源无组织排放量见表</w:t>
      </w:r>
      <w:r w:rsidRPr="00677D1F">
        <w:rPr>
          <w:rFonts w:asciiTheme="minorEastAsia" w:hAnsiTheme="minorEastAsia" w:cs="宋体"/>
          <w:color w:val="000000"/>
          <w:kern w:val="0"/>
          <w:sz w:val="24"/>
          <w:szCs w:val="24"/>
        </w:rPr>
        <w:t>3.4-2</w:t>
      </w:r>
      <w:r w:rsidRPr="00677D1F">
        <w:rPr>
          <w:rFonts w:asciiTheme="minorEastAsia" w:hAnsiTheme="minorEastAsia" w:cs="宋体" w:hint="eastAsia"/>
          <w:color w:val="000000"/>
          <w:kern w:val="0"/>
          <w:sz w:val="24"/>
          <w:szCs w:val="24"/>
        </w:rPr>
        <w:t>至表</w:t>
      </w:r>
      <w:r w:rsidRPr="00677D1F">
        <w:rPr>
          <w:rFonts w:asciiTheme="minorEastAsia" w:hAnsiTheme="minorEastAsia" w:cs="宋体"/>
          <w:color w:val="000000"/>
          <w:kern w:val="0"/>
          <w:sz w:val="24"/>
          <w:szCs w:val="24"/>
        </w:rPr>
        <w:t>3.4-6</w:t>
      </w:r>
      <w:r w:rsidRPr="00677D1F">
        <w:rPr>
          <w:rFonts w:asciiTheme="minorEastAsia" w:hAnsiTheme="minorEastAsia" w:cs="宋体" w:hint="eastAsia"/>
          <w:color w:val="000000"/>
          <w:kern w:val="0"/>
          <w:sz w:val="24"/>
          <w:szCs w:val="24"/>
        </w:rPr>
        <w:t>。建设项目评价区域内已批在建项目污染源情况见表</w:t>
      </w:r>
      <w:r w:rsidRPr="00677D1F">
        <w:rPr>
          <w:rFonts w:asciiTheme="minorEastAsia" w:hAnsiTheme="minorEastAsia" w:cs="宋体"/>
          <w:color w:val="000000"/>
          <w:kern w:val="0"/>
          <w:sz w:val="24"/>
          <w:szCs w:val="24"/>
        </w:rPr>
        <w:t>7.1-6</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表7.1-6（1）  建设项目评价区域内已批在建项目污染源情况</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表7.1-6（2）建设项目评价区域内已批在建项目污染源情况</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7.1.5</w:t>
      </w:r>
      <w:r w:rsidRPr="00677D1F">
        <w:rPr>
          <w:rFonts w:ascii="宋体" w:hAnsi="宋体" w:hint="eastAsia"/>
          <w:sz w:val="28"/>
          <w:szCs w:val="28"/>
        </w:rPr>
        <w:t xml:space="preserve"> 本项目大气环境影响预测结果与分析</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7.1.5.1</w:t>
      </w:r>
      <w:r w:rsidRPr="00677D1F">
        <w:rPr>
          <w:rFonts w:asciiTheme="minorEastAsia" w:hAnsiTheme="minorEastAsia" w:cs="Times New Roman" w:hint="eastAsia"/>
          <w:b/>
          <w:bCs/>
          <w:color w:val="000000"/>
          <w:kern w:val="0"/>
          <w:sz w:val="24"/>
          <w:szCs w:val="24"/>
        </w:rPr>
        <w:t xml:space="preserve"> 本项目贡献浓度叠加背景值浓度预测分析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w:t>
      </w:r>
      <w:r w:rsidRPr="00677D1F">
        <w:rPr>
          <w:rFonts w:asciiTheme="minorEastAsia" w:hAnsiTheme="minorEastAsia" w:cs="宋体"/>
          <w:color w:val="000000"/>
          <w:kern w:val="0"/>
          <w:sz w:val="24"/>
          <w:szCs w:val="24"/>
        </w:rPr>
        <w:t>AERMOD</w:t>
      </w:r>
      <w:r w:rsidRPr="00677D1F">
        <w:rPr>
          <w:rFonts w:asciiTheme="minorEastAsia" w:hAnsiTheme="minorEastAsia" w:cs="宋体" w:hint="eastAsia"/>
          <w:color w:val="000000"/>
          <w:kern w:val="0"/>
          <w:sz w:val="24"/>
          <w:szCs w:val="24"/>
        </w:rPr>
        <w:t>推荐模式分别计算本项目排放</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对评价范围内各关心点及区域最大浓度贡献值，表</w:t>
      </w:r>
      <w:r w:rsidRPr="00677D1F">
        <w:rPr>
          <w:rFonts w:asciiTheme="minorEastAsia" w:hAnsiTheme="minorEastAsia" w:cs="宋体"/>
          <w:color w:val="000000"/>
          <w:kern w:val="0"/>
          <w:sz w:val="24"/>
          <w:szCs w:val="24"/>
        </w:rPr>
        <w:t>7.1-7</w:t>
      </w:r>
      <w:r w:rsidRPr="00677D1F">
        <w:rPr>
          <w:rFonts w:asciiTheme="minorEastAsia" w:hAnsiTheme="minorEastAsia" w:cs="宋体" w:hint="eastAsia"/>
          <w:color w:val="000000"/>
          <w:kern w:val="0"/>
          <w:sz w:val="24"/>
          <w:szCs w:val="24"/>
        </w:rPr>
        <w:t>至表</w:t>
      </w:r>
      <w:r w:rsidRPr="00677D1F">
        <w:rPr>
          <w:rFonts w:asciiTheme="minorEastAsia" w:hAnsiTheme="minorEastAsia" w:cs="宋体"/>
          <w:color w:val="000000"/>
          <w:kern w:val="0"/>
          <w:sz w:val="24"/>
          <w:szCs w:val="24"/>
        </w:rPr>
        <w:t>7.1-11</w:t>
      </w:r>
      <w:r w:rsidRPr="00677D1F">
        <w:rPr>
          <w:rFonts w:asciiTheme="minorEastAsia" w:hAnsiTheme="minorEastAsia" w:cs="宋体" w:hint="eastAsia"/>
          <w:color w:val="000000"/>
          <w:kern w:val="0"/>
          <w:sz w:val="24"/>
          <w:szCs w:val="24"/>
        </w:rPr>
        <w:t>分别列出各关心点及区域最大浓度点的</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预测浓度值及叠加背景值后的占标率，并给出了对应的最大浓度出现的时刻或时期。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根据预测结果，分别绘制出了区域出现</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小时平均浓度、日平均浓度和年均浓度最大值所对应时刻的区域浓度等值线图，见图</w:t>
      </w:r>
      <w:r w:rsidRPr="00677D1F">
        <w:rPr>
          <w:rFonts w:asciiTheme="minorEastAsia" w:hAnsiTheme="minorEastAsia" w:cs="宋体"/>
          <w:color w:val="000000"/>
          <w:kern w:val="0"/>
          <w:sz w:val="24"/>
          <w:szCs w:val="24"/>
        </w:rPr>
        <w:t>7.1-6</w:t>
      </w:r>
      <w:r w:rsidRPr="00677D1F">
        <w:rPr>
          <w:rFonts w:asciiTheme="minorEastAsia" w:hAnsiTheme="minorEastAsia" w:cs="宋体" w:hint="eastAsia"/>
          <w:color w:val="000000"/>
          <w:kern w:val="0"/>
          <w:sz w:val="24"/>
          <w:szCs w:val="24"/>
        </w:rPr>
        <w:t>至图</w:t>
      </w:r>
      <w:r w:rsidRPr="00677D1F">
        <w:rPr>
          <w:rFonts w:asciiTheme="minorEastAsia" w:hAnsiTheme="minorEastAsia" w:cs="宋体"/>
          <w:color w:val="000000"/>
          <w:kern w:val="0"/>
          <w:sz w:val="24"/>
          <w:szCs w:val="24"/>
        </w:rPr>
        <w:t>7.1-15</w:t>
      </w:r>
      <w:r w:rsidRPr="00677D1F">
        <w:rPr>
          <w:rFonts w:asciiTheme="minorEastAsia" w:hAnsiTheme="minorEastAsia" w:cs="宋体" w:hint="eastAsia"/>
          <w:color w:val="000000"/>
          <w:kern w:val="0"/>
          <w:sz w:val="24"/>
          <w:szCs w:val="24"/>
        </w:rPr>
        <w:t>。其中，区域污染物小时浓度贡献等值线图即网格点最大小时浓度分布图，区域污染物日均浓度贡献等值线图即典型日浓度分布图。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本项目建成后，叠加背景值最终的环境影响，即：新增污染源预测值</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现状监测值</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在建污染源预测值</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项目建成后最终的环境影响。根据《环境影响评价技术导则大气环境》（</w:t>
      </w:r>
      <w:r w:rsidRPr="00677D1F">
        <w:rPr>
          <w:rFonts w:asciiTheme="minorEastAsia" w:hAnsiTheme="minorEastAsia" w:cs="宋体"/>
          <w:color w:val="000000"/>
          <w:kern w:val="0"/>
          <w:sz w:val="24"/>
          <w:szCs w:val="24"/>
        </w:rPr>
        <w:t>HJ2.2-2008</w:t>
      </w:r>
      <w:r w:rsidRPr="00677D1F">
        <w:rPr>
          <w:rFonts w:asciiTheme="minorEastAsia" w:hAnsiTheme="minorEastAsia" w:cs="宋体" w:hint="eastAsia"/>
          <w:color w:val="000000"/>
          <w:kern w:val="0"/>
          <w:sz w:val="24"/>
          <w:szCs w:val="24"/>
        </w:rPr>
        <w:t>），其中各关心点背景浓度取同点位处的现状背景值的最大值进行叠加，区域最大浓度点的背景浓度取所有现状背景值的平均值。</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表7.1-7本项目SO2预测结果</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由上表可见，本项目排放</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叠加监测背景值后，对评价范围内各关心点及网格点最大小时平均浓度贡献值占标率为</w:t>
      </w:r>
      <w:r w:rsidRPr="00677D1F">
        <w:rPr>
          <w:rFonts w:asciiTheme="minorEastAsia" w:hAnsiTheme="minorEastAsia" w:cs="宋体"/>
          <w:color w:val="000000"/>
          <w:kern w:val="0"/>
          <w:sz w:val="24"/>
          <w:szCs w:val="24"/>
        </w:rPr>
        <w:t>22.28%</w:t>
      </w:r>
      <w:r w:rsidRPr="00677D1F">
        <w:rPr>
          <w:rFonts w:asciiTheme="minorEastAsia" w:hAnsiTheme="minorEastAsia" w:cs="宋体" w:hint="eastAsia"/>
          <w:color w:val="000000"/>
          <w:kern w:val="0"/>
          <w:sz w:val="24"/>
          <w:szCs w:val="24"/>
        </w:rPr>
        <w:t>；最大日平均浓度贡献值占标率为</w:t>
      </w:r>
      <w:r w:rsidRPr="00677D1F">
        <w:rPr>
          <w:rFonts w:asciiTheme="minorEastAsia" w:hAnsiTheme="minorEastAsia" w:cs="宋体"/>
          <w:color w:val="000000"/>
          <w:kern w:val="0"/>
          <w:sz w:val="24"/>
          <w:szCs w:val="24"/>
        </w:rPr>
        <w:lastRenderedPageBreak/>
        <w:t>24.52%</w:t>
      </w:r>
      <w:r w:rsidRPr="00677D1F">
        <w:rPr>
          <w:rFonts w:asciiTheme="minorEastAsia" w:hAnsiTheme="minorEastAsia" w:cs="宋体" w:hint="eastAsia"/>
          <w:color w:val="000000"/>
          <w:kern w:val="0"/>
          <w:sz w:val="24"/>
          <w:szCs w:val="24"/>
        </w:rPr>
        <w:t>；最大年平均浓度贡献值占标率为</w:t>
      </w:r>
      <w:r w:rsidRPr="00677D1F">
        <w:rPr>
          <w:rFonts w:asciiTheme="minorEastAsia" w:hAnsiTheme="minorEastAsia" w:cs="宋体"/>
          <w:color w:val="000000"/>
          <w:kern w:val="0"/>
          <w:sz w:val="24"/>
          <w:szCs w:val="24"/>
        </w:rPr>
        <w:t>21.7%</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贡献值在各关心点和网格点均无超标现象，对周围环境的贡献影响是完全可以接受的。</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Theme="minorEastAsia" w:hAnsiTheme="minorEastAsia" w:cs="宋体"/>
          <w:b/>
          <w:color w:val="000000"/>
          <w:kern w:val="0"/>
          <w:szCs w:val="21"/>
        </w:rPr>
      </w:pPr>
      <w:r w:rsidRPr="00677D1F">
        <w:rPr>
          <w:rFonts w:asciiTheme="minorEastAsia" w:hAnsiTheme="minorEastAsia" w:cs="宋体" w:hint="eastAsia"/>
          <w:b/>
          <w:color w:val="000000"/>
          <w:kern w:val="0"/>
          <w:szCs w:val="21"/>
        </w:rPr>
        <w:t>图</w:t>
      </w:r>
      <w:r w:rsidRPr="00677D1F">
        <w:rPr>
          <w:rFonts w:asciiTheme="minorEastAsia" w:hAnsiTheme="minorEastAsia" w:cs="宋体"/>
          <w:b/>
          <w:color w:val="000000"/>
          <w:kern w:val="0"/>
          <w:szCs w:val="21"/>
        </w:rPr>
        <w:t>7.1-6</w:t>
      </w:r>
      <w:r w:rsidRPr="00677D1F">
        <w:rPr>
          <w:rFonts w:asciiTheme="minorEastAsia" w:hAnsiTheme="minorEastAsia" w:cs="宋体" w:hint="eastAsia"/>
          <w:b/>
          <w:color w:val="000000"/>
          <w:kern w:val="0"/>
          <w:szCs w:val="21"/>
        </w:rPr>
        <w:t>区域</w:t>
      </w:r>
      <w:r w:rsidRPr="00677D1F">
        <w:rPr>
          <w:rFonts w:asciiTheme="minorEastAsia" w:hAnsiTheme="minorEastAsia" w:cs="宋体"/>
          <w:b/>
          <w:color w:val="000000"/>
          <w:kern w:val="0"/>
          <w:szCs w:val="21"/>
        </w:rPr>
        <w:t>SO2</w:t>
      </w:r>
      <w:r w:rsidRPr="00677D1F">
        <w:rPr>
          <w:rFonts w:asciiTheme="minorEastAsia" w:hAnsiTheme="minorEastAsia" w:cs="宋体" w:hint="eastAsia"/>
          <w:b/>
          <w:color w:val="000000"/>
          <w:kern w:val="0"/>
          <w:szCs w:val="21"/>
        </w:rPr>
        <w:t>小时（网格点最大小时）贡献浓度等值线</w:t>
      </w:r>
      <w:r w:rsidRPr="00677D1F">
        <w:rPr>
          <w:rFonts w:asciiTheme="minorEastAsia" w:hAnsiTheme="minorEastAsia" w:cs="宋体"/>
          <w:b/>
          <w:color w:val="000000"/>
          <w:kern w:val="0"/>
          <w:szCs w:val="21"/>
        </w:rPr>
        <w:t>（2012</w:t>
      </w:r>
      <w:r w:rsidRPr="00677D1F">
        <w:rPr>
          <w:rFonts w:asciiTheme="minorEastAsia" w:hAnsiTheme="minorEastAsia" w:cs="宋体" w:hint="eastAsia"/>
          <w:b/>
          <w:color w:val="000000"/>
          <w:kern w:val="0"/>
          <w:szCs w:val="21"/>
        </w:rPr>
        <w:t>年</w:t>
      </w:r>
      <w:r w:rsidRPr="00677D1F">
        <w:rPr>
          <w:rFonts w:asciiTheme="minorEastAsia" w:hAnsiTheme="minorEastAsia" w:cs="宋体"/>
          <w:b/>
          <w:color w:val="000000"/>
          <w:kern w:val="0"/>
          <w:szCs w:val="21"/>
        </w:rPr>
        <w:t>10</w:t>
      </w:r>
      <w:r w:rsidRPr="00677D1F">
        <w:rPr>
          <w:rFonts w:asciiTheme="minorEastAsia" w:hAnsiTheme="minorEastAsia" w:cs="宋体" w:hint="eastAsia"/>
          <w:b/>
          <w:color w:val="000000"/>
          <w:kern w:val="0"/>
          <w:szCs w:val="21"/>
        </w:rPr>
        <w:t>月</w:t>
      </w:r>
      <w:r w:rsidRPr="00677D1F">
        <w:rPr>
          <w:rFonts w:asciiTheme="minorEastAsia" w:hAnsiTheme="minorEastAsia" w:cs="宋体"/>
          <w:b/>
          <w:color w:val="000000"/>
          <w:kern w:val="0"/>
          <w:szCs w:val="21"/>
        </w:rPr>
        <w:t>12</w:t>
      </w:r>
      <w:r w:rsidRPr="00677D1F">
        <w:rPr>
          <w:rFonts w:asciiTheme="minorEastAsia" w:hAnsiTheme="minorEastAsia" w:cs="宋体" w:hint="eastAsia"/>
          <w:b/>
          <w:color w:val="000000"/>
          <w:kern w:val="0"/>
          <w:szCs w:val="21"/>
        </w:rPr>
        <w:t>日</w:t>
      </w:r>
      <w:r w:rsidRPr="00677D1F">
        <w:rPr>
          <w:rFonts w:asciiTheme="minorEastAsia" w:hAnsiTheme="minorEastAsia" w:cs="宋体"/>
          <w:b/>
          <w:color w:val="000000"/>
          <w:kern w:val="0"/>
          <w:szCs w:val="21"/>
        </w:rPr>
        <w:t>08</w:t>
      </w:r>
      <w:r w:rsidRPr="00677D1F">
        <w:rPr>
          <w:rFonts w:asciiTheme="minorEastAsia" w:hAnsiTheme="minorEastAsia" w:cs="宋体" w:hint="eastAsia"/>
          <w:b/>
          <w:color w:val="000000"/>
          <w:kern w:val="0"/>
          <w:szCs w:val="21"/>
        </w:rPr>
        <w:t>时</w:t>
      </w:r>
      <w:r w:rsidRPr="00677D1F">
        <w:rPr>
          <w:rFonts w:asciiTheme="minorEastAsia" w:hAnsiTheme="minorEastAsia" w:cs="宋体"/>
          <w:b/>
          <w:color w:val="000000"/>
          <w:kern w:val="0"/>
          <w:szCs w:val="21"/>
        </w:rPr>
        <w:t>）</w:t>
      </w:r>
    </w:p>
    <w:p w:rsidR="00D228BE" w:rsidRPr="00677D1F" w:rsidRDefault="00332EB6" w:rsidP="00677D1F">
      <w:pPr>
        <w:widowControl/>
        <w:spacing w:line="360" w:lineRule="auto"/>
        <w:contextualSpacing/>
        <w:jc w:val="center"/>
        <w:outlineLvl w:val="8"/>
        <w:rPr>
          <w:rFonts w:asciiTheme="minorEastAsia" w:hAnsiTheme="minorEastAsia" w:cs="宋体"/>
          <w:b/>
          <w:color w:val="000000"/>
          <w:kern w:val="0"/>
          <w:szCs w:val="21"/>
        </w:rPr>
      </w:pPr>
      <w:r w:rsidRPr="00677D1F">
        <w:rPr>
          <w:rFonts w:asciiTheme="minorEastAsia" w:hAnsiTheme="minorEastAsia" w:cs="宋体" w:hint="eastAsia"/>
          <w:b/>
          <w:color w:val="000000"/>
          <w:kern w:val="0"/>
          <w:szCs w:val="21"/>
        </w:rPr>
        <w:t>图</w:t>
      </w:r>
      <w:r w:rsidRPr="00677D1F">
        <w:rPr>
          <w:rFonts w:asciiTheme="minorEastAsia" w:hAnsiTheme="minorEastAsia" w:cs="宋体"/>
          <w:b/>
          <w:color w:val="000000"/>
          <w:kern w:val="0"/>
          <w:szCs w:val="21"/>
        </w:rPr>
        <w:t>7.1-7</w:t>
      </w:r>
      <w:r w:rsidRPr="00677D1F">
        <w:rPr>
          <w:rFonts w:asciiTheme="minorEastAsia" w:hAnsiTheme="minorEastAsia" w:cs="宋体" w:hint="eastAsia"/>
          <w:b/>
          <w:color w:val="000000"/>
          <w:kern w:val="0"/>
          <w:szCs w:val="21"/>
        </w:rPr>
        <w:t>区域</w:t>
      </w:r>
      <w:r w:rsidRPr="00677D1F">
        <w:rPr>
          <w:rFonts w:asciiTheme="minorEastAsia" w:hAnsiTheme="minorEastAsia" w:cs="宋体"/>
          <w:b/>
          <w:color w:val="000000"/>
          <w:kern w:val="0"/>
          <w:szCs w:val="21"/>
        </w:rPr>
        <w:t>SO2</w:t>
      </w:r>
      <w:r w:rsidRPr="00677D1F">
        <w:rPr>
          <w:rFonts w:asciiTheme="minorEastAsia" w:hAnsiTheme="minorEastAsia" w:cs="宋体" w:hint="eastAsia"/>
          <w:b/>
          <w:color w:val="000000"/>
          <w:kern w:val="0"/>
          <w:szCs w:val="21"/>
        </w:rPr>
        <w:t>日平均（典型日）贡献浓度等值线</w:t>
      </w:r>
      <w:r w:rsidRPr="00677D1F">
        <w:rPr>
          <w:rFonts w:asciiTheme="minorEastAsia" w:hAnsiTheme="minorEastAsia" w:cs="宋体"/>
          <w:b/>
          <w:color w:val="000000"/>
          <w:kern w:val="0"/>
          <w:szCs w:val="21"/>
        </w:rPr>
        <w:t>（2012</w:t>
      </w:r>
      <w:r w:rsidRPr="00677D1F">
        <w:rPr>
          <w:rFonts w:asciiTheme="minorEastAsia" w:hAnsiTheme="minorEastAsia" w:cs="宋体" w:hint="eastAsia"/>
          <w:b/>
          <w:color w:val="000000"/>
          <w:kern w:val="0"/>
          <w:szCs w:val="21"/>
        </w:rPr>
        <w:t>年</w:t>
      </w:r>
      <w:r w:rsidRPr="00677D1F">
        <w:rPr>
          <w:rFonts w:asciiTheme="minorEastAsia" w:hAnsiTheme="minorEastAsia" w:cs="宋体"/>
          <w:b/>
          <w:color w:val="000000"/>
          <w:kern w:val="0"/>
          <w:szCs w:val="21"/>
        </w:rPr>
        <w:t>11</w:t>
      </w:r>
      <w:r w:rsidRPr="00677D1F">
        <w:rPr>
          <w:rFonts w:asciiTheme="minorEastAsia" w:hAnsiTheme="minorEastAsia" w:cs="宋体" w:hint="eastAsia"/>
          <w:b/>
          <w:color w:val="000000"/>
          <w:kern w:val="0"/>
          <w:szCs w:val="21"/>
        </w:rPr>
        <w:t>月</w:t>
      </w:r>
      <w:r w:rsidRPr="00677D1F">
        <w:rPr>
          <w:rFonts w:asciiTheme="minorEastAsia" w:hAnsiTheme="minorEastAsia" w:cs="宋体"/>
          <w:b/>
          <w:color w:val="000000"/>
          <w:kern w:val="0"/>
          <w:szCs w:val="21"/>
        </w:rPr>
        <w:t>5</w:t>
      </w:r>
      <w:r w:rsidRPr="00677D1F">
        <w:rPr>
          <w:rFonts w:asciiTheme="minorEastAsia" w:hAnsiTheme="minorEastAsia" w:cs="宋体" w:hint="eastAsia"/>
          <w:b/>
          <w:color w:val="000000"/>
          <w:kern w:val="0"/>
          <w:szCs w:val="21"/>
        </w:rPr>
        <w:t>日</w:t>
      </w:r>
      <w:r w:rsidRPr="00677D1F">
        <w:rPr>
          <w:rFonts w:asciiTheme="minorEastAsia" w:hAnsiTheme="minorEastAsia" w:cs="宋体"/>
          <w:b/>
          <w:color w:val="000000"/>
          <w:kern w:val="0"/>
          <w:szCs w:val="21"/>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7.1-8</w:t>
      </w:r>
      <w:r w:rsidRPr="00677D1F">
        <w:rPr>
          <w:rFonts w:ascii="黑体" w:eastAsia="黑体" w:hAnsi="黑体" w:cs="宋体" w:hint="eastAsia"/>
          <w:b/>
          <w:color w:val="000000"/>
          <w:kern w:val="0"/>
          <w:szCs w:val="21"/>
        </w:rPr>
        <w:t>区域</w:t>
      </w:r>
      <w:r w:rsidRPr="00677D1F">
        <w:rPr>
          <w:rFonts w:ascii="黑体" w:eastAsia="黑体" w:hAnsi="黑体" w:cs="宋体"/>
          <w:b/>
          <w:color w:val="000000"/>
          <w:kern w:val="0"/>
          <w:szCs w:val="21"/>
        </w:rPr>
        <w:t>SO2</w:t>
      </w:r>
      <w:r w:rsidRPr="00677D1F">
        <w:rPr>
          <w:rFonts w:ascii="黑体" w:eastAsia="黑体" w:hAnsi="黑体" w:cs="宋体" w:hint="eastAsia"/>
          <w:b/>
          <w:color w:val="000000"/>
          <w:kern w:val="0"/>
          <w:szCs w:val="21"/>
        </w:rPr>
        <w:t>年平均贡献浓度等值线</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表7.1-8本项目NO2预测结果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由上表可见，本项目排放</w:t>
      </w:r>
      <w:r w:rsidRPr="00677D1F">
        <w:rPr>
          <w:rFonts w:asciiTheme="minorEastAsia" w:hAnsiTheme="minorEastAsia" w:cs="宋体"/>
          <w:color w:val="000000"/>
          <w:kern w:val="0"/>
          <w:sz w:val="24"/>
          <w:szCs w:val="24"/>
        </w:rPr>
        <w:t>NO2</w:t>
      </w:r>
      <w:r w:rsidRPr="00677D1F">
        <w:rPr>
          <w:rFonts w:asciiTheme="minorEastAsia" w:hAnsiTheme="minorEastAsia" w:cs="宋体" w:hint="eastAsia"/>
          <w:color w:val="000000"/>
          <w:kern w:val="0"/>
          <w:sz w:val="24"/>
          <w:szCs w:val="24"/>
        </w:rPr>
        <w:t>叠加监测背景值后，对评价范围内各关心点及网格点最大小时平均浓度贡献值占标率为</w:t>
      </w:r>
      <w:r w:rsidRPr="00677D1F">
        <w:rPr>
          <w:rFonts w:asciiTheme="minorEastAsia" w:hAnsiTheme="minorEastAsia" w:cs="宋体"/>
          <w:color w:val="000000"/>
          <w:kern w:val="0"/>
          <w:sz w:val="24"/>
          <w:szCs w:val="24"/>
        </w:rPr>
        <w:t>19.44%</w:t>
      </w:r>
      <w:r w:rsidRPr="00677D1F">
        <w:rPr>
          <w:rFonts w:asciiTheme="minorEastAsia" w:hAnsiTheme="minorEastAsia" w:cs="宋体" w:hint="eastAsia"/>
          <w:color w:val="000000"/>
          <w:kern w:val="0"/>
          <w:sz w:val="24"/>
          <w:szCs w:val="24"/>
        </w:rPr>
        <w:t>；最大日平均浓度贡献值占标率为</w:t>
      </w:r>
      <w:r w:rsidRPr="00677D1F">
        <w:rPr>
          <w:rFonts w:asciiTheme="minorEastAsia" w:hAnsiTheme="minorEastAsia" w:cs="宋体"/>
          <w:color w:val="000000"/>
          <w:kern w:val="0"/>
          <w:sz w:val="24"/>
          <w:szCs w:val="24"/>
        </w:rPr>
        <w:t>12.68%</w:t>
      </w:r>
      <w:r w:rsidRPr="00677D1F">
        <w:rPr>
          <w:rFonts w:asciiTheme="minorEastAsia" w:hAnsiTheme="minorEastAsia" w:cs="宋体" w:hint="eastAsia"/>
          <w:color w:val="000000"/>
          <w:kern w:val="0"/>
          <w:sz w:val="24"/>
          <w:szCs w:val="24"/>
        </w:rPr>
        <w:t>；最大年平均浓度贡献值占标率为</w:t>
      </w:r>
      <w:r w:rsidRPr="00677D1F">
        <w:rPr>
          <w:rFonts w:asciiTheme="minorEastAsia" w:hAnsiTheme="minorEastAsia" w:cs="宋体"/>
          <w:color w:val="000000"/>
          <w:kern w:val="0"/>
          <w:sz w:val="24"/>
          <w:szCs w:val="24"/>
        </w:rPr>
        <w:t>6.26%</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NO2</w:t>
      </w:r>
      <w:r w:rsidRPr="00677D1F">
        <w:rPr>
          <w:rFonts w:asciiTheme="minorEastAsia" w:hAnsiTheme="minorEastAsia" w:cs="宋体" w:hint="eastAsia"/>
          <w:color w:val="000000"/>
          <w:kern w:val="0"/>
          <w:sz w:val="24"/>
          <w:szCs w:val="24"/>
        </w:rPr>
        <w:t>贡献值在各关心点和网格点均无超标现象，对周围环境的贡献影响是完全可以接受的。</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7.1-9</w:t>
      </w:r>
      <w:r w:rsidRPr="00677D1F">
        <w:rPr>
          <w:rFonts w:ascii="黑体" w:eastAsia="黑体" w:hAnsi="黑体" w:cs="宋体" w:hint="eastAsia"/>
          <w:b/>
          <w:color w:val="000000"/>
          <w:kern w:val="0"/>
          <w:szCs w:val="21"/>
        </w:rPr>
        <w:t>区域</w:t>
      </w:r>
      <w:r w:rsidRPr="00677D1F">
        <w:rPr>
          <w:rFonts w:ascii="黑体" w:eastAsia="黑体" w:hAnsi="黑体" w:cs="宋体"/>
          <w:b/>
          <w:color w:val="000000"/>
          <w:kern w:val="0"/>
          <w:szCs w:val="21"/>
        </w:rPr>
        <w:t>NO2</w:t>
      </w:r>
      <w:r w:rsidRPr="00677D1F">
        <w:rPr>
          <w:rFonts w:ascii="黑体" w:eastAsia="黑体" w:hAnsi="黑体" w:cs="宋体" w:hint="eastAsia"/>
          <w:b/>
          <w:color w:val="000000"/>
          <w:kern w:val="0"/>
          <w:szCs w:val="21"/>
        </w:rPr>
        <w:t>小时（网格点最大小时）贡献浓度等值线</w:t>
      </w:r>
      <w:r w:rsidRPr="00677D1F">
        <w:rPr>
          <w:rFonts w:ascii="黑体" w:eastAsia="黑体" w:hAnsi="黑体" w:cs="宋体"/>
          <w:b/>
          <w:color w:val="000000"/>
          <w:kern w:val="0"/>
          <w:szCs w:val="21"/>
        </w:rPr>
        <w:t>（2012</w:t>
      </w:r>
      <w:r w:rsidRPr="00677D1F">
        <w:rPr>
          <w:rFonts w:ascii="黑体" w:eastAsia="黑体" w:hAnsi="黑体" w:cs="宋体" w:hint="eastAsia"/>
          <w:b/>
          <w:color w:val="000000"/>
          <w:kern w:val="0"/>
          <w:szCs w:val="21"/>
        </w:rPr>
        <w:t>年</w:t>
      </w:r>
      <w:r w:rsidRPr="00677D1F">
        <w:rPr>
          <w:rFonts w:ascii="黑体" w:eastAsia="黑体" w:hAnsi="黑体" w:cs="宋体"/>
          <w:b/>
          <w:color w:val="000000"/>
          <w:kern w:val="0"/>
          <w:szCs w:val="21"/>
        </w:rPr>
        <w:t>2</w:t>
      </w:r>
      <w:r w:rsidRPr="00677D1F">
        <w:rPr>
          <w:rFonts w:ascii="黑体" w:eastAsia="黑体" w:hAnsi="黑体" w:cs="宋体" w:hint="eastAsia"/>
          <w:b/>
          <w:color w:val="000000"/>
          <w:kern w:val="0"/>
          <w:szCs w:val="21"/>
        </w:rPr>
        <w:t>月</w:t>
      </w:r>
      <w:r w:rsidRPr="00677D1F">
        <w:rPr>
          <w:rFonts w:ascii="黑体" w:eastAsia="黑体" w:hAnsi="黑体" w:cs="宋体"/>
          <w:b/>
          <w:color w:val="000000"/>
          <w:kern w:val="0"/>
          <w:szCs w:val="21"/>
        </w:rPr>
        <w:t>28</w:t>
      </w:r>
      <w:r w:rsidRPr="00677D1F">
        <w:rPr>
          <w:rFonts w:ascii="黑体" w:eastAsia="黑体" w:hAnsi="黑体" w:cs="宋体" w:hint="eastAsia"/>
          <w:b/>
          <w:color w:val="000000"/>
          <w:kern w:val="0"/>
          <w:szCs w:val="21"/>
        </w:rPr>
        <w:t>日</w:t>
      </w:r>
      <w:r w:rsidRPr="00677D1F">
        <w:rPr>
          <w:rFonts w:ascii="黑体" w:eastAsia="黑体" w:hAnsi="黑体" w:cs="宋体"/>
          <w:b/>
          <w:color w:val="000000"/>
          <w:kern w:val="0"/>
          <w:szCs w:val="21"/>
        </w:rPr>
        <w:t>08</w:t>
      </w:r>
      <w:r w:rsidRPr="00677D1F">
        <w:rPr>
          <w:rFonts w:ascii="黑体" w:eastAsia="黑体" w:hAnsi="黑体" w:cs="宋体" w:hint="eastAsia"/>
          <w:b/>
          <w:color w:val="000000"/>
          <w:kern w:val="0"/>
          <w:szCs w:val="21"/>
        </w:rPr>
        <w:t>时</w:t>
      </w:r>
      <w:r w:rsidRPr="00677D1F">
        <w:rPr>
          <w:rFonts w:ascii="黑体" w:eastAsia="黑体" w:hAnsi="黑体" w:cs="宋体"/>
          <w:b/>
          <w:color w:val="000000"/>
          <w:kern w:val="0"/>
          <w:szCs w:val="21"/>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7.1-10</w:t>
      </w:r>
      <w:r w:rsidRPr="00677D1F">
        <w:rPr>
          <w:rFonts w:ascii="黑体" w:eastAsia="黑体" w:hAnsi="黑体" w:cs="宋体" w:hint="eastAsia"/>
          <w:b/>
          <w:color w:val="000000"/>
          <w:kern w:val="0"/>
          <w:szCs w:val="21"/>
        </w:rPr>
        <w:t>区域</w:t>
      </w:r>
      <w:r w:rsidRPr="00677D1F">
        <w:rPr>
          <w:rFonts w:ascii="黑体" w:eastAsia="黑体" w:hAnsi="黑体" w:cs="宋体"/>
          <w:b/>
          <w:color w:val="000000"/>
          <w:kern w:val="0"/>
          <w:szCs w:val="21"/>
        </w:rPr>
        <w:t>NO2</w:t>
      </w:r>
      <w:r w:rsidRPr="00677D1F">
        <w:rPr>
          <w:rFonts w:ascii="黑体" w:eastAsia="黑体" w:hAnsi="黑体" w:cs="宋体" w:hint="eastAsia"/>
          <w:b/>
          <w:color w:val="000000"/>
          <w:kern w:val="0"/>
          <w:szCs w:val="21"/>
        </w:rPr>
        <w:t>日平均（典型日）贡献浓度等值线</w:t>
      </w:r>
      <w:r w:rsidRPr="00677D1F">
        <w:rPr>
          <w:rFonts w:ascii="黑体" w:eastAsia="黑体" w:hAnsi="黑体" w:cs="宋体"/>
          <w:b/>
          <w:color w:val="000000"/>
          <w:kern w:val="0"/>
          <w:szCs w:val="21"/>
        </w:rPr>
        <w:t>（2012</w:t>
      </w:r>
      <w:r w:rsidRPr="00677D1F">
        <w:rPr>
          <w:rFonts w:ascii="黑体" w:eastAsia="黑体" w:hAnsi="黑体" w:cs="宋体" w:hint="eastAsia"/>
          <w:b/>
          <w:color w:val="000000"/>
          <w:kern w:val="0"/>
          <w:szCs w:val="21"/>
        </w:rPr>
        <w:t>年</w:t>
      </w:r>
      <w:r w:rsidRPr="00677D1F">
        <w:rPr>
          <w:rFonts w:ascii="黑体" w:eastAsia="黑体" w:hAnsi="黑体" w:cs="宋体"/>
          <w:b/>
          <w:color w:val="000000"/>
          <w:kern w:val="0"/>
          <w:szCs w:val="21"/>
        </w:rPr>
        <w:t>2</w:t>
      </w:r>
      <w:r w:rsidRPr="00677D1F">
        <w:rPr>
          <w:rFonts w:ascii="黑体" w:eastAsia="黑体" w:hAnsi="黑体" w:cs="宋体" w:hint="eastAsia"/>
          <w:b/>
          <w:color w:val="000000"/>
          <w:kern w:val="0"/>
          <w:szCs w:val="21"/>
        </w:rPr>
        <w:t>月</w:t>
      </w:r>
      <w:r w:rsidRPr="00677D1F">
        <w:rPr>
          <w:rFonts w:ascii="黑体" w:eastAsia="黑体" w:hAnsi="黑体" w:cs="宋体"/>
          <w:b/>
          <w:color w:val="000000"/>
          <w:kern w:val="0"/>
          <w:szCs w:val="21"/>
        </w:rPr>
        <w:t>12</w:t>
      </w:r>
      <w:r w:rsidRPr="00677D1F">
        <w:rPr>
          <w:rFonts w:ascii="黑体" w:eastAsia="黑体" w:hAnsi="黑体" w:cs="宋体" w:hint="eastAsia"/>
          <w:b/>
          <w:color w:val="000000"/>
          <w:kern w:val="0"/>
          <w:szCs w:val="21"/>
        </w:rPr>
        <w:t>日</w:t>
      </w:r>
      <w:r w:rsidRPr="00677D1F">
        <w:rPr>
          <w:rFonts w:ascii="黑体" w:eastAsia="黑体" w:hAnsi="黑体" w:cs="宋体"/>
          <w:b/>
          <w:color w:val="000000"/>
          <w:kern w:val="0"/>
          <w:szCs w:val="21"/>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7.1-11</w:t>
      </w:r>
      <w:r w:rsidRPr="00677D1F">
        <w:rPr>
          <w:rFonts w:ascii="黑体" w:eastAsia="黑体" w:hAnsi="黑体" w:cs="宋体" w:hint="eastAsia"/>
          <w:b/>
          <w:color w:val="000000"/>
          <w:kern w:val="0"/>
          <w:szCs w:val="21"/>
        </w:rPr>
        <w:t>区域</w:t>
      </w:r>
      <w:r w:rsidRPr="00677D1F">
        <w:rPr>
          <w:rFonts w:ascii="黑体" w:eastAsia="黑体" w:hAnsi="黑体" w:cs="宋体"/>
          <w:b/>
          <w:color w:val="000000"/>
          <w:kern w:val="0"/>
          <w:szCs w:val="21"/>
        </w:rPr>
        <w:t>NO2</w:t>
      </w:r>
      <w:r w:rsidRPr="00677D1F">
        <w:rPr>
          <w:rFonts w:ascii="黑体" w:eastAsia="黑体" w:hAnsi="黑体" w:cs="宋体" w:hint="eastAsia"/>
          <w:b/>
          <w:color w:val="000000"/>
          <w:kern w:val="0"/>
          <w:szCs w:val="21"/>
        </w:rPr>
        <w:t>年平均贡献浓度等值线</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表7.1-9本项目PM10预测结果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7.1-9</w:t>
      </w:r>
      <w:r w:rsidRPr="00677D1F">
        <w:rPr>
          <w:rFonts w:asciiTheme="minorEastAsia" w:hAnsiTheme="minorEastAsia" w:cs="宋体" w:hint="eastAsia"/>
          <w:color w:val="000000"/>
          <w:kern w:val="0"/>
          <w:sz w:val="24"/>
          <w:szCs w:val="24"/>
        </w:rPr>
        <w:t>预测结果可以看出，本项目排放</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叠加监测背景值后，对评价范围内各关心点及网格点最大日平均浓度贡献值占标率</w:t>
      </w:r>
      <w:r w:rsidRPr="00677D1F">
        <w:rPr>
          <w:rFonts w:asciiTheme="minorEastAsia" w:hAnsiTheme="minorEastAsia" w:cs="宋体"/>
          <w:color w:val="000000"/>
          <w:kern w:val="0"/>
          <w:sz w:val="24"/>
          <w:szCs w:val="24"/>
        </w:rPr>
        <w:t>406.06%</w:t>
      </w:r>
      <w:r w:rsidRPr="00677D1F">
        <w:rPr>
          <w:rFonts w:asciiTheme="minorEastAsia" w:hAnsiTheme="minorEastAsia" w:cs="宋体" w:hint="eastAsia"/>
          <w:color w:val="000000"/>
          <w:kern w:val="0"/>
          <w:sz w:val="24"/>
          <w:szCs w:val="24"/>
        </w:rPr>
        <w:t>；最大年平均浓度贡献值占标率为</w:t>
      </w:r>
      <w:r w:rsidRPr="00677D1F">
        <w:rPr>
          <w:rFonts w:asciiTheme="minorEastAsia" w:hAnsiTheme="minorEastAsia" w:cs="宋体"/>
          <w:color w:val="000000"/>
          <w:kern w:val="0"/>
          <w:sz w:val="24"/>
          <w:szCs w:val="24"/>
        </w:rPr>
        <w:t>220.06%</w:t>
      </w:r>
      <w:r w:rsidRPr="00677D1F">
        <w:rPr>
          <w:rFonts w:asciiTheme="minorEastAsia" w:hAnsiTheme="minorEastAsia" w:cs="宋体" w:hint="eastAsia"/>
          <w:color w:val="000000"/>
          <w:kern w:val="0"/>
          <w:sz w:val="24"/>
          <w:szCs w:val="24"/>
        </w:rPr>
        <w:t>。各关心点</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日平均浓度贡献值占标率均较高，是由于各点和评价区域</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背景值普遍较高，而本项目排放</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日平均浓度贡献值占标率相对较低。本项目排放</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对</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点日平均和年平均浓度贡献值占标率仅为</w:t>
      </w:r>
      <w:r w:rsidRPr="00677D1F">
        <w:rPr>
          <w:rFonts w:asciiTheme="minorEastAsia" w:hAnsiTheme="minorEastAsia" w:cs="宋体"/>
          <w:color w:val="000000"/>
          <w:kern w:val="0"/>
          <w:sz w:val="24"/>
          <w:szCs w:val="24"/>
        </w:rPr>
        <w:t>2.06%</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0.06%</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PM10</w:t>
      </w:r>
      <w:r w:rsidRPr="00677D1F">
        <w:rPr>
          <w:rFonts w:asciiTheme="minorEastAsia" w:hAnsiTheme="minorEastAsia" w:cs="宋体" w:hint="eastAsia"/>
          <w:color w:val="000000"/>
          <w:kern w:val="0"/>
          <w:sz w:val="24"/>
          <w:szCs w:val="24"/>
        </w:rPr>
        <w:t>贡献值在各关心点和网格点均无超标现象，对周围环境的贡献影响是可以接受的。</w:t>
      </w:r>
    </w:p>
    <w:p w:rsidR="00D228BE" w:rsidRPr="00677D1F" w:rsidRDefault="00332EB6" w:rsidP="00677D1F">
      <w:pPr>
        <w:widowControl/>
        <w:contextualSpacing/>
        <w:rPr>
          <w:rFonts w:asciiTheme="minorEastAsia" w:hAnsiTheme="minorEastAsia" w:cs="宋体"/>
          <w:b/>
          <w:color w:val="000000"/>
          <w:kern w:val="0"/>
          <w:szCs w:val="21"/>
        </w:rPr>
      </w:pPr>
      <w:r w:rsidRPr="00677D1F">
        <w:rPr>
          <w:rFonts w:asciiTheme="minorEastAsia" w:hAnsiTheme="minorEastAsia" w:cs="宋体" w:hint="eastAsia"/>
          <w:b/>
          <w:color w:val="000000"/>
          <w:kern w:val="0"/>
          <w:szCs w:val="21"/>
        </w:rPr>
        <w:t>图</w:t>
      </w:r>
      <w:r w:rsidRPr="00677D1F">
        <w:rPr>
          <w:rFonts w:asciiTheme="minorEastAsia" w:hAnsiTheme="minorEastAsia" w:cs="宋体"/>
          <w:b/>
          <w:color w:val="000000"/>
          <w:kern w:val="0"/>
          <w:szCs w:val="21"/>
        </w:rPr>
        <w:t>7.1-12</w:t>
      </w:r>
      <w:r w:rsidRPr="00677D1F">
        <w:rPr>
          <w:rFonts w:asciiTheme="minorEastAsia" w:hAnsiTheme="minorEastAsia" w:cs="宋体" w:hint="eastAsia"/>
          <w:b/>
          <w:color w:val="000000"/>
          <w:kern w:val="0"/>
          <w:szCs w:val="21"/>
        </w:rPr>
        <w:t>区域</w:t>
      </w:r>
      <w:r w:rsidRPr="00677D1F">
        <w:rPr>
          <w:rFonts w:asciiTheme="minorEastAsia" w:hAnsiTheme="minorEastAsia" w:cs="宋体"/>
          <w:b/>
          <w:color w:val="000000"/>
          <w:kern w:val="0"/>
          <w:szCs w:val="21"/>
        </w:rPr>
        <w:t>PM10</w:t>
      </w:r>
      <w:r w:rsidRPr="00677D1F">
        <w:rPr>
          <w:rFonts w:asciiTheme="minorEastAsia" w:hAnsiTheme="minorEastAsia" w:cs="宋体" w:hint="eastAsia"/>
          <w:b/>
          <w:color w:val="000000"/>
          <w:kern w:val="0"/>
          <w:szCs w:val="21"/>
        </w:rPr>
        <w:t>日平均（典型日）贡献浓度等值线</w:t>
      </w:r>
      <w:r w:rsidRPr="00677D1F">
        <w:rPr>
          <w:rFonts w:asciiTheme="minorEastAsia" w:hAnsiTheme="minorEastAsia" w:cs="宋体"/>
          <w:b/>
          <w:color w:val="000000"/>
          <w:kern w:val="0"/>
          <w:szCs w:val="21"/>
        </w:rPr>
        <w:t>（2012</w:t>
      </w:r>
      <w:r w:rsidRPr="00677D1F">
        <w:rPr>
          <w:rFonts w:asciiTheme="minorEastAsia" w:hAnsiTheme="minorEastAsia" w:cs="宋体" w:hint="eastAsia"/>
          <w:b/>
          <w:color w:val="000000"/>
          <w:kern w:val="0"/>
          <w:szCs w:val="21"/>
        </w:rPr>
        <w:t>年</w:t>
      </w:r>
      <w:r w:rsidRPr="00677D1F">
        <w:rPr>
          <w:rFonts w:asciiTheme="minorEastAsia" w:hAnsiTheme="minorEastAsia" w:cs="宋体"/>
          <w:b/>
          <w:color w:val="000000"/>
          <w:kern w:val="0"/>
          <w:szCs w:val="21"/>
        </w:rPr>
        <w:t>6</w:t>
      </w:r>
      <w:r w:rsidRPr="00677D1F">
        <w:rPr>
          <w:rFonts w:asciiTheme="minorEastAsia" w:hAnsiTheme="minorEastAsia" w:cs="宋体" w:hint="eastAsia"/>
          <w:b/>
          <w:color w:val="000000"/>
          <w:kern w:val="0"/>
          <w:szCs w:val="21"/>
        </w:rPr>
        <w:t>月</w:t>
      </w:r>
      <w:r w:rsidRPr="00677D1F">
        <w:rPr>
          <w:rFonts w:asciiTheme="minorEastAsia" w:hAnsiTheme="minorEastAsia" w:cs="宋体"/>
          <w:b/>
          <w:color w:val="000000"/>
          <w:kern w:val="0"/>
          <w:szCs w:val="21"/>
        </w:rPr>
        <w:t>6</w:t>
      </w:r>
      <w:r w:rsidRPr="00677D1F">
        <w:rPr>
          <w:rFonts w:asciiTheme="minorEastAsia" w:hAnsiTheme="minorEastAsia" w:cs="宋体" w:hint="eastAsia"/>
          <w:b/>
          <w:color w:val="000000"/>
          <w:kern w:val="0"/>
          <w:szCs w:val="21"/>
        </w:rPr>
        <w:t>日</w:t>
      </w:r>
      <w:r w:rsidRPr="00677D1F">
        <w:rPr>
          <w:rFonts w:asciiTheme="minorEastAsia" w:hAnsiTheme="minorEastAsia" w:cs="宋体"/>
          <w:b/>
          <w:color w:val="000000"/>
          <w:kern w:val="0"/>
          <w:szCs w:val="21"/>
        </w:rPr>
        <w:t>）</w:t>
      </w:r>
      <w:r w:rsidRPr="00677D1F">
        <w:rPr>
          <w:rFonts w:asciiTheme="minorEastAsia" w:hAnsiTheme="minorEastAsia" w:cs="宋体" w:hint="eastAsia"/>
          <w:b/>
          <w:color w:val="000000"/>
          <w:kern w:val="0"/>
          <w:szCs w:val="21"/>
        </w:rPr>
        <w:t>图</w:t>
      </w:r>
      <w:r w:rsidRPr="00677D1F">
        <w:rPr>
          <w:rFonts w:asciiTheme="minorEastAsia" w:hAnsiTheme="minorEastAsia" w:cs="宋体"/>
          <w:b/>
          <w:color w:val="000000"/>
          <w:kern w:val="0"/>
          <w:szCs w:val="21"/>
        </w:rPr>
        <w:t>7.1-13</w:t>
      </w:r>
      <w:r w:rsidRPr="00677D1F">
        <w:rPr>
          <w:rFonts w:asciiTheme="minorEastAsia" w:hAnsiTheme="minorEastAsia" w:cs="宋体" w:hint="eastAsia"/>
          <w:b/>
          <w:color w:val="000000"/>
          <w:kern w:val="0"/>
          <w:szCs w:val="21"/>
        </w:rPr>
        <w:t>区域</w:t>
      </w:r>
      <w:r w:rsidRPr="00677D1F">
        <w:rPr>
          <w:rFonts w:asciiTheme="minorEastAsia" w:hAnsiTheme="minorEastAsia" w:cs="宋体"/>
          <w:b/>
          <w:color w:val="000000"/>
          <w:kern w:val="0"/>
          <w:szCs w:val="21"/>
        </w:rPr>
        <w:t>PM10</w:t>
      </w:r>
      <w:r w:rsidRPr="00677D1F">
        <w:rPr>
          <w:rFonts w:asciiTheme="minorEastAsia" w:hAnsiTheme="minorEastAsia" w:cs="宋体" w:hint="eastAsia"/>
          <w:b/>
          <w:color w:val="000000"/>
          <w:kern w:val="0"/>
          <w:szCs w:val="21"/>
        </w:rPr>
        <w:t>年平均贡献浓度等值线</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表7.1-10本项目HCl预测结果</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表7.1-11本项目Cl2预测结果</w:t>
      </w:r>
    </w:p>
    <w:p w:rsidR="00D228BE" w:rsidRPr="00677D1F" w:rsidRDefault="00332EB6" w:rsidP="00677D1F">
      <w:pPr>
        <w:widowControl/>
        <w:contextualSpacing/>
        <w:rPr>
          <w:rFonts w:ascii="宋体" w:eastAsia="宋体" w:hAnsi="宋体" w:cs="宋体"/>
          <w:kern w:val="0"/>
          <w:sz w:val="24"/>
          <w:szCs w:val="24"/>
        </w:rPr>
      </w:pPr>
      <w:r w:rsidRPr="00677D1F">
        <w:rPr>
          <w:rFonts w:ascii="宋体" w:eastAsia="宋体" w:hAnsi="宋体" w:cs="宋体" w:hint="eastAsia"/>
          <w:color w:val="000000"/>
          <w:kern w:val="0"/>
          <w:szCs w:val="21"/>
        </w:rPr>
        <w:t>注：</w:t>
      </w:r>
      <w:r w:rsidRPr="00677D1F">
        <w:rPr>
          <w:rFonts w:ascii="Times New Roman" w:eastAsia="宋体" w:hAnsi="Times New Roman" w:cs="Times New Roman"/>
          <w:color w:val="000000"/>
          <w:kern w:val="0"/>
          <w:szCs w:val="21"/>
        </w:rPr>
        <w:t>Cl</w:t>
      </w:r>
      <w:r w:rsidRPr="00677D1F">
        <w:rPr>
          <w:rFonts w:ascii="Times New Roman" w:eastAsia="宋体" w:hAnsi="Times New Roman" w:cs="Times New Roman"/>
          <w:color w:val="000000"/>
          <w:kern w:val="0"/>
          <w:sz w:val="14"/>
          <w:szCs w:val="14"/>
        </w:rPr>
        <w:t>2</w:t>
      </w:r>
      <w:r w:rsidRPr="00677D1F">
        <w:rPr>
          <w:rFonts w:ascii="宋体" w:eastAsia="宋体" w:hAnsi="宋体" w:cs="宋体" w:hint="eastAsia"/>
          <w:color w:val="000000"/>
          <w:kern w:val="0"/>
          <w:szCs w:val="21"/>
        </w:rPr>
        <w:t>低于检出下线，即</w:t>
      </w:r>
      <w:r w:rsidRPr="00677D1F">
        <w:rPr>
          <w:rFonts w:ascii="Times New Roman" w:eastAsia="宋体" w:hAnsi="Times New Roman" w:cs="Times New Roman"/>
          <w:color w:val="000000"/>
          <w:kern w:val="0"/>
          <w:szCs w:val="21"/>
        </w:rPr>
        <w:t>Cl</w:t>
      </w:r>
      <w:r w:rsidRPr="00677D1F">
        <w:rPr>
          <w:rFonts w:ascii="Times New Roman" w:eastAsia="宋体" w:hAnsi="Times New Roman" w:cs="Times New Roman"/>
          <w:color w:val="000000"/>
          <w:kern w:val="0"/>
          <w:sz w:val="14"/>
          <w:szCs w:val="14"/>
        </w:rPr>
        <w:t>2</w:t>
      </w:r>
      <w:r w:rsidRPr="00677D1F">
        <w:rPr>
          <w:rFonts w:ascii="宋体" w:eastAsia="宋体" w:hAnsi="宋体" w:cs="宋体" w:hint="eastAsia"/>
          <w:color w:val="000000"/>
          <w:kern w:val="0"/>
          <w:szCs w:val="21"/>
        </w:rPr>
        <w:t>小时值＜</w:t>
      </w:r>
      <w:r w:rsidRPr="00677D1F">
        <w:rPr>
          <w:rFonts w:ascii="Times New Roman" w:eastAsia="宋体" w:hAnsi="Times New Roman" w:cs="Times New Roman"/>
          <w:color w:val="000000"/>
          <w:kern w:val="0"/>
          <w:szCs w:val="21"/>
        </w:rPr>
        <w:t>0.03mg/m</w:t>
      </w:r>
      <w:r w:rsidRPr="00677D1F">
        <w:rPr>
          <w:rFonts w:ascii="Times New Roman" w:eastAsia="宋体" w:hAnsi="Times New Roman" w:cs="Times New Roman"/>
          <w:color w:val="000000"/>
          <w:kern w:val="0"/>
          <w:sz w:val="14"/>
          <w:szCs w:val="14"/>
        </w:rPr>
        <w:t>3</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7.1-11</w:t>
      </w:r>
      <w:r w:rsidRPr="00677D1F">
        <w:rPr>
          <w:rFonts w:asciiTheme="minorEastAsia" w:hAnsiTheme="minorEastAsia" w:cs="宋体" w:hint="eastAsia"/>
          <w:color w:val="000000"/>
          <w:kern w:val="0"/>
          <w:sz w:val="24"/>
          <w:szCs w:val="24"/>
        </w:rPr>
        <w:t>预测结果可以看出，本项目排放</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叠加监测背景值后，对评价范围内各关心点及网格点最大日平均浓度贡献值占标率</w:t>
      </w:r>
      <w:r w:rsidRPr="00677D1F">
        <w:rPr>
          <w:rFonts w:asciiTheme="minorEastAsia" w:hAnsiTheme="minorEastAsia" w:cs="宋体"/>
          <w:color w:val="000000"/>
          <w:kern w:val="0"/>
          <w:sz w:val="24"/>
          <w:szCs w:val="24"/>
        </w:rPr>
        <w:t>30.23%</w:t>
      </w:r>
      <w:r w:rsidRPr="00677D1F">
        <w:rPr>
          <w:rFonts w:asciiTheme="minorEastAsia" w:hAnsiTheme="minorEastAsia" w:cs="宋体" w:hint="eastAsia"/>
          <w:color w:val="000000"/>
          <w:kern w:val="0"/>
          <w:sz w:val="24"/>
          <w:szCs w:val="24"/>
        </w:rPr>
        <w:t>；最大年平均浓度贡献值占标率为</w:t>
      </w:r>
      <w:r w:rsidRPr="00677D1F">
        <w:rPr>
          <w:rFonts w:asciiTheme="minorEastAsia" w:hAnsiTheme="minorEastAsia" w:cs="宋体"/>
          <w:color w:val="000000"/>
          <w:kern w:val="0"/>
          <w:sz w:val="24"/>
          <w:szCs w:val="24"/>
        </w:rPr>
        <w:t>22.53%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贡献值在各关心点和网格点均无超标现象，对周围环境的贡献影响是可以接受的。</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图</w:t>
      </w:r>
      <w:r w:rsidRPr="00677D1F">
        <w:rPr>
          <w:rFonts w:ascii="黑体" w:eastAsia="黑体" w:hAnsi="黑体" w:cs="宋体"/>
          <w:b/>
          <w:color w:val="000000"/>
          <w:kern w:val="0"/>
          <w:szCs w:val="21"/>
        </w:rPr>
        <w:t>7.1-14</w:t>
      </w:r>
      <w:r w:rsidRPr="00677D1F">
        <w:rPr>
          <w:rFonts w:ascii="黑体" w:eastAsia="黑体" w:hAnsi="黑体" w:cs="宋体" w:hint="eastAsia"/>
          <w:b/>
          <w:color w:val="000000"/>
          <w:kern w:val="0"/>
          <w:szCs w:val="21"/>
        </w:rPr>
        <w:t>区域</w:t>
      </w:r>
      <w:r w:rsidRPr="00677D1F">
        <w:rPr>
          <w:rFonts w:ascii="黑体" w:eastAsia="黑体" w:hAnsi="黑体" w:cs="宋体"/>
          <w:b/>
          <w:color w:val="000000"/>
          <w:kern w:val="0"/>
          <w:szCs w:val="21"/>
        </w:rPr>
        <w:t>HCl</w:t>
      </w:r>
      <w:r w:rsidRPr="00677D1F">
        <w:rPr>
          <w:rFonts w:ascii="黑体" w:eastAsia="黑体" w:hAnsi="黑体" w:cs="宋体" w:hint="eastAsia"/>
          <w:b/>
          <w:color w:val="000000"/>
          <w:kern w:val="0"/>
          <w:szCs w:val="21"/>
        </w:rPr>
        <w:t>小时（网格点最大一次值）贡献浓度等值线图</w:t>
      </w:r>
      <w:r w:rsidRPr="00677D1F">
        <w:rPr>
          <w:rFonts w:ascii="黑体" w:eastAsia="黑体" w:hAnsi="黑体" w:cs="宋体"/>
          <w:b/>
          <w:color w:val="000000"/>
          <w:kern w:val="0"/>
          <w:szCs w:val="21"/>
        </w:rPr>
        <w:t>7.1-15</w:t>
      </w:r>
      <w:r w:rsidRPr="00677D1F">
        <w:rPr>
          <w:rFonts w:ascii="黑体" w:eastAsia="黑体" w:hAnsi="黑体" w:cs="宋体" w:hint="eastAsia"/>
          <w:b/>
          <w:color w:val="000000"/>
          <w:kern w:val="0"/>
          <w:szCs w:val="21"/>
        </w:rPr>
        <w:t>区域</w:t>
      </w:r>
      <w:r w:rsidRPr="00677D1F">
        <w:rPr>
          <w:rFonts w:ascii="黑体" w:eastAsia="黑体" w:hAnsi="黑体" w:cs="宋体"/>
          <w:b/>
          <w:color w:val="000000"/>
          <w:kern w:val="0"/>
          <w:szCs w:val="21"/>
        </w:rPr>
        <w:t>HCl</w:t>
      </w:r>
      <w:r w:rsidRPr="00677D1F">
        <w:rPr>
          <w:rFonts w:ascii="黑体" w:eastAsia="黑体" w:hAnsi="黑体" w:cs="宋体" w:hint="eastAsia"/>
          <w:b/>
          <w:color w:val="000000"/>
          <w:kern w:val="0"/>
          <w:szCs w:val="21"/>
        </w:rPr>
        <w:t>日平均（典型日）贡献浓度等值线</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color w:val="000000"/>
          <w:kern w:val="0"/>
          <w:szCs w:val="21"/>
        </w:rPr>
        <w:t>（</w:t>
      </w:r>
      <w:r w:rsidRPr="00677D1F">
        <w:rPr>
          <w:rFonts w:ascii="Times New Roman" w:eastAsia="宋体" w:hAnsi="Times New Roman" w:cs="Times New Roman"/>
          <w:color w:val="000000"/>
          <w:kern w:val="0"/>
          <w:szCs w:val="21"/>
        </w:rPr>
        <w:t>2012</w:t>
      </w:r>
      <w:r w:rsidRPr="00677D1F">
        <w:rPr>
          <w:rFonts w:ascii="宋体" w:eastAsia="宋体" w:hAnsi="宋体" w:cs="宋体" w:hint="eastAsia"/>
          <w:color w:val="000000"/>
          <w:kern w:val="0"/>
          <w:szCs w:val="21"/>
        </w:rPr>
        <w:t>年</w:t>
      </w:r>
      <w:r w:rsidRPr="00677D1F">
        <w:rPr>
          <w:rFonts w:ascii="Times New Roman" w:eastAsia="宋体" w:hAnsi="Times New Roman" w:cs="Times New Roman"/>
          <w:color w:val="000000"/>
          <w:kern w:val="0"/>
          <w:szCs w:val="21"/>
        </w:rPr>
        <w:t>3</w:t>
      </w:r>
      <w:r w:rsidRPr="00677D1F">
        <w:rPr>
          <w:rFonts w:ascii="宋体" w:eastAsia="宋体" w:hAnsi="宋体" w:cs="宋体" w:hint="eastAsia"/>
          <w:color w:val="000000"/>
          <w:kern w:val="0"/>
          <w:szCs w:val="21"/>
        </w:rPr>
        <w:t>月</w:t>
      </w:r>
      <w:r w:rsidRPr="00677D1F">
        <w:rPr>
          <w:rFonts w:ascii="Times New Roman" w:eastAsia="宋体" w:hAnsi="Times New Roman" w:cs="Times New Roman"/>
          <w:color w:val="000000"/>
          <w:kern w:val="0"/>
          <w:szCs w:val="21"/>
        </w:rPr>
        <w:t>19</w:t>
      </w:r>
      <w:r w:rsidRPr="00677D1F">
        <w:rPr>
          <w:rFonts w:ascii="宋体" w:eastAsia="宋体" w:hAnsi="宋体" w:cs="宋体" w:hint="eastAsia"/>
          <w:color w:val="000000"/>
          <w:kern w:val="0"/>
          <w:szCs w:val="21"/>
        </w:rPr>
        <w:t>日</w:t>
      </w:r>
      <w:r w:rsidRPr="00677D1F">
        <w:rPr>
          <w:rFonts w:ascii="Times New Roman" w:eastAsia="宋体" w:hAnsi="Times New Roman" w:cs="Times New Roman"/>
          <w:color w:val="000000"/>
          <w:kern w:val="0"/>
          <w:szCs w:val="21"/>
        </w:rPr>
        <w:t>08</w:t>
      </w:r>
      <w:r w:rsidRPr="00677D1F">
        <w:rPr>
          <w:rFonts w:ascii="宋体" w:eastAsia="宋体" w:hAnsi="宋体" w:cs="宋体" w:hint="eastAsia"/>
          <w:color w:val="000000"/>
          <w:kern w:val="0"/>
          <w:szCs w:val="21"/>
        </w:rPr>
        <w:t>时</w:t>
      </w:r>
      <w:r w:rsidRPr="00677D1F">
        <w:rPr>
          <w:rFonts w:ascii="Times New Roman" w:eastAsia="宋体" w:hAnsi="Times New Roman" w:cs="Times New Roman"/>
          <w:color w:val="000000"/>
          <w:kern w:val="0"/>
          <w:szCs w:val="21"/>
        </w:rPr>
        <w:t>）（</w:t>
      </w:r>
      <w:r w:rsidRPr="00677D1F">
        <w:rPr>
          <w:rFonts w:ascii="Times New Roman" w:eastAsia="宋体" w:hAnsi="Times New Roman" w:cs="Times New Roman"/>
          <w:color w:val="000000"/>
          <w:kern w:val="0"/>
          <w:szCs w:val="21"/>
        </w:rPr>
        <w:t>2012</w:t>
      </w:r>
      <w:r w:rsidRPr="00677D1F">
        <w:rPr>
          <w:rFonts w:ascii="宋体" w:eastAsia="宋体" w:hAnsi="宋体" w:cs="宋体" w:hint="eastAsia"/>
          <w:color w:val="000000"/>
          <w:kern w:val="0"/>
          <w:szCs w:val="21"/>
        </w:rPr>
        <w:t>年</w:t>
      </w:r>
      <w:r w:rsidRPr="00677D1F">
        <w:rPr>
          <w:rFonts w:ascii="Times New Roman" w:eastAsia="宋体" w:hAnsi="Times New Roman" w:cs="Times New Roman"/>
          <w:color w:val="000000"/>
          <w:kern w:val="0"/>
          <w:szCs w:val="21"/>
        </w:rPr>
        <w:t>3</w:t>
      </w:r>
      <w:r w:rsidRPr="00677D1F">
        <w:rPr>
          <w:rFonts w:ascii="宋体" w:eastAsia="宋体" w:hAnsi="宋体" w:cs="宋体" w:hint="eastAsia"/>
          <w:color w:val="000000"/>
          <w:kern w:val="0"/>
          <w:szCs w:val="21"/>
        </w:rPr>
        <w:t>月</w:t>
      </w:r>
      <w:r w:rsidRPr="00677D1F">
        <w:rPr>
          <w:rFonts w:ascii="Times New Roman" w:eastAsia="宋体" w:hAnsi="Times New Roman" w:cs="Times New Roman"/>
          <w:color w:val="000000"/>
          <w:kern w:val="0"/>
          <w:szCs w:val="21"/>
        </w:rPr>
        <w:t>19</w:t>
      </w:r>
      <w:r w:rsidRPr="00677D1F">
        <w:rPr>
          <w:rFonts w:ascii="宋体" w:eastAsia="宋体" w:hAnsi="宋体" w:cs="宋体" w:hint="eastAsia"/>
          <w:color w:val="000000"/>
          <w:kern w:val="0"/>
          <w:szCs w:val="21"/>
        </w:rPr>
        <w:t>日</w:t>
      </w:r>
      <w:r w:rsidRPr="00677D1F">
        <w:rPr>
          <w:rFonts w:ascii="Times New Roman" w:eastAsia="宋体" w:hAnsi="Times New Roman" w:cs="Times New Roman"/>
          <w:color w:val="000000"/>
          <w:kern w:val="0"/>
          <w:szCs w:val="21"/>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综上所述，拟建项目排放的主要污染物对各关心点的环境空气质量影响较少，排放污染物浓度贡献值对周围环境的贡献影响是可以接受的。</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7.1.5.2</w:t>
      </w:r>
      <w:r w:rsidRPr="00677D1F">
        <w:rPr>
          <w:rFonts w:asciiTheme="minorEastAsia" w:hAnsiTheme="minorEastAsia" w:cs="Times New Roman" w:hint="eastAsia"/>
          <w:b/>
          <w:bCs/>
          <w:color w:val="000000"/>
          <w:kern w:val="0"/>
          <w:sz w:val="24"/>
          <w:szCs w:val="24"/>
        </w:rPr>
        <w:t xml:space="preserve"> 非正常工况下贡献浓度叠加背景浓度预测分析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根据《环境影响评价技术导则大气环境》</w:t>
      </w:r>
      <w:r w:rsidRPr="00677D1F">
        <w:rPr>
          <w:rFonts w:asciiTheme="minorEastAsia" w:hAnsiTheme="minorEastAsia" w:cs="宋体"/>
          <w:color w:val="000000"/>
          <w:kern w:val="0"/>
          <w:sz w:val="24"/>
          <w:szCs w:val="24"/>
        </w:rPr>
        <w:t>（HJ2.2-2008）</w:t>
      </w:r>
      <w:r w:rsidRPr="00677D1F">
        <w:rPr>
          <w:rFonts w:asciiTheme="minorEastAsia" w:hAnsiTheme="minorEastAsia" w:cs="宋体" w:hint="eastAsia"/>
          <w:color w:val="000000"/>
          <w:kern w:val="0"/>
          <w:sz w:val="24"/>
          <w:szCs w:val="24"/>
        </w:rPr>
        <w:t>中“</w:t>
      </w:r>
      <w:r w:rsidRPr="00677D1F">
        <w:rPr>
          <w:rFonts w:asciiTheme="minorEastAsia" w:hAnsiTheme="minorEastAsia" w:cs="宋体"/>
          <w:color w:val="000000"/>
          <w:kern w:val="0"/>
          <w:sz w:val="24"/>
          <w:szCs w:val="24"/>
        </w:rPr>
        <w:t>6.3</w:t>
      </w:r>
      <w:r w:rsidRPr="00677D1F">
        <w:rPr>
          <w:rFonts w:asciiTheme="minorEastAsia" w:hAnsiTheme="minorEastAsia" w:cs="宋体" w:hint="eastAsia"/>
          <w:color w:val="000000"/>
          <w:kern w:val="0"/>
          <w:sz w:val="24"/>
          <w:szCs w:val="24"/>
        </w:rPr>
        <w:t>污染源调查内容”的规定：对于毒性较大的污染物还应估计其非正常排放量。因此主要是核算氯化和精制尾气、镁生产系统和氯气生产系统的废气治理措施发生故障的非正常工况发生的频率为每年</w:t>
      </w:r>
      <w:r w:rsidRPr="00677D1F">
        <w:rPr>
          <w:rFonts w:asciiTheme="minorEastAsia" w:hAnsiTheme="minorEastAsia" w:cs="宋体"/>
          <w:color w:val="000000"/>
          <w:kern w:val="0"/>
          <w:sz w:val="24"/>
          <w:szCs w:val="24"/>
        </w:rPr>
        <w:t>1-2</w:t>
      </w:r>
      <w:r w:rsidRPr="00677D1F">
        <w:rPr>
          <w:rFonts w:asciiTheme="minorEastAsia" w:hAnsiTheme="minorEastAsia" w:cs="宋体" w:hint="eastAsia"/>
          <w:color w:val="000000"/>
          <w:kern w:val="0"/>
          <w:sz w:val="24"/>
          <w:szCs w:val="24"/>
        </w:rPr>
        <w:t>次，事故出现至抢修恢复正常约</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小时。由表</w:t>
      </w:r>
      <w:r w:rsidRPr="00677D1F">
        <w:rPr>
          <w:rFonts w:asciiTheme="minorEastAsia" w:hAnsiTheme="minorEastAsia" w:cs="宋体"/>
          <w:color w:val="000000"/>
          <w:kern w:val="0"/>
          <w:sz w:val="24"/>
          <w:szCs w:val="24"/>
        </w:rPr>
        <w:t>7.1-12</w:t>
      </w:r>
      <w:r w:rsidRPr="00677D1F">
        <w:rPr>
          <w:rFonts w:asciiTheme="minorEastAsia" w:hAnsiTheme="minorEastAsia" w:cs="宋体" w:hint="eastAsia"/>
          <w:color w:val="000000"/>
          <w:kern w:val="0"/>
          <w:sz w:val="24"/>
          <w:szCs w:val="24"/>
        </w:rPr>
        <w:t>可见，由于时间较短，对环境影响不明显。如果长期运行过程中，废气治理系统效率下降，则污染物排放浓度将超标。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企业应加强监管和净化系统的定期养护，降低非正常工况出现的几率；若出现净化效率下降的情况，应及时停机检修，确保不对环境造成影响。</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表7.1-12非正常工况下贡献浓度叠加背景浓度预测结果</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7.1.5.3</w:t>
      </w:r>
      <w:r w:rsidRPr="00677D1F">
        <w:rPr>
          <w:rFonts w:asciiTheme="minorEastAsia" w:hAnsiTheme="minorEastAsia" w:cs="Times New Roman" w:hint="eastAsia"/>
          <w:b/>
          <w:bCs/>
          <w:color w:val="000000"/>
          <w:kern w:val="0"/>
          <w:sz w:val="24"/>
          <w:szCs w:val="24"/>
        </w:rPr>
        <w:t xml:space="preserve"> 厂界达标分析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根据评价区域全年的气象资料，逐次计算本项目厂区无组织排放的</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、颗粒物、</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在厂区周界及周界外的浓度分布。本项目</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、颗粒物、</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在评价区</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小时浓度的最大增加值情况见表</w:t>
      </w:r>
      <w:r w:rsidRPr="00677D1F">
        <w:rPr>
          <w:rFonts w:asciiTheme="minorEastAsia" w:hAnsiTheme="minorEastAsia" w:cs="宋体"/>
          <w:color w:val="000000"/>
          <w:kern w:val="0"/>
          <w:sz w:val="24"/>
          <w:szCs w:val="24"/>
        </w:rPr>
        <w:t>7.1-13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表7.1-13无组织排放特征污染物预测计算结果单位：（mg/m3）</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rPr>
          <w:rFonts w:ascii="宋体" w:eastAsia="宋体" w:hAnsi="宋体" w:cs="宋体"/>
          <w:kern w:val="0"/>
          <w:sz w:val="24"/>
          <w:szCs w:val="24"/>
        </w:rPr>
      </w:pPr>
      <w:r w:rsidRPr="00677D1F">
        <w:rPr>
          <w:rFonts w:ascii="宋体" w:eastAsia="宋体" w:hAnsi="宋体" w:cs="宋体" w:hint="eastAsia"/>
          <w:color w:val="000000"/>
          <w:kern w:val="0"/>
          <w:szCs w:val="21"/>
        </w:rPr>
        <w:t>注：执行《镁、钛工业水污染物排放标准》</w:t>
      </w:r>
      <w:r w:rsidRPr="00677D1F">
        <w:rPr>
          <w:rFonts w:ascii="Times New Roman" w:eastAsia="宋体" w:hAnsi="Times New Roman" w:cs="Times New Roman"/>
          <w:color w:val="000000"/>
          <w:kern w:val="0"/>
          <w:szCs w:val="21"/>
        </w:rPr>
        <w:t>（</w:t>
      </w:r>
      <w:r w:rsidRPr="00677D1F">
        <w:rPr>
          <w:rFonts w:ascii="Times New Roman" w:eastAsia="宋体" w:hAnsi="Times New Roman" w:cs="Times New Roman"/>
          <w:color w:val="000000"/>
          <w:kern w:val="0"/>
          <w:szCs w:val="21"/>
        </w:rPr>
        <w:t>GB25468-2010</w:t>
      </w:r>
      <w:r w:rsidRPr="00677D1F">
        <w:rPr>
          <w:rFonts w:ascii="Times New Roman" w:eastAsia="宋体" w:hAnsi="Times New Roman" w:cs="Times New Roman"/>
          <w:color w:val="000000"/>
          <w:kern w:val="0"/>
          <w:szCs w:val="21"/>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7.1-13</w:t>
      </w:r>
      <w:r w:rsidRPr="00677D1F">
        <w:rPr>
          <w:rFonts w:asciiTheme="minorEastAsia" w:hAnsiTheme="minorEastAsia" w:cs="宋体" w:hint="eastAsia"/>
          <w:color w:val="000000"/>
          <w:kern w:val="0"/>
          <w:sz w:val="24"/>
          <w:szCs w:val="24"/>
        </w:rPr>
        <w:t>可见，本项目投产后项目排放的</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、颗粒物、</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在厂界上的浓度不会出现超标现象，对周围环境的贡献影响是可以接受的。</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7.1.5.4</w:t>
      </w:r>
      <w:r w:rsidRPr="00677D1F">
        <w:rPr>
          <w:rFonts w:asciiTheme="minorEastAsia" w:hAnsiTheme="minorEastAsia" w:cs="Times New Roman" w:hint="eastAsia"/>
          <w:b/>
          <w:bCs/>
          <w:color w:val="000000"/>
          <w:kern w:val="0"/>
          <w:sz w:val="24"/>
          <w:szCs w:val="24"/>
        </w:rPr>
        <w:t xml:space="preserve"> 卫生防护距离及大气环境防护距离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大气环境防护距离计算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对无组织排放的废气，通过划定卫生防护距离和大气环境防护距离的方式加以保护周围环境和人群健康。本项目无组织排放废气主要是由原料、贮存、输送、配料、海绵钛输送、破碎及筛分等收尘溢失的粉尘和还原工艺设备散发的大量余热及车间内少量无组织排放的废气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采用《环境影响评价技术导则大气环境》（</w:t>
      </w:r>
      <w:r w:rsidRPr="00677D1F">
        <w:rPr>
          <w:rFonts w:asciiTheme="minorEastAsia" w:hAnsiTheme="minorEastAsia" w:cs="宋体"/>
          <w:color w:val="000000"/>
          <w:kern w:val="0"/>
          <w:sz w:val="24"/>
          <w:szCs w:val="24"/>
        </w:rPr>
        <w:t>HJ2.2-2008</w:t>
      </w:r>
      <w:r w:rsidRPr="00677D1F">
        <w:rPr>
          <w:rFonts w:asciiTheme="minorEastAsia" w:hAnsiTheme="minorEastAsia" w:cs="宋体" w:hint="eastAsia"/>
          <w:color w:val="000000"/>
          <w:kern w:val="0"/>
          <w:sz w:val="24"/>
          <w:szCs w:val="24"/>
        </w:rPr>
        <w:t>）推荐模式中的大气环境防护距离模式进行计算，面源参数均取最大值，面源有效源高</w:t>
      </w:r>
      <w:r w:rsidRPr="00677D1F">
        <w:rPr>
          <w:rFonts w:asciiTheme="minorEastAsia" w:hAnsiTheme="minorEastAsia" w:cs="宋体"/>
          <w:color w:val="000000"/>
          <w:kern w:val="0"/>
          <w:sz w:val="24"/>
          <w:szCs w:val="24"/>
        </w:rPr>
        <w:t>15m</w:t>
      </w:r>
      <w:r w:rsidRPr="00677D1F">
        <w:rPr>
          <w:rFonts w:asciiTheme="minorEastAsia" w:hAnsiTheme="minorEastAsia" w:cs="宋体" w:hint="eastAsia"/>
          <w:color w:val="000000"/>
          <w:kern w:val="0"/>
          <w:sz w:val="24"/>
          <w:szCs w:val="24"/>
        </w:rPr>
        <w:t>，面源长度</w:t>
      </w:r>
      <w:r w:rsidRPr="00677D1F">
        <w:rPr>
          <w:rFonts w:asciiTheme="minorEastAsia" w:hAnsiTheme="minorEastAsia" w:cs="宋体"/>
          <w:color w:val="000000"/>
          <w:kern w:val="0"/>
          <w:sz w:val="24"/>
          <w:szCs w:val="24"/>
        </w:rPr>
        <w:t>1350m</w:t>
      </w:r>
      <w:r w:rsidRPr="00677D1F">
        <w:rPr>
          <w:rFonts w:asciiTheme="minorEastAsia" w:hAnsiTheme="minorEastAsia" w:cs="宋体" w:hint="eastAsia"/>
          <w:color w:val="000000"/>
          <w:kern w:val="0"/>
          <w:sz w:val="24"/>
          <w:szCs w:val="24"/>
        </w:rPr>
        <w:t>，面源宽度</w:t>
      </w:r>
      <w:r w:rsidRPr="00677D1F">
        <w:rPr>
          <w:rFonts w:asciiTheme="minorEastAsia" w:hAnsiTheme="minorEastAsia" w:cs="宋体"/>
          <w:color w:val="000000"/>
          <w:kern w:val="0"/>
          <w:sz w:val="24"/>
          <w:szCs w:val="24"/>
        </w:rPr>
        <w:t>800m</w:t>
      </w:r>
      <w:r w:rsidRPr="00677D1F">
        <w:rPr>
          <w:rFonts w:asciiTheme="minorEastAsia" w:hAnsiTheme="minorEastAsia" w:cs="宋体" w:hint="eastAsia"/>
          <w:color w:val="000000"/>
          <w:kern w:val="0"/>
          <w:sz w:val="24"/>
          <w:szCs w:val="24"/>
        </w:rPr>
        <w:t>。经计算无超标点，因此不设大气环境防护距离。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（2）卫生防护距离计算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卫生防护距离计算公式（选自《制定地方大气污染物排放标准的技术方法》GB/T13201—91）。</w:t>
      </w:r>
    </w:p>
    <w:p w:rsidR="00D228BE" w:rsidRPr="00677D1F" w:rsidRDefault="00550417" w:rsidP="00677D1F">
      <w:pPr>
        <w:widowControl/>
        <w:spacing w:line="360" w:lineRule="auto"/>
        <w:ind w:firstLineChars="200" w:firstLine="480"/>
        <w:contextualSpacing/>
        <w:rPr>
          <w:rFonts w:ascii="宋体" w:eastAsia="宋体" w:hAnsi="宋体" w:cs="宋体"/>
          <w:kern w:val="0"/>
          <w:sz w:val="24"/>
          <w:szCs w:val="24"/>
        </w:rPr>
      </w:pPr>
      <m:oMathPara>
        <m:oMath>
          <m:f>
            <m:fPr>
              <m:ctrlPr>
                <w:rPr>
                  <w:rFonts w:ascii="Cambria Math" w:eastAsia="宋体" w:hAnsi="Cambria Math" w:cs="宋体"/>
                  <w:kern w:val="0"/>
                  <w:sz w:val="24"/>
                  <w:szCs w:val="24"/>
                </w:rPr>
              </m:ctrlPr>
            </m:fPr>
            <m:num>
              <m:sSub>
                <m:sSubPr>
                  <m:ctrlPr>
                    <w:rPr>
                      <w:rFonts w:ascii="Cambria Math" w:eastAsia="宋体" w:hAnsi="Cambria Math" w:cs="宋体"/>
                      <w:i/>
                      <w:kern w:val="0"/>
                      <w:sz w:val="24"/>
                      <w:szCs w:val="24"/>
                    </w:rPr>
                  </m:ctrlPr>
                </m:sSubPr>
                <m:e>
                  <m:r>
                    <w:rPr>
                      <w:rFonts w:ascii="Cambria Math" w:eastAsia="宋体" w:hAnsi="Cambria Math" w:cs="宋体"/>
                      <w:kern w:val="0"/>
                      <w:sz w:val="24"/>
                      <w:szCs w:val="24"/>
                    </w:rPr>
                    <m:t>Q</m:t>
                  </m:r>
                </m:e>
                <m:sub>
                  <m:r>
                    <w:rPr>
                      <w:rFonts w:ascii="Cambria Math" w:eastAsia="宋体" w:hAnsi="Cambria Math" w:cs="宋体"/>
                      <w:kern w:val="0"/>
                      <w:sz w:val="24"/>
                      <w:szCs w:val="24"/>
                    </w:rPr>
                    <m:t>C</m:t>
                  </m:r>
                </m:sub>
              </m:sSub>
            </m:num>
            <m:den>
              <m:sSub>
                <m:sSubPr>
                  <m:ctrlPr>
                    <w:rPr>
                      <w:rFonts w:ascii="Cambria Math" w:eastAsia="宋体" w:hAnsi="Cambria Math" w:cs="宋体"/>
                      <w:i/>
                      <w:kern w:val="0"/>
                      <w:sz w:val="24"/>
                      <w:szCs w:val="24"/>
                    </w:rPr>
                  </m:ctrlPr>
                </m:sSubPr>
                <m:e>
                  <m:r>
                    <w:rPr>
                      <w:rFonts w:ascii="Cambria Math" w:eastAsia="宋体" w:hAnsi="Cambria Math" w:cs="宋体"/>
                      <w:kern w:val="0"/>
                      <w:sz w:val="24"/>
                      <w:szCs w:val="24"/>
                    </w:rPr>
                    <m:t>C</m:t>
                  </m:r>
                </m:e>
                <m:sub>
                  <m:r>
                    <w:rPr>
                      <w:rFonts w:ascii="Cambria Math" w:eastAsia="宋体" w:hAnsi="Cambria Math" w:cs="宋体"/>
                      <w:kern w:val="0"/>
                      <w:sz w:val="24"/>
                      <w:szCs w:val="24"/>
                    </w:rPr>
                    <m:t>m</m:t>
                  </m:r>
                </m:sub>
              </m:sSub>
            </m:den>
          </m:f>
          <m:r>
            <w:rPr>
              <w:rFonts w:ascii="Cambria Math" w:eastAsia="宋体" w:hAnsi="Cambria Math" w:cs="宋体"/>
              <w:kern w:val="0"/>
              <w:sz w:val="24"/>
              <w:szCs w:val="24"/>
            </w:rPr>
            <m:t>=</m:t>
          </m:r>
          <m:f>
            <m:fPr>
              <m:ctrlPr>
                <w:rPr>
                  <w:rFonts w:ascii="Cambria Math" w:eastAsia="宋体" w:hAnsi="Cambria Math" w:cs="宋体"/>
                  <w:i/>
                  <w:kern w:val="0"/>
                  <w:sz w:val="24"/>
                  <w:szCs w:val="24"/>
                </w:rPr>
              </m:ctrlPr>
            </m:fPr>
            <m:num>
              <m:r>
                <w:rPr>
                  <w:rFonts w:ascii="Cambria Math" w:eastAsia="宋体" w:hAnsi="Cambria Math" w:cs="宋体"/>
                  <w:kern w:val="0"/>
                  <w:sz w:val="24"/>
                  <w:szCs w:val="24"/>
                </w:rPr>
                <m:t>1</m:t>
              </m:r>
            </m:num>
            <m:den>
              <m:r>
                <w:rPr>
                  <w:rFonts w:ascii="Cambria Math" w:eastAsia="宋体" w:hAnsi="Cambria Math" w:cs="宋体"/>
                  <w:kern w:val="0"/>
                  <w:sz w:val="24"/>
                  <w:szCs w:val="24"/>
                </w:rPr>
                <m:t>A</m:t>
              </m:r>
            </m:den>
          </m:f>
          <m:sSup>
            <m:sSupPr>
              <m:ctrlPr>
                <w:rPr>
                  <w:rFonts w:ascii="Cambria Math" w:eastAsia="宋体" w:hAnsi="Cambria Math" w:cs="宋体"/>
                  <w:i/>
                  <w:kern w:val="0"/>
                  <w:sz w:val="24"/>
                  <w:szCs w:val="24"/>
                </w:rPr>
              </m:ctrlPr>
            </m:sSupPr>
            <m:e>
              <m:r>
                <w:rPr>
                  <w:rFonts w:ascii="Cambria Math" w:eastAsia="宋体" w:hAnsi="Cambria Math" w:cs="宋体"/>
                  <w:kern w:val="0"/>
                  <w:sz w:val="24"/>
                  <w:szCs w:val="24"/>
                </w:rPr>
                <m:t>(B</m:t>
              </m:r>
              <m:sSup>
                <m:sSupPr>
                  <m:ctrlPr>
                    <w:rPr>
                      <w:rFonts w:ascii="Cambria Math" w:eastAsia="宋体" w:hAnsi="Cambria Math" w:cs="宋体"/>
                      <w:i/>
                      <w:kern w:val="0"/>
                      <w:sz w:val="24"/>
                      <w:szCs w:val="24"/>
                    </w:rPr>
                  </m:ctrlPr>
                </m:sSupPr>
                <m:e>
                  <m:r>
                    <w:rPr>
                      <w:rFonts w:ascii="Cambria Math" w:eastAsia="宋体" w:hAnsi="Cambria Math" w:cs="宋体"/>
                      <w:kern w:val="0"/>
                      <w:sz w:val="24"/>
                      <w:szCs w:val="24"/>
                    </w:rPr>
                    <m:t>L</m:t>
                  </m:r>
                </m:e>
                <m:sup>
                  <m:r>
                    <w:rPr>
                      <w:rFonts w:ascii="Cambria Math" w:eastAsia="宋体" w:hAnsi="Cambria Math" w:cs="宋体"/>
                      <w:kern w:val="0"/>
                      <w:sz w:val="24"/>
                      <w:szCs w:val="24"/>
                    </w:rPr>
                    <m:t>C</m:t>
                  </m:r>
                </m:sup>
              </m:sSup>
              <m:r>
                <w:rPr>
                  <w:rFonts w:ascii="Cambria Math" w:eastAsia="宋体" w:hAnsi="Cambria Math" w:cs="宋体"/>
                  <w:kern w:val="0"/>
                  <w:sz w:val="24"/>
                  <w:szCs w:val="24"/>
                </w:rPr>
                <m:t>+0.25</m:t>
              </m:r>
              <m:sSup>
                <m:sSupPr>
                  <m:ctrlPr>
                    <w:rPr>
                      <w:rFonts w:ascii="Cambria Math" w:eastAsia="宋体" w:hAnsi="Cambria Math" w:cs="宋体"/>
                      <w:i/>
                      <w:kern w:val="0"/>
                      <w:sz w:val="24"/>
                      <w:szCs w:val="24"/>
                    </w:rPr>
                  </m:ctrlPr>
                </m:sSupPr>
                <m:e>
                  <m:r>
                    <w:rPr>
                      <w:rFonts w:ascii="Cambria Math" w:eastAsia="宋体" w:hAnsi="Cambria Math" w:cs="宋体"/>
                      <w:kern w:val="0"/>
                      <w:sz w:val="24"/>
                      <w:szCs w:val="24"/>
                    </w:rPr>
                    <m:t>γ</m:t>
                  </m:r>
                </m:e>
                <m:sup>
                  <m:r>
                    <w:rPr>
                      <w:rFonts w:ascii="Cambria Math" w:eastAsia="宋体" w:hAnsi="Cambria Math" w:cs="宋体"/>
                      <w:kern w:val="0"/>
                      <w:sz w:val="24"/>
                      <w:szCs w:val="24"/>
                    </w:rPr>
                    <m:t>2</m:t>
                  </m:r>
                </m:sup>
              </m:sSup>
              <m:r>
                <w:rPr>
                  <w:rFonts w:ascii="Cambria Math" w:eastAsia="宋体" w:hAnsi="Cambria Math" w:cs="宋体"/>
                  <w:kern w:val="0"/>
                  <w:sz w:val="24"/>
                  <w:szCs w:val="24"/>
                </w:rPr>
                <m:t>)</m:t>
              </m:r>
            </m:e>
            <m:sup>
              <m:r>
                <w:rPr>
                  <w:rFonts w:ascii="Cambria Math" w:eastAsia="宋体" w:hAnsi="Cambria Math" w:cs="宋体"/>
                  <w:kern w:val="0"/>
                  <w:sz w:val="24"/>
                  <w:szCs w:val="24"/>
                </w:rPr>
                <m:t>0.50</m:t>
              </m:r>
            </m:sup>
          </m:sSup>
          <m:r>
            <w:rPr>
              <w:rFonts w:ascii="Cambria Math" w:eastAsia="宋体" w:hAnsi="Cambria Math" w:cs="宋体"/>
              <w:kern w:val="0"/>
              <w:sz w:val="24"/>
              <w:szCs w:val="24"/>
            </w:rPr>
            <m:t>·</m:t>
          </m:r>
          <m:sSup>
            <m:sSupPr>
              <m:ctrlPr>
                <w:rPr>
                  <w:rFonts w:ascii="Cambria Math" w:eastAsia="宋体" w:hAnsi="Cambria Math" w:cs="宋体"/>
                  <w:kern w:val="0"/>
                  <w:sz w:val="24"/>
                  <w:szCs w:val="24"/>
                </w:rPr>
              </m:ctrlPr>
            </m:sSupPr>
            <m:e>
              <m:r>
                <w:rPr>
                  <w:rFonts w:ascii="Cambria Math" w:eastAsia="宋体" w:hAnsi="Cambria Math" w:cs="宋体"/>
                  <w:kern w:val="0"/>
                  <w:sz w:val="24"/>
                  <w:szCs w:val="24"/>
                </w:rPr>
                <m:t>L</m:t>
              </m:r>
            </m:e>
            <m:sup>
              <m:r>
                <w:rPr>
                  <w:rFonts w:ascii="Cambria Math" w:eastAsia="宋体" w:hAnsi="Cambria Math" w:cs="宋体"/>
                  <w:kern w:val="0"/>
                  <w:sz w:val="24"/>
                  <w:szCs w:val="24"/>
                </w:rPr>
                <m:t>D</m:t>
              </m:r>
            </m:sup>
          </m:sSup>
        </m:oMath>
      </m:oMathPara>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式中：C</w:t>
      </w:r>
      <w:r w:rsidRPr="00677D1F">
        <w:rPr>
          <w:rFonts w:asciiTheme="minorEastAsia" w:hAnsiTheme="minorEastAsia" w:cs="宋体" w:hint="eastAsia"/>
          <w:color w:val="000000"/>
          <w:kern w:val="0"/>
          <w:sz w:val="24"/>
          <w:szCs w:val="24"/>
          <w:vertAlign w:val="subscript"/>
        </w:rPr>
        <w:t>m</w:t>
      </w:r>
      <w:r w:rsidRPr="00677D1F">
        <w:rPr>
          <w:rFonts w:asciiTheme="minorEastAsia" w:hAnsiTheme="minorEastAsia" w:cs="宋体" w:hint="eastAsia"/>
          <w:color w:val="000000"/>
          <w:kern w:val="0"/>
          <w:sz w:val="24"/>
          <w:szCs w:val="24"/>
        </w:rPr>
        <w:t>——标准浓度限值，mg/Nm3；</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Q</w:t>
      </w:r>
      <w:r w:rsidRPr="00677D1F">
        <w:rPr>
          <w:rFonts w:asciiTheme="minorEastAsia" w:hAnsiTheme="minorEastAsia" w:cs="宋体" w:hint="eastAsia"/>
          <w:color w:val="000000"/>
          <w:kern w:val="0"/>
          <w:sz w:val="24"/>
          <w:szCs w:val="24"/>
          <w:vertAlign w:val="subscript"/>
        </w:rPr>
        <w:t>C</w:t>
      </w:r>
      <w:r w:rsidRPr="00677D1F">
        <w:rPr>
          <w:rFonts w:asciiTheme="minorEastAsia" w:hAnsiTheme="minorEastAsia" w:cs="宋体" w:hint="eastAsia"/>
          <w:color w:val="000000"/>
          <w:kern w:val="0"/>
          <w:sz w:val="24"/>
          <w:szCs w:val="24"/>
        </w:rPr>
        <w:t>——工业企业有害气体排放量可以达到的控制水平，kg/h；</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L——工业企业所需卫生防护距离，m；</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γ</w:t>
      </w:r>
      <w:r w:rsidRPr="00677D1F">
        <w:rPr>
          <w:rFonts w:asciiTheme="minorEastAsia" w:hAnsiTheme="minorEastAsia" w:cs="宋体" w:hint="eastAsia"/>
          <w:color w:val="000000"/>
          <w:kern w:val="0"/>
          <w:sz w:val="24"/>
          <w:szCs w:val="24"/>
        </w:rPr>
        <w:t>——有害气体排放源所在生产单元的等效半径，m；</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A、B、C、D——计算系数。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根据项目无组织排放的污染物情况，按上述公式计算卫生防护距离为256m，经提级为300m。</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（3）卫生防护距离确定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参照《氯碱厂（电解法制碱）卫生防护距离标准》中要求，所在地区近五年平均风速＜2m/s时，卫生防护距离为1000m（最小距离），本项目应设置1000m卫生防护距离。拟建项目距厂址最近处的人群点约5000m以上，完全满足卫生防护距离的要求。但已建项目在其防护距离内应加强管理，同时，应与环保和规划部门联系，厂址周围1.0km之内在规划其他项目时，不能用做建设食品厂、粮食加工厂、精密仪器厂等项目和不得新建居民住宅等环境敏感目标。卫生防护距离包络线见图7.1-16。</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7.1.6</w:t>
      </w:r>
      <w:r w:rsidRPr="00677D1F">
        <w:rPr>
          <w:rFonts w:ascii="宋体" w:hAnsi="宋体" w:hint="eastAsia"/>
          <w:sz w:val="28"/>
          <w:szCs w:val="28"/>
        </w:rPr>
        <w:t xml:space="preserve"> 小结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预测结果表明，建设项目运营后，评价区域内污染物小时、日均和年均浓度增量最大值均能达标。在非正常工况，在短时间内，对下风向环境空气影响的程度有所加重，对区域环境质量影响较大，但环境功能不会发生明显改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本项目需设置1000米卫生防护距离进行防护。卫生防护距离内不得建设居民区、学校、医院等敏感环境目标和建设食品厂、粮食加工厂、精密仪器厂等项目。</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7.2</w:t>
      </w:r>
      <w:r w:rsidRPr="00677D1F">
        <w:rPr>
          <w:rFonts w:ascii="宋体" w:hAnsi="宋体" w:hint="eastAsia"/>
          <w:bCs w:val="0"/>
          <w:kern w:val="2"/>
          <w:sz w:val="30"/>
          <w:szCs w:val="30"/>
        </w:rPr>
        <w:t xml:space="preserve"> 水环境影响分析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7.2.1</w:t>
      </w:r>
      <w:r w:rsidRPr="00677D1F">
        <w:rPr>
          <w:rFonts w:ascii="宋体" w:hAnsi="宋体" w:hint="eastAsia"/>
          <w:sz w:val="28"/>
          <w:szCs w:val="28"/>
        </w:rPr>
        <w:t xml:space="preserve"> 水资源分析</w:t>
      </w:r>
    </w:p>
    <w:p w:rsidR="00D228BE" w:rsidRPr="00677D1F" w:rsidRDefault="00332EB6" w:rsidP="00677D1F">
      <w:pPr>
        <w:widowControl/>
        <w:spacing w:line="360" w:lineRule="auto"/>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7.2.1.1</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取水水源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本项目供水管网由园区修建入厂，其取水水源为水源为榆树沟水库地表水。</w:t>
      </w:r>
    </w:p>
    <w:p w:rsidR="00D228BE" w:rsidRPr="00677D1F" w:rsidRDefault="00332EB6" w:rsidP="00677D1F">
      <w:pPr>
        <w:widowControl/>
        <w:spacing w:line="360" w:lineRule="auto"/>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7.2.1.2</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取水水源的可靠性和可行性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榆树沟水库位于哈密市榆树沟乡，距哈密市</w:t>
      </w:r>
      <w:r w:rsidRPr="00677D1F">
        <w:rPr>
          <w:rFonts w:asciiTheme="minorEastAsia" w:hAnsiTheme="minorEastAsia" w:cs="宋体"/>
          <w:color w:val="000000"/>
          <w:kern w:val="0"/>
          <w:sz w:val="24"/>
          <w:szCs w:val="24"/>
        </w:rPr>
        <w:t>50km</w:t>
      </w:r>
      <w:r w:rsidRPr="00677D1F">
        <w:rPr>
          <w:rFonts w:asciiTheme="minorEastAsia" w:hAnsiTheme="minorEastAsia" w:cs="宋体" w:hint="eastAsia"/>
          <w:color w:val="000000"/>
          <w:kern w:val="0"/>
          <w:sz w:val="24"/>
          <w:szCs w:val="24"/>
        </w:rPr>
        <w:t>。水库于</w:t>
      </w:r>
      <w:r w:rsidRPr="00677D1F">
        <w:rPr>
          <w:rFonts w:asciiTheme="minorEastAsia" w:hAnsiTheme="minorEastAsia" w:cs="宋体"/>
          <w:color w:val="000000"/>
          <w:kern w:val="0"/>
          <w:sz w:val="24"/>
          <w:szCs w:val="24"/>
        </w:rPr>
        <w:t>1998</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月动工兴建，</w:t>
      </w:r>
      <w:r w:rsidRPr="00677D1F">
        <w:rPr>
          <w:rFonts w:asciiTheme="minorEastAsia" w:hAnsiTheme="minorEastAsia" w:cs="宋体"/>
          <w:color w:val="000000"/>
          <w:kern w:val="0"/>
          <w:sz w:val="24"/>
          <w:szCs w:val="24"/>
        </w:rPr>
        <w:t>2001</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11</w:t>
      </w:r>
      <w:r w:rsidRPr="00677D1F">
        <w:rPr>
          <w:rFonts w:asciiTheme="minorEastAsia" w:hAnsiTheme="minorEastAsia" w:cs="宋体" w:hint="eastAsia"/>
          <w:color w:val="000000"/>
          <w:kern w:val="0"/>
          <w:sz w:val="24"/>
          <w:szCs w:val="24"/>
        </w:rPr>
        <w:t>月完工。榆树沟水库集水面积</w:t>
      </w:r>
      <w:r w:rsidRPr="00677D1F">
        <w:rPr>
          <w:rFonts w:asciiTheme="minorEastAsia" w:hAnsiTheme="minorEastAsia" w:cs="宋体"/>
          <w:color w:val="000000"/>
          <w:kern w:val="0"/>
          <w:sz w:val="24"/>
          <w:szCs w:val="24"/>
        </w:rPr>
        <w:t>308km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，榆树沟水库总库容</w:t>
      </w:r>
      <w:r w:rsidRPr="00677D1F">
        <w:rPr>
          <w:rFonts w:asciiTheme="minorEastAsia" w:hAnsiTheme="minorEastAsia" w:cs="宋体"/>
          <w:color w:val="000000"/>
          <w:kern w:val="0"/>
          <w:sz w:val="24"/>
          <w:szCs w:val="24"/>
        </w:rPr>
        <w:t>1100×10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，榆树沟水库设计洪水采用</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年一遇标准，流量</w:t>
      </w:r>
      <w:r w:rsidRPr="00677D1F">
        <w:rPr>
          <w:rFonts w:asciiTheme="minorEastAsia" w:hAnsiTheme="minorEastAsia" w:cs="宋体"/>
          <w:color w:val="000000"/>
          <w:kern w:val="0"/>
          <w:sz w:val="24"/>
          <w:szCs w:val="24"/>
        </w:rPr>
        <w:t>126m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；校核洪水采用千年一遇的标准，流量</w:t>
      </w:r>
      <w:r w:rsidRPr="00677D1F">
        <w:rPr>
          <w:rFonts w:asciiTheme="minorEastAsia" w:hAnsiTheme="minorEastAsia" w:cs="宋体"/>
          <w:color w:val="000000"/>
          <w:kern w:val="0"/>
          <w:sz w:val="24"/>
          <w:szCs w:val="24"/>
        </w:rPr>
        <w:t>398m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。设计洪水位</w:t>
      </w:r>
      <w:r w:rsidRPr="00677D1F">
        <w:rPr>
          <w:rFonts w:asciiTheme="minorEastAsia" w:hAnsiTheme="minorEastAsia" w:cs="宋体"/>
          <w:color w:val="000000"/>
          <w:kern w:val="0"/>
          <w:sz w:val="24"/>
          <w:szCs w:val="24"/>
        </w:rPr>
        <w:t>1996.73m</w:t>
      </w:r>
      <w:r w:rsidRPr="00677D1F">
        <w:rPr>
          <w:rFonts w:asciiTheme="minorEastAsia" w:hAnsiTheme="minorEastAsia" w:cs="宋体" w:hint="eastAsia"/>
          <w:color w:val="000000"/>
          <w:kern w:val="0"/>
          <w:sz w:val="24"/>
          <w:szCs w:val="24"/>
        </w:rPr>
        <w:t>，校核洪水为</w:t>
      </w:r>
      <w:r w:rsidRPr="00677D1F">
        <w:rPr>
          <w:rFonts w:asciiTheme="minorEastAsia" w:hAnsiTheme="minorEastAsia" w:cs="宋体"/>
          <w:color w:val="000000"/>
          <w:kern w:val="0"/>
          <w:sz w:val="24"/>
          <w:szCs w:val="24"/>
        </w:rPr>
        <w:t>1998.68m</w:t>
      </w:r>
      <w:r w:rsidRPr="00677D1F">
        <w:rPr>
          <w:rFonts w:asciiTheme="minorEastAsia" w:hAnsiTheme="minorEastAsia" w:cs="宋体" w:hint="eastAsia"/>
          <w:color w:val="000000"/>
          <w:kern w:val="0"/>
          <w:sz w:val="24"/>
          <w:szCs w:val="24"/>
        </w:rPr>
        <w:t>，正常蓄水位</w:t>
      </w:r>
      <w:r w:rsidRPr="00677D1F">
        <w:rPr>
          <w:rFonts w:asciiTheme="minorEastAsia" w:hAnsiTheme="minorEastAsia" w:cs="宋体"/>
          <w:color w:val="000000"/>
          <w:kern w:val="0"/>
          <w:sz w:val="24"/>
          <w:szCs w:val="24"/>
        </w:rPr>
        <w:t>1994.7m</w:t>
      </w:r>
      <w:r w:rsidRPr="00677D1F">
        <w:rPr>
          <w:rFonts w:asciiTheme="minorEastAsia" w:hAnsiTheme="minorEastAsia" w:cs="宋体" w:hint="eastAsia"/>
          <w:color w:val="000000"/>
          <w:kern w:val="0"/>
          <w:sz w:val="24"/>
          <w:szCs w:val="24"/>
        </w:rPr>
        <w:t>，死水位</w:t>
      </w:r>
      <w:r w:rsidRPr="00677D1F">
        <w:rPr>
          <w:rFonts w:asciiTheme="minorEastAsia" w:hAnsiTheme="minorEastAsia" w:cs="宋体"/>
          <w:color w:val="000000"/>
          <w:kern w:val="0"/>
          <w:sz w:val="24"/>
          <w:szCs w:val="24"/>
        </w:rPr>
        <w:t>1953m</w:t>
      </w:r>
      <w:r w:rsidRPr="00677D1F">
        <w:rPr>
          <w:rFonts w:asciiTheme="minorEastAsia" w:hAnsiTheme="minorEastAsia" w:cs="宋体" w:hint="eastAsia"/>
          <w:color w:val="000000"/>
          <w:kern w:val="0"/>
          <w:sz w:val="24"/>
          <w:szCs w:val="24"/>
        </w:rPr>
        <w:t>。设计洪水下泄流量</w:t>
      </w:r>
      <w:r w:rsidRPr="00677D1F">
        <w:rPr>
          <w:rFonts w:asciiTheme="minorEastAsia" w:hAnsiTheme="minorEastAsia" w:cs="宋体"/>
          <w:color w:val="000000"/>
          <w:kern w:val="0"/>
          <w:sz w:val="24"/>
          <w:szCs w:val="24"/>
        </w:rPr>
        <w:t>108m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。校核洪水下泄流量</w:t>
      </w:r>
      <w:r w:rsidRPr="00677D1F">
        <w:rPr>
          <w:rFonts w:asciiTheme="minorEastAsia" w:hAnsiTheme="minorEastAsia" w:cs="宋体"/>
          <w:color w:val="000000"/>
          <w:kern w:val="0"/>
          <w:sz w:val="24"/>
          <w:szCs w:val="24"/>
        </w:rPr>
        <w:t>295m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。榆树沟水库已建成向工业园区供水的输水管道。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园区近期取</w:t>
      </w:r>
      <w:r w:rsidRPr="00677D1F">
        <w:rPr>
          <w:rFonts w:asciiTheme="minorEastAsia" w:hAnsiTheme="minorEastAsia" w:cs="宋体"/>
          <w:color w:val="000000"/>
          <w:kern w:val="0"/>
          <w:sz w:val="24"/>
          <w:szCs w:val="24"/>
        </w:rPr>
        <w:t>4.5</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d，远期取</w:t>
      </w:r>
      <w:r w:rsidRPr="00677D1F">
        <w:rPr>
          <w:rFonts w:asciiTheme="minorEastAsia" w:hAnsiTheme="minorEastAsia" w:cs="宋体"/>
          <w:color w:val="000000"/>
          <w:kern w:val="0"/>
          <w:sz w:val="24"/>
          <w:szCs w:val="24"/>
        </w:rPr>
        <w:t>11.2</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d，工业园区近期用水量约</w:t>
      </w:r>
      <w:r w:rsidRPr="00677D1F">
        <w:rPr>
          <w:rFonts w:asciiTheme="minorEastAsia" w:hAnsiTheme="minorEastAsia" w:cs="宋体"/>
          <w:color w:val="000000"/>
          <w:kern w:val="0"/>
          <w:sz w:val="24"/>
          <w:szCs w:val="24"/>
        </w:rPr>
        <w:t>1642.5</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，而榆树沟水库年可供水量为</w:t>
      </w:r>
      <w:r w:rsidRPr="00677D1F">
        <w:rPr>
          <w:rFonts w:asciiTheme="minorEastAsia" w:hAnsiTheme="minorEastAsia" w:cs="宋体"/>
          <w:color w:val="000000"/>
          <w:kern w:val="0"/>
          <w:sz w:val="24"/>
          <w:szCs w:val="24"/>
        </w:rPr>
        <w:t>3500</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，尚有</w:t>
      </w:r>
      <w:r w:rsidRPr="00677D1F">
        <w:rPr>
          <w:rFonts w:asciiTheme="minorEastAsia" w:hAnsiTheme="minorEastAsia" w:cs="宋体"/>
          <w:color w:val="000000"/>
          <w:kern w:val="0"/>
          <w:sz w:val="24"/>
          <w:szCs w:val="24"/>
        </w:rPr>
        <w:t>1857.5</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余量可供进建企业使用，而本项目用水约365×10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水量完全可以满足本项目用水需求。同时政府已承诺可满足本项目用水需要</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见附件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，本工程取水水源的水量是有保证的。</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7.2.1.3</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拟建项目取水环境可行性及影响分析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）供水方案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根据项目用水《水资源论证报告》，本项目榆树沟水库地表水，工业园区现已经从榆树沟水库通过管线已经铺设好</w:t>
      </w:r>
      <w:r w:rsidRPr="00677D1F">
        <w:rPr>
          <w:rFonts w:asciiTheme="minorEastAsia" w:hAnsiTheme="minorEastAsia" w:cs="宋体"/>
          <w:color w:val="000000"/>
          <w:kern w:val="0"/>
          <w:sz w:val="24"/>
          <w:szCs w:val="24"/>
        </w:rPr>
        <w:t>600mm</w:t>
      </w:r>
      <w:r w:rsidRPr="00677D1F">
        <w:rPr>
          <w:rFonts w:asciiTheme="minorEastAsia" w:hAnsiTheme="minorEastAsia" w:cs="宋体" w:hint="eastAsia"/>
          <w:color w:val="000000"/>
          <w:kern w:val="0"/>
          <w:sz w:val="24"/>
          <w:szCs w:val="24"/>
        </w:rPr>
        <w:t>供水管道到本项目厂界到工程界区，且满足全厂的生产、生活及消防水补水水量和水质要求。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）供水水源及供水能力</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榆树沟水库位于哈密市榆树沟乡，距哈密市</w:t>
      </w:r>
      <w:r w:rsidRPr="00677D1F">
        <w:rPr>
          <w:rFonts w:asciiTheme="minorEastAsia" w:hAnsiTheme="minorEastAsia" w:cs="宋体"/>
          <w:color w:val="000000"/>
          <w:kern w:val="0"/>
          <w:sz w:val="24"/>
          <w:szCs w:val="24"/>
        </w:rPr>
        <w:t>50km</w:t>
      </w:r>
      <w:r w:rsidRPr="00677D1F">
        <w:rPr>
          <w:rFonts w:asciiTheme="minorEastAsia" w:hAnsiTheme="minorEastAsia" w:cs="宋体" w:hint="eastAsia"/>
          <w:color w:val="000000"/>
          <w:kern w:val="0"/>
          <w:sz w:val="24"/>
          <w:szCs w:val="24"/>
        </w:rPr>
        <w:t>。水库于</w:t>
      </w:r>
      <w:r w:rsidRPr="00677D1F">
        <w:rPr>
          <w:rFonts w:asciiTheme="minorEastAsia" w:hAnsiTheme="minorEastAsia" w:cs="宋体"/>
          <w:color w:val="000000"/>
          <w:kern w:val="0"/>
          <w:sz w:val="24"/>
          <w:szCs w:val="24"/>
        </w:rPr>
        <w:t>1998</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月动工兴建，</w:t>
      </w:r>
      <w:r w:rsidRPr="00677D1F">
        <w:rPr>
          <w:rFonts w:asciiTheme="minorEastAsia" w:hAnsiTheme="minorEastAsia" w:cs="宋体"/>
          <w:color w:val="000000"/>
          <w:kern w:val="0"/>
          <w:sz w:val="24"/>
          <w:szCs w:val="24"/>
        </w:rPr>
        <w:t>2001</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11</w:t>
      </w:r>
      <w:r w:rsidRPr="00677D1F">
        <w:rPr>
          <w:rFonts w:asciiTheme="minorEastAsia" w:hAnsiTheme="minorEastAsia" w:cs="宋体" w:hint="eastAsia"/>
          <w:color w:val="000000"/>
          <w:kern w:val="0"/>
          <w:sz w:val="24"/>
          <w:szCs w:val="24"/>
        </w:rPr>
        <w:t>月完工。榆树沟水库集水面积</w:t>
      </w:r>
      <w:r w:rsidRPr="00677D1F">
        <w:rPr>
          <w:rFonts w:asciiTheme="minorEastAsia" w:hAnsiTheme="minorEastAsia" w:cs="宋体"/>
          <w:color w:val="000000"/>
          <w:kern w:val="0"/>
          <w:sz w:val="24"/>
          <w:szCs w:val="24"/>
        </w:rPr>
        <w:t>308km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，榆树沟水库总库容</w:t>
      </w:r>
      <w:r w:rsidRPr="00677D1F">
        <w:rPr>
          <w:rFonts w:asciiTheme="minorEastAsia" w:hAnsiTheme="minorEastAsia" w:cs="宋体"/>
          <w:color w:val="000000"/>
          <w:kern w:val="0"/>
          <w:sz w:val="24"/>
          <w:szCs w:val="24"/>
        </w:rPr>
        <w:t>1100×10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，榆树沟水库设计洪水采用</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年一遇标准，流量</w:t>
      </w:r>
      <w:r w:rsidRPr="00677D1F">
        <w:rPr>
          <w:rFonts w:asciiTheme="minorEastAsia" w:hAnsiTheme="minorEastAsia" w:cs="宋体"/>
          <w:color w:val="000000"/>
          <w:kern w:val="0"/>
          <w:sz w:val="24"/>
          <w:szCs w:val="24"/>
        </w:rPr>
        <w:t>126m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；校核洪水采用千年一遇的标准，流量</w:t>
      </w:r>
      <w:r w:rsidRPr="00677D1F">
        <w:rPr>
          <w:rFonts w:asciiTheme="minorEastAsia" w:hAnsiTheme="minorEastAsia" w:cs="宋体"/>
          <w:color w:val="000000"/>
          <w:kern w:val="0"/>
          <w:sz w:val="24"/>
          <w:szCs w:val="24"/>
        </w:rPr>
        <w:t>398m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。设计洪水位</w:t>
      </w:r>
      <w:r w:rsidRPr="00677D1F">
        <w:rPr>
          <w:rFonts w:asciiTheme="minorEastAsia" w:hAnsiTheme="minorEastAsia" w:cs="宋体"/>
          <w:color w:val="000000"/>
          <w:kern w:val="0"/>
          <w:sz w:val="24"/>
          <w:szCs w:val="24"/>
        </w:rPr>
        <w:t>1996.73m</w:t>
      </w:r>
      <w:r w:rsidRPr="00677D1F">
        <w:rPr>
          <w:rFonts w:asciiTheme="minorEastAsia" w:hAnsiTheme="minorEastAsia" w:cs="宋体" w:hint="eastAsia"/>
          <w:color w:val="000000"/>
          <w:kern w:val="0"/>
          <w:sz w:val="24"/>
          <w:szCs w:val="24"/>
        </w:rPr>
        <w:t>，校核洪水为</w:t>
      </w:r>
      <w:r w:rsidRPr="00677D1F">
        <w:rPr>
          <w:rFonts w:asciiTheme="minorEastAsia" w:hAnsiTheme="minorEastAsia" w:cs="宋体"/>
          <w:color w:val="000000"/>
          <w:kern w:val="0"/>
          <w:sz w:val="24"/>
          <w:szCs w:val="24"/>
        </w:rPr>
        <w:t>1998.68m</w:t>
      </w:r>
      <w:r w:rsidRPr="00677D1F">
        <w:rPr>
          <w:rFonts w:asciiTheme="minorEastAsia" w:hAnsiTheme="minorEastAsia" w:cs="宋体" w:hint="eastAsia"/>
          <w:color w:val="000000"/>
          <w:kern w:val="0"/>
          <w:sz w:val="24"/>
          <w:szCs w:val="24"/>
        </w:rPr>
        <w:t>，正常蓄水位</w:t>
      </w:r>
      <w:r w:rsidRPr="00677D1F">
        <w:rPr>
          <w:rFonts w:asciiTheme="minorEastAsia" w:hAnsiTheme="minorEastAsia" w:cs="宋体"/>
          <w:color w:val="000000"/>
          <w:kern w:val="0"/>
          <w:sz w:val="24"/>
          <w:szCs w:val="24"/>
        </w:rPr>
        <w:t>1994.7m</w:t>
      </w:r>
      <w:r w:rsidRPr="00677D1F">
        <w:rPr>
          <w:rFonts w:asciiTheme="minorEastAsia" w:hAnsiTheme="minorEastAsia" w:cs="宋体" w:hint="eastAsia"/>
          <w:color w:val="000000"/>
          <w:kern w:val="0"/>
          <w:sz w:val="24"/>
          <w:szCs w:val="24"/>
        </w:rPr>
        <w:t>，死水位</w:t>
      </w:r>
      <w:r w:rsidRPr="00677D1F">
        <w:rPr>
          <w:rFonts w:asciiTheme="minorEastAsia" w:hAnsiTheme="minorEastAsia" w:cs="宋体"/>
          <w:color w:val="000000"/>
          <w:kern w:val="0"/>
          <w:sz w:val="24"/>
          <w:szCs w:val="24"/>
        </w:rPr>
        <w:t>1953m</w:t>
      </w:r>
      <w:r w:rsidRPr="00677D1F">
        <w:rPr>
          <w:rFonts w:asciiTheme="minorEastAsia" w:hAnsiTheme="minorEastAsia" w:cs="宋体" w:hint="eastAsia"/>
          <w:color w:val="000000"/>
          <w:kern w:val="0"/>
          <w:sz w:val="24"/>
          <w:szCs w:val="24"/>
        </w:rPr>
        <w:t>。设计洪水下泄流量</w:t>
      </w:r>
      <w:r w:rsidRPr="00677D1F">
        <w:rPr>
          <w:rFonts w:asciiTheme="minorEastAsia" w:hAnsiTheme="minorEastAsia" w:cs="宋体"/>
          <w:color w:val="000000"/>
          <w:kern w:val="0"/>
          <w:sz w:val="24"/>
          <w:szCs w:val="24"/>
        </w:rPr>
        <w:t>108m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。校核洪水下泄流量</w:t>
      </w:r>
      <w:r w:rsidRPr="00677D1F">
        <w:rPr>
          <w:rFonts w:asciiTheme="minorEastAsia" w:hAnsiTheme="minorEastAsia" w:cs="宋体"/>
          <w:color w:val="000000"/>
          <w:kern w:val="0"/>
          <w:sz w:val="24"/>
          <w:szCs w:val="24"/>
        </w:rPr>
        <w:t>295m3/s</w:t>
      </w:r>
      <w:r w:rsidRPr="00677D1F">
        <w:rPr>
          <w:rFonts w:asciiTheme="minorEastAsia" w:hAnsiTheme="minorEastAsia" w:cs="宋体" w:hint="eastAsia"/>
          <w:color w:val="000000"/>
          <w:kern w:val="0"/>
          <w:sz w:val="24"/>
          <w:szCs w:val="24"/>
        </w:rPr>
        <w:t>。榆树沟水库已建成向工业园区供水的输水管道。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榆树沟水库年向园区供水量为</w:t>
      </w:r>
      <w:r w:rsidRPr="00677D1F">
        <w:rPr>
          <w:rFonts w:asciiTheme="minorEastAsia" w:hAnsiTheme="minorEastAsia" w:cs="宋体"/>
          <w:color w:val="000000"/>
          <w:kern w:val="0"/>
          <w:sz w:val="24"/>
          <w:szCs w:val="24"/>
        </w:rPr>
        <w:t>3500</w:t>
      </w:r>
      <w:r w:rsidRPr="00677D1F">
        <w:rPr>
          <w:rFonts w:asciiTheme="minorEastAsia" w:hAnsiTheme="minorEastAsia" w:cs="宋体" w:hint="eastAsia"/>
          <w:color w:val="000000"/>
          <w:kern w:val="0"/>
          <w:sz w:val="24"/>
          <w:szCs w:val="24"/>
        </w:rPr>
        <w:t>万</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。哈密市地表水多发源于天山之中的冰川，这些冰川多集中在天山主脉的哈尔里克山和巴里坤山，资源量达</w:t>
      </w:r>
      <w:r w:rsidRPr="00677D1F">
        <w:rPr>
          <w:rFonts w:asciiTheme="minorEastAsia" w:hAnsiTheme="minorEastAsia" w:cs="宋体"/>
          <w:color w:val="000000"/>
          <w:kern w:val="0"/>
          <w:sz w:val="24"/>
          <w:szCs w:val="24"/>
        </w:rPr>
        <w:t>67.5×10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，市境内有大小山水沟</w:t>
      </w:r>
      <w:r w:rsidRPr="00677D1F">
        <w:rPr>
          <w:rFonts w:asciiTheme="minorEastAsia" w:hAnsiTheme="minorEastAsia" w:cs="宋体"/>
          <w:color w:val="000000"/>
          <w:kern w:val="0"/>
          <w:sz w:val="24"/>
          <w:szCs w:val="24"/>
        </w:rPr>
        <w:t>29</w:t>
      </w:r>
      <w:r w:rsidRPr="00677D1F">
        <w:rPr>
          <w:rFonts w:asciiTheme="minorEastAsia" w:hAnsiTheme="minorEastAsia" w:cs="宋体" w:hint="eastAsia"/>
          <w:color w:val="000000"/>
          <w:kern w:val="0"/>
          <w:sz w:val="24"/>
          <w:szCs w:val="24"/>
        </w:rPr>
        <w:t>条，北南流向，出山口处年均迳流量</w:t>
      </w:r>
      <w:r w:rsidRPr="00677D1F">
        <w:rPr>
          <w:rFonts w:asciiTheme="minorEastAsia" w:hAnsiTheme="minorEastAsia" w:cs="宋体"/>
          <w:color w:val="000000"/>
          <w:kern w:val="0"/>
          <w:sz w:val="24"/>
          <w:szCs w:val="24"/>
        </w:rPr>
        <w:t>4.5×10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，有大小泉水近千眼，多集中在城区东西河坝，地下水储量</w:t>
      </w:r>
      <w:r w:rsidRPr="00677D1F">
        <w:rPr>
          <w:rFonts w:asciiTheme="minorEastAsia" w:hAnsiTheme="minorEastAsia" w:cs="宋体"/>
          <w:color w:val="000000"/>
          <w:kern w:val="0"/>
          <w:sz w:val="24"/>
          <w:szCs w:val="24"/>
        </w:rPr>
        <w:t>3.16×10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，年开采量已达</w:t>
      </w:r>
      <w:r w:rsidRPr="00677D1F">
        <w:rPr>
          <w:rFonts w:asciiTheme="minorEastAsia" w:hAnsiTheme="minorEastAsia" w:cs="宋体"/>
          <w:color w:val="000000"/>
          <w:kern w:val="0"/>
          <w:sz w:val="24"/>
          <w:szCs w:val="24"/>
        </w:rPr>
        <w:t>5.23×10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，开采方式多为机井、坎尔井等。哈密盆地内无常年流水河流，主要靠巴里坤山和哈尔里克山的</w:t>
      </w:r>
      <w:r w:rsidRPr="00677D1F">
        <w:rPr>
          <w:rFonts w:asciiTheme="minorEastAsia" w:hAnsiTheme="minorEastAsia" w:cs="宋体"/>
          <w:color w:val="000000"/>
          <w:kern w:val="0"/>
          <w:sz w:val="24"/>
          <w:szCs w:val="24"/>
        </w:rPr>
        <w:t>14</w:t>
      </w:r>
      <w:r w:rsidRPr="00677D1F">
        <w:rPr>
          <w:rFonts w:asciiTheme="minorEastAsia" w:hAnsiTheme="minorEastAsia" w:cs="宋体" w:hint="eastAsia"/>
          <w:color w:val="000000"/>
          <w:kern w:val="0"/>
          <w:sz w:val="24"/>
          <w:szCs w:val="24"/>
        </w:rPr>
        <w:t>条季节性河流和泉流向盆地内汇集，年径流量约</w:t>
      </w:r>
      <w:r w:rsidRPr="00677D1F">
        <w:rPr>
          <w:rFonts w:asciiTheme="minorEastAsia" w:hAnsiTheme="minorEastAsia" w:cs="宋体"/>
          <w:color w:val="000000"/>
          <w:kern w:val="0"/>
          <w:sz w:val="24"/>
          <w:szCs w:val="24"/>
        </w:rPr>
        <w:t>1×10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根据项目用水《水资源论证报告》用水量分析结果，当</w:t>
      </w:r>
      <w:r w:rsidRPr="00677D1F">
        <w:rPr>
          <w:rFonts w:asciiTheme="minorEastAsia" w:hAnsiTheme="minorEastAsia" w:cs="宋体"/>
          <w:color w:val="000000"/>
          <w:kern w:val="0"/>
          <w:sz w:val="24"/>
          <w:szCs w:val="24"/>
        </w:rPr>
        <w:t>P=90%</w:t>
      </w:r>
      <w:r w:rsidRPr="00677D1F">
        <w:rPr>
          <w:rFonts w:asciiTheme="minorEastAsia" w:hAnsiTheme="minorEastAsia" w:cs="宋体" w:hint="eastAsia"/>
          <w:color w:val="000000"/>
          <w:kern w:val="0"/>
          <w:sz w:val="24"/>
          <w:szCs w:val="24"/>
        </w:rPr>
        <w:t>时，取水口控制断面天然来水量为</w:t>
      </w:r>
      <w:r w:rsidRPr="00677D1F">
        <w:rPr>
          <w:rFonts w:asciiTheme="minorEastAsia" w:hAnsiTheme="minorEastAsia" w:cs="宋体"/>
          <w:color w:val="000000"/>
          <w:kern w:val="0"/>
          <w:sz w:val="24"/>
          <w:szCs w:val="24"/>
        </w:rPr>
        <w:t>4.05×10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，可供水量为</w:t>
      </w:r>
      <w:r w:rsidRPr="00677D1F">
        <w:rPr>
          <w:rFonts w:asciiTheme="minorEastAsia" w:hAnsiTheme="minorEastAsia" w:cs="宋体"/>
          <w:color w:val="000000"/>
          <w:kern w:val="0"/>
          <w:sz w:val="24"/>
          <w:szCs w:val="24"/>
        </w:rPr>
        <w:t>3.87×10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，用水量为</w:t>
      </w:r>
      <w:r w:rsidRPr="00677D1F">
        <w:rPr>
          <w:rFonts w:asciiTheme="minorEastAsia" w:hAnsiTheme="minorEastAsia" w:cs="宋体"/>
          <w:color w:val="000000"/>
          <w:kern w:val="0"/>
          <w:sz w:val="24"/>
          <w:szCs w:val="24"/>
        </w:rPr>
        <w:t>0.63×10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（项目区用水量为</w:t>
      </w:r>
      <w:r w:rsidRPr="00677D1F">
        <w:rPr>
          <w:rFonts w:asciiTheme="minorEastAsia" w:hAnsiTheme="minorEastAsia" w:cs="宋体"/>
          <w:color w:val="000000"/>
          <w:kern w:val="0"/>
          <w:sz w:val="24"/>
          <w:szCs w:val="24"/>
        </w:rPr>
        <w:t>0.16×10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），余水量为</w:t>
      </w:r>
      <w:r w:rsidRPr="00677D1F">
        <w:rPr>
          <w:rFonts w:asciiTheme="minorEastAsia" w:hAnsiTheme="minorEastAsia" w:cs="宋体"/>
          <w:color w:val="000000"/>
          <w:kern w:val="0"/>
          <w:sz w:val="24"/>
          <w:szCs w:val="24"/>
        </w:rPr>
        <w:t>0.47×10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。榆树沟水库总库容</w:t>
      </w:r>
      <w:r w:rsidRPr="00677D1F">
        <w:rPr>
          <w:rFonts w:asciiTheme="minorEastAsia" w:hAnsiTheme="minorEastAsia" w:cs="宋体"/>
          <w:color w:val="000000"/>
          <w:kern w:val="0"/>
          <w:sz w:val="24"/>
          <w:szCs w:val="24"/>
        </w:rPr>
        <w:t>1100×10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，榆树沟水库年向园区供水量为</w:t>
      </w:r>
      <w:r w:rsidRPr="00677D1F">
        <w:rPr>
          <w:rFonts w:asciiTheme="minorEastAsia" w:hAnsiTheme="minorEastAsia" w:cs="宋体"/>
          <w:color w:val="000000"/>
          <w:kern w:val="0"/>
          <w:sz w:val="24"/>
          <w:szCs w:val="24"/>
        </w:rPr>
        <w:t>3500</w:t>
      </w:r>
      <w:r w:rsidRPr="00677D1F">
        <w:rPr>
          <w:rFonts w:asciiTheme="minorEastAsia" w:hAnsiTheme="minorEastAsia" w:cs="宋体" w:hint="eastAsia"/>
          <w:color w:val="000000"/>
          <w:kern w:val="0"/>
          <w:sz w:val="24"/>
          <w:szCs w:val="24"/>
        </w:rPr>
        <w:t>万×10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。园区近期取</w:t>
      </w:r>
      <w:r w:rsidRPr="00677D1F">
        <w:rPr>
          <w:rFonts w:asciiTheme="minorEastAsia" w:hAnsiTheme="minorEastAsia" w:cs="宋体"/>
          <w:color w:val="000000"/>
          <w:kern w:val="0"/>
          <w:sz w:val="24"/>
          <w:szCs w:val="24"/>
        </w:rPr>
        <w:t>4.5</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d，远期取</w:t>
      </w:r>
      <w:r w:rsidRPr="00677D1F">
        <w:rPr>
          <w:rFonts w:asciiTheme="minorEastAsia" w:hAnsiTheme="minorEastAsia" w:cs="宋体"/>
          <w:color w:val="000000"/>
          <w:kern w:val="0"/>
          <w:sz w:val="24"/>
          <w:szCs w:val="24"/>
        </w:rPr>
        <w:t>11.2</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d，工业园区近期用水量约</w:t>
      </w:r>
      <w:r w:rsidRPr="00677D1F">
        <w:rPr>
          <w:rFonts w:asciiTheme="minorEastAsia" w:hAnsiTheme="minorEastAsia" w:cs="宋体"/>
          <w:color w:val="000000"/>
          <w:kern w:val="0"/>
          <w:sz w:val="24"/>
          <w:szCs w:val="24"/>
        </w:rPr>
        <w:t>1642.5</w:t>
      </w:r>
      <w:r w:rsidRPr="00677D1F">
        <w:rPr>
          <w:rFonts w:asciiTheme="minorEastAsia" w:hAnsiTheme="minorEastAsia" w:cs="宋体" w:hint="eastAsia"/>
          <w:color w:val="000000"/>
          <w:kern w:val="0"/>
          <w:sz w:val="24"/>
          <w:szCs w:val="24"/>
        </w:rPr>
        <w:t>万×10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，而榆树沟水库年可供水量为</w:t>
      </w:r>
      <w:r w:rsidRPr="00677D1F">
        <w:rPr>
          <w:rFonts w:asciiTheme="minorEastAsia" w:hAnsiTheme="minorEastAsia" w:cs="宋体"/>
          <w:color w:val="000000"/>
          <w:kern w:val="0"/>
          <w:sz w:val="24"/>
          <w:szCs w:val="24"/>
        </w:rPr>
        <w:t>3500</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，尚有</w:t>
      </w:r>
      <w:r w:rsidRPr="00677D1F">
        <w:rPr>
          <w:rFonts w:asciiTheme="minorEastAsia" w:hAnsiTheme="minorEastAsia" w:cs="宋体"/>
          <w:color w:val="000000"/>
          <w:kern w:val="0"/>
          <w:sz w:val="24"/>
          <w:szCs w:val="24"/>
        </w:rPr>
        <w:t>1857.5</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余量可供进建企业使用，而本项目用水约</w:t>
      </w:r>
      <w:r w:rsidRPr="00677D1F">
        <w:rPr>
          <w:rFonts w:asciiTheme="minorEastAsia" w:hAnsiTheme="minorEastAsia" w:cs="宋体"/>
          <w:color w:val="000000"/>
          <w:kern w:val="0"/>
          <w:sz w:val="24"/>
          <w:szCs w:val="24"/>
        </w:rPr>
        <w:t>204.84</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，水量完全可以满足本项目用水需求。同时政府已承诺可满足本项目用水需要</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见附件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，本工程取水水源的水量是有保证的。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）项目用水环境影响分析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①对区域水资源影响分析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榆树沟水库总库容</w:t>
      </w:r>
      <w:r w:rsidRPr="00677D1F">
        <w:rPr>
          <w:rFonts w:asciiTheme="minorEastAsia" w:hAnsiTheme="minorEastAsia" w:cs="宋体"/>
          <w:color w:val="000000"/>
          <w:kern w:val="0"/>
          <w:sz w:val="24"/>
          <w:szCs w:val="24"/>
        </w:rPr>
        <w:t>1100×10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，取水水源为巴里坤山和哈尔里克山的</w:t>
      </w:r>
      <w:r w:rsidRPr="00677D1F">
        <w:rPr>
          <w:rFonts w:asciiTheme="minorEastAsia" w:hAnsiTheme="minorEastAsia" w:cs="宋体"/>
          <w:color w:val="000000"/>
          <w:kern w:val="0"/>
          <w:sz w:val="24"/>
          <w:szCs w:val="24"/>
        </w:rPr>
        <w:t>14</w:t>
      </w:r>
      <w:r w:rsidRPr="00677D1F">
        <w:rPr>
          <w:rFonts w:asciiTheme="minorEastAsia" w:hAnsiTheme="minorEastAsia" w:cs="宋体" w:hint="eastAsia"/>
          <w:color w:val="000000"/>
          <w:kern w:val="0"/>
          <w:sz w:val="24"/>
          <w:szCs w:val="24"/>
        </w:rPr>
        <w:t>条季节性河流和泉流向盆地内汇集，年径流量约</w:t>
      </w:r>
      <w:r w:rsidRPr="00677D1F">
        <w:rPr>
          <w:rFonts w:asciiTheme="minorEastAsia" w:hAnsiTheme="minorEastAsia" w:cs="宋体"/>
          <w:color w:val="000000"/>
          <w:kern w:val="0"/>
          <w:sz w:val="24"/>
          <w:szCs w:val="24"/>
        </w:rPr>
        <w:t>1×10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，而工业园区目前用水量占取水年平均径流量的</w:t>
      </w:r>
      <w:r w:rsidRPr="00677D1F">
        <w:rPr>
          <w:rFonts w:asciiTheme="minorEastAsia" w:hAnsiTheme="minorEastAsia" w:cs="宋体"/>
          <w:color w:val="000000"/>
          <w:kern w:val="0"/>
          <w:sz w:val="24"/>
          <w:szCs w:val="24"/>
        </w:rPr>
        <w:t>16.43%</w:t>
      </w:r>
      <w:r w:rsidRPr="00677D1F">
        <w:rPr>
          <w:rFonts w:asciiTheme="minorEastAsia" w:hAnsiTheme="minorEastAsia" w:cs="宋体" w:hint="eastAsia"/>
          <w:color w:val="000000"/>
          <w:kern w:val="0"/>
          <w:sz w:val="24"/>
          <w:szCs w:val="24"/>
        </w:rPr>
        <w:t>，哈密水系水资源利用潜力很大。拟建项目通过园区供水管网总取水量为</w:t>
      </w:r>
      <w:r w:rsidRPr="00677D1F">
        <w:rPr>
          <w:rFonts w:asciiTheme="minorEastAsia" w:hAnsiTheme="minorEastAsia" w:cs="宋体"/>
          <w:color w:val="000000"/>
          <w:kern w:val="0"/>
          <w:sz w:val="24"/>
          <w:szCs w:val="24"/>
        </w:rPr>
        <w:t>204.84</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，约占哈密水系水资源水资源总量的</w:t>
      </w:r>
      <w:r w:rsidRPr="00677D1F">
        <w:rPr>
          <w:rFonts w:asciiTheme="minorEastAsia" w:hAnsiTheme="minorEastAsia" w:cs="宋体"/>
          <w:color w:val="000000"/>
          <w:kern w:val="0"/>
          <w:sz w:val="24"/>
          <w:szCs w:val="24"/>
        </w:rPr>
        <w:t>1.75</w:t>
      </w:r>
      <w:r w:rsidRPr="00677D1F">
        <w:rPr>
          <w:rFonts w:asciiTheme="minorEastAsia" w:hAnsiTheme="minorEastAsia" w:cs="宋体" w:hint="eastAsia"/>
          <w:color w:val="000000"/>
          <w:kern w:val="0"/>
          <w:sz w:val="24"/>
          <w:szCs w:val="24"/>
        </w:rPr>
        <w:t>％，占榆树沟水库总库容量的</w:t>
      </w:r>
      <w:r w:rsidRPr="00677D1F">
        <w:rPr>
          <w:rFonts w:asciiTheme="minorEastAsia" w:hAnsiTheme="minorEastAsia" w:cs="宋体"/>
          <w:color w:val="000000"/>
          <w:kern w:val="0"/>
          <w:sz w:val="24"/>
          <w:szCs w:val="24"/>
        </w:rPr>
        <w:t>15.93%</w:t>
      </w:r>
      <w:r w:rsidRPr="00677D1F">
        <w:rPr>
          <w:rFonts w:asciiTheme="minorEastAsia" w:hAnsiTheme="minorEastAsia" w:cs="宋体" w:hint="eastAsia"/>
          <w:color w:val="000000"/>
          <w:kern w:val="0"/>
          <w:sz w:val="24"/>
          <w:szCs w:val="24"/>
        </w:rPr>
        <w:t>，因此本项目用水不会对哈密水系水资源产生明显影响，同时也不会对榆树沟水库其它取水用户产生明显影响。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②对其他用水户的影响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根据项目用水《水资源论证报告》用水量分析结果，取水口控制断面天然来水量为</w:t>
      </w:r>
      <w:r w:rsidRPr="00677D1F">
        <w:rPr>
          <w:rFonts w:asciiTheme="minorEastAsia" w:hAnsiTheme="minorEastAsia" w:cs="宋体"/>
          <w:color w:val="000000"/>
          <w:kern w:val="0"/>
          <w:sz w:val="24"/>
          <w:szCs w:val="24"/>
        </w:rPr>
        <w:t>4.05×10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，可供水量为</w:t>
      </w:r>
      <w:r w:rsidRPr="00677D1F">
        <w:rPr>
          <w:rFonts w:asciiTheme="minorEastAsia" w:hAnsiTheme="minorEastAsia" w:cs="宋体"/>
          <w:color w:val="000000"/>
          <w:kern w:val="0"/>
          <w:sz w:val="24"/>
          <w:szCs w:val="24"/>
        </w:rPr>
        <w:t>3.87×10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，用水量为</w:t>
      </w:r>
      <w:r w:rsidRPr="00677D1F">
        <w:rPr>
          <w:rFonts w:asciiTheme="minorEastAsia" w:hAnsiTheme="minorEastAsia" w:cs="宋体"/>
          <w:color w:val="000000"/>
          <w:kern w:val="0"/>
          <w:sz w:val="24"/>
          <w:szCs w:val="24"/>
        </w:rPr>
        <w:t>0.63×10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（项目区用水量为</w:t>
      </w:r>
      <w:r w:rsidRPr="00677D1F">
        <w:rPr>
          <w:rFonts w:asciiTheme="minorEastAsia" w:hAnsiTheme="minorEastAsia" w:cs="宋体"/>
          <w:color w:val="000000"/>
          <w:kern w:val="0"/>
          <w:sz w:val="24"/>
          <w:szCs w:val="24"/>
        </w:rPr>
        <w:t>0.16×10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），余水量为</w:t>
      </w:r>
      <w:r w:rsidRPr="00677D1F">
        <w:rPr>
          <w:rFonts w:asciiTheme="minorEastAsia" w:hAnsiTheme="minorEastAsia" w:cs="宋体"/>
          <w:color w:val="000000"/>
          <w:kern w:val="0"/>
          <w:sz w:val="24"/>
          <w:szCs w:val="24"/>
        </w:rPr>
        <w:t>0.47×10</w:t>
      </w:r>
      <w:r w:rsidRPr="00677D1F">
        <w:rPr>
          <w:rFonts w:asciiTheme="minorEastAsia" w:hAnsiTheme="minorEastAsia" w:cs="宋体"/>
          <w:color w:val="000000"/>
          <w:kern w:val="0"/>
          <w:sz w:val="24"/>
          <w:szCs w:val="24"/>
          <w:vertAlign w:val="superscript"/>
        </w:rPr>
        <w:t>8</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，说明项目用水取水口有充足的能力向取水口控制断面的上游居民生活用水和工农业生产用水提供可靠的水源。同时榆树沟水库年可供水量为</w:t>
      </w:r>
      <w:r w:rsidRPr="00677D1F">
        <w:rPr>
          <w:rFonts w:asciiTheme="minorEastAsia" w:hAnsiTheme="minorEastAsia" w:cs="宋体"/>
          <w:color w:val="000000"/>
          <w:kern w:val="0"/>
          <w:sz w:val="24"/>
          <w:szCs w:val="24"/>
        </w:rPr>
        <w:t>3500</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，尚有</w:t>
      </w:r>
      <w:r w:rsidRPr="00677D1F">
        <w:rPr>
          <w:rFonts w:asciiTheme="minorEastAsia" w:hAnsiTheme="minorEastAsia" w:cs="宋体"/>
          <w:color w:val="000000"/>
          <w:kern w:val="0"/>
          <w:sz w:val="24"/>
          <w:szCs w:val="24"/>
        </w:rPr>
        <w:t>1857.5</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余量可供进建企业使用，</w:t>
      </w:r>
      <w:r w:rsidRPr="00677D1F">
        <w:rPr>
          <w:rFonts w:asciiTheme="minorEastAsia" w:hAnsiTheme="minorEastAsia" w:cs="宋体" w:hint="eastAsia"/>
          <w:color w:val="000000"/>
          <w:kern w:val="0"/>
          <w:sz w:val="24"/>
          <w:szCs w:val="24"/>
        </w:rPr>
        <w:lastRenderedPageBreak/>
        <w:t>而本项目用水约</w:t>
      </w:r>
      <w:r w:rsidRPr="00677D1F">
        <w:rPr>
          <w:rFonts w:asciiTheme="minorEastAsia" w:hAnsiTheme="minorEastAsia" w:cs="宋体"/>
          <w:color w:val="000000"/>
          <w:kern w:val="0"/>
          <w:sz w:val="24"/>
          <w:szCs w:val="24"/>
        </w:rPr>
        <w:t>204.84</w:t>
      </w:r>
      <w:r w:rsidRPr="00677D1F">
        <w:rPr>
          <w:rFonts w:asciiTheme="minorEastAsia" w:hAnsiTheme="minorEastAsia" w:cs="宋体" w:hint="eastAsia"/>
          <w:color w:val="000000"/>
          <w:kern w:val="0"/>
          <w:sz w:val="24"/>
          <w:szCs w:val="24"/>
        </w:rPr>
        <w:t>×10</w:t>
      </w:r>
      <w:r w:rsidRPr="00677D1F">
        <w:rPr>
          <w:rFonts w:asciiTheme="minorEastAsia" w:hAnsiTheme="minorEastAsia" w:cs="宋体" w:hint="eastAsia"/>
          <w:color w:val="000000"/>
          <w:kern w:val="0"/>
          <w:sz w:val="24"/>
          <w:szCs w:val="24"/>
          <w:vertAlign w:val="superscript"/>
        </w:rPr>
        <w:t>4</w:t>
      </w:r>
      <w:r w:rsidRPr="00677D1F">
        <w:rPr>
          <w:rFonts w:asciiTheme="minorEastAsia" w:hAnsiTheme="minorEastAsia" w:cs="宋体" w:hint="eastAsia"/>
          <w:color w:val="000000"/>
          <w:kern w:val="0"/>
          <w:sz w:val="24"/>
          <w:szCs w:val="24"/>
        </w:rPr>
        <w:t>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，因此水量有保证且不会对其他用水户产生明显影响。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7.2.2</w:t>
      </w:r>
      <w:r w:rsidRPr="00677D1F">
        <w:rPr>
          <w:rFonts w:ascii="宋体" w:hAnsi="宋体" w:hint="eastAsia"/>
          <w:sz w:val="28"/>
          <w:szCs w:val="28"/>
        </w:rPr>
        <w:t xml:space="preserve"> 地表水环境影响分析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根据《环境影响评价技术导则</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地面水环境》（</w:t>
      </w:r>
      <w:r w:rsidRPr="00677D1F">
        <w:rPr>
          <w:rFonts w:asciiTheme="minorEastAsia" w:hAnsiTheme="minorEastAsia" w:cs="宋体"/>
          <w:color w:val="000000"/>
          <w:kern w:val="0"/>
          <w:sz w:val="24"/>
          <w:szCs w:val="24"/>
        </w:rPr>
        <w:t>HJ/T2.2-93</w:t>
      </w:r>
      <w:r w:rsidRPr="00677D1F">
        <w:rPr>
          <w:rFonts w:asciiTheme="minorEastAsia" w:hAnsiTheme="minorEastAsia" w:cs="宋体" w:hint="eastAsia"/>
          <w:color w:val="000000"/>
          <w:kern w:val="0"/>
          <w:sz w:val="24"/>
          <w:szCs w:val="24"/>
        </w:rPr>
        <w:t>）中</w:t>
      </w:r>
      <w:r w:rsidRPr="00677D1F">
        <w:rPr>
          <w:rFonts w:asciiTheme="minorEastAsia" w:hAnsiTheme="minorEastAsia" w:cs="宋体"/>
          <w:color w:val="000000"/>
          <w:kern w:val="0"/>
          <w:sz w:val="24"/>
          <w:szCs w:val="24"/>
        </w:rPr>
        <w:t>“4.3”</w:t>
      </w:r>
      <w:r w:rsidRPr="00677D1F">
        <w:rPr>
          <w:rFonts w:asciiTheme="minorEastAsia" w:hAnsiTheme="minorEastAsia" w:cs="宋体" w:hint="eastAsia"/>
          <w:color w:val="000000"/>
          <w:kern w:val="0"/>
          <w:sz w:val="24"/>
          <w:szCs w:val="24"/>
        </w:rPr>
        <w:t>规定，本项目只对本项目排放的废水简要说明所排放的污染物类型和数量、给排水状况、排水去向等，并简要说明水环境的影响分析。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）废水排放源强情况</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本项目废水分为两类，即生产废水及生活污水。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废物主要来源于循环冷却系统排水、透平机及液氯蒸发排水、氯化尾气及精制尾气处理废水、氯压机室升华物溶解废水、镁电解尾气及事故氯气处理废水、氯气生产系统的螯合树脂塔排放的离子再生水、脱盐水单元混床再生时排放的过滤废盐水以及高温湿氢气经冷却、洗涤、分离后产生冷凝水、洗涤水；钛加工系统的清洗废水等。生产排水分类进行处理，其中为节约新水用量，对设备冷却水设置循环水系统循环利用，本工程共设</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个循环水系统；收尘渣冲渣水、四氯化钛制备尾气洗涤废液、电解系统废气洗涤废液、升华物溶解废液、加工系统产生的含酸废水先经中和处理后与其他生产废水和初期雨水一起进入废水处理站的生产废水处理设备进行处理，再采用二级反渗透处理工艺处理后用于循环水补充。生产废水处理系统处理能力</w:t>
      </w:r>
      <w:r w:rsidRPr="00677D1F">
        <w:rPr>
          <w:rFonts w:asciiTheme="minorEastAsia" w:hAnsiTheme="minorEastAsia" w:cs="宋体"/>
          <w:color w:val="000000"/>
          <w:kern w:val="0"/>
          <w:sz w:val="24"/>
          <w:szCs w:val="24"/>
        </w:rPr>
        <w:t>200m3/h</w:t>
      </w:r>
      <w:r w:rsidRPr="00677D1F">
        <w:rPr>
          <w:rFonts w:asciiTheme="minorEastAsia" w:hAnsiTheme="minorEastAsia" w:cs="宋体" w:hint="eastAsia"/>
          <w:color w:val="000000"/>
          <w:kern w:val="0"/>
          <w:sz w:val="24"/>
          <w:szCs w:val="24"/>
        </w:rPr>
        <w:t>。本工程最大日生产排水量</w:t>
      </w:r>
      <w:r w:rsidRPr="00677D1F">
        <w:rPr>
          <w:rFonts w:asciiTheme="minorEastAsia" w:hAnsiTheme="minorEastAsia" w:cs="宋体"/>
          <w:color w:val="000000"/>
          <w:kern w:val="0"/>
          <w:sz w:val="24"/>
          <w:szCs w:val="24"/>
        </w:rPr>
        <w:t>1797m3/d</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本项目生活污水主要包括食堂、浴室、办公楼等处排水，生活污水量为</w:t>
      </w:r>
      <w:r w:rsidRPr="00677D1F">
        <w:rPr>
          <w:rFonts w:asciiTheme="minorEastAsia" w:hAnsiTheme="minorEastAsia" w:cs="宋体"/>
          <w:color w:val="000000"/>
          <w:kern w:val="0"/>
          <w:sz w:val="24"/>
          <w:szCs w:val="24"/>
        </w:rPr>
        <w:t>181m3/d</w:t>
      </w:r>
      <w:r w:rsidRPr="00677D1F">
        <w:rPr>
          <w:rFonts w:asciiTheme="minorEastAsia" w:hAnsiTheme="minorEastAsia" w:cs="宋体" w:hint="eastAsia"/>
          <w:color w:val="000000"/>
          <w:kern w:val="0"/>
          <w:sz w:val="24"/>
          <w:szCs w:val="24"/>
        </w:rPr>
        <w:t>，经生活污水管网收集排入废水处理站的生活污水处理系统采用生活污水处理设备处理，生活污水处理系统污水处理能力为</w:t>
      </w:r>
      <w:r w:rsidRPr="00677D1F">
        <w:rPr>
          <w:rFonts w:asciiTheme="minorEastAsia" w:hAnsiTheme="minorEastAsia" w:cs="宋体"/>
          <w:color w:val="000000"/>
          <w:kern w:val="0"/>
          <w:sz w:val="24"/>
          <w:szCs w:val="24"/>
        </w:rPr>
        <w:t>30m3/h</w:t>
      </w:r>
      <w:r w:rsidRPr="00677D1F">
        <w:rPr>
          <w:rFonts w:asciiTheme="minorEastAsia" w:hAnsiTheme="minorEastAsia" w:cs="宋体" w:hint="eastAsia"/>
          <w:color w:val="000000"/>
          <w:kern w:val="0"/>
          <w:sz w:val="24"/>
          <w:szCs w:val="24"/>
        </w:rPr>
        <w:t>，生活污水经处理后进入生产废水处理系统调节池与生产废水一起再进行处理，不外排。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）项目排水对水环境的影响分析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本项目废水处理达标后，能够全部回用，做到不外排，故不会对地表水环境产生影响。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7.2.3</w:t>
      </w:r>
      <w:r w:rsidRPr="00677D1F">
        <w:rPr>
          <w:rFonts w:ascii="宋体" w:hAnsi="宋体" w:hint="eastAsia"/>
          <w:sz w:val="28"/>
          <w:szCs w:val="28"/>
        </w:rPr>
        <w:t xml:space="preserve"> 地下水影响分析</w:t>
      </w: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7.2.3.1</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地形地貌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项目厂址位于哈密市工业园区重工业加工区的西南，重工业加工区地形起伏不大，地形较平缓，总体上向东南略倾斜，地貌单元为山前冲洪积平原，微地貌类型为低缓沙丘。哈密市工业园区地处天山山前冲积倾斜平原，由干燥侵蚀平原和小片沙丘地组成。</w:t>
      </w: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7.2.3.2</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地质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工程地质自地面向下大致可分为：粉细砂、中细砂、泥质砂岩，承载力特征值150-600kPa。最大冻土深度1.27m。</w:t>
      </w: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7.2.3.3</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区域水文地质条件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该区域属吐鲁番</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哈密山间凹陷，是华力西褶皱基底上发展起来的中新生代凹陷。出露地层有三叠系、侏罗系、白垩系、第三系和第四系。沉降幅度北深南浅，沉积厚度</w:t>
      </w:r>
      <w:r w:rsidRPr="00677D1F">
        <w:rPr>
          <w:rFonts w:asciiTheme="minorEastAsia" w:hAnsiTheme="minorEastAsia" w:cs="宋体"/>
          <w:color w:val="000000"/>
          <w:kern w:val="0"/>
          <w:sz w:val="24"/>
          <w:szCs w:val="24"/>
        </w:rPr>
        <w:t>4000~8000m</w:t>
      </w:r>
      <w:r w:rsidRPr="00677D1F">
        <w:rPr>
          <w:rFonts w:asciiTheme="minorEastAsia" w:hAnsiTheme="minorEastAsia" w:cs="宋体" w:hint="eastAsia"/>
          <w:color w:val="000000"/>
          <w:kern w:val="0"/>
          <w:sz w:val="24"/>
          <w:szCs w:val="24"/>
        </w:rPr>
        <w:t>，断块的差异降为本凹陷的显著构造特色。根据收集的资料显示，项目区及附近无活动断裂发育。根据中国地震局编制《中国地震烈度区划图》，本区地震烈度为Ⅵ度。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哈密市地表水多发源于天山之中的冰川，这些冰川多集中在天山主脉的哈尔里克山和巴里坤山，资源量达</w:t>
      </w:r>
      <w:r w:rsidRPr="00677D1F">
        <w:rPr>
          <w:rFonts w:asciiTheme="minorEastAsia" w:hAnsiTheme="minorEastAsia" w:cs="宋体"/>
          <w:color w:val="000000"/>
          <w:kern w:val="0"/>
          <w:sz w:val="24"/>
          <w:szCs w:val="24"/>
        </w:rPr>
        <w:t>67.5×108m3</w:t>
      </w:r>
      <w:r w:rsidRPr="00677D1F">
        <w:rPr>
          <w:rFonts w:asciiTheme="minorEastAsia" w:hAnsiTheme="minorEastAsia" w:cs="宋体" w:hint="eastAsia"/>
          <w:color w:val="000000"/>
          <w:kern w:val="0"/>
          <w:sz w:val="24"/>
          <w:szCs w:val="24"/>
        </w:rPr>
        <w:t>，市境内有大小山水沟</w:t>
      </w:r>
      <w:r w:rsidRPr="00677D1F">
        <w:rPr>
          <w:rFonts w:asciiTheme="minorEastAsia" w:hAnsiTheme="minorEastAsia" w:cs="宋体"/>
          <w:color w:val="000000"/>
          <w:kern w:val="0"/>
          <w:sz w:val="24"/>
          <w:szCs w:val="24"/>
        </w:rPr>
        <w:t>29</w:t>
      </w:r>
      <w:r w:rsidRPr="00677D1F">
        <w:rPr>
          <w:rFonts w:asciiTheme="minorEastAsia" w:hAnsiTheme="minorEastAsia" w:cs="宋体" w:hint="eastAsia"/>
          <w:color w:val="000000"/>
          <w:kern w:val="0"/>
          <w:sz w:val="24"/>
          <w:szCs w:val="24"/>
        </w:rPr>
        <w:t>条，北南流向，出山口处年均迳流量</w:t>
      </w:r>
      <w:r w:rsidRPr="00677D1F">
        <w:rPr>
          <w:rFonts w:asciiTheme="minorEastAsia" w:hAnsiTheme="minorEastAsia" w:cs="宋体"/>
          <w:color w:val="000000"/>
          <w:kern w:val="0"/>
          <w:sz w:val="24"/>
          <w:szCs w:val="24"/>
        </w:rPr>
        <w:t>4.5×108m3</w:t>
      </w:r>
      <w:r w:rsidRPr="00677D1F">
        <w:rPr>
          <w:rFonts w:asciiTheme="minorEastAsia" w:hAnsiTheme="minorEastAsia" w:cs="宋体" w:hint="eastAsia"/>
          <w:color w:val="000000"/>
          <w:kern w:val="0"/>
          <w:sz w:val="24"/>
          <w:szCs w:val="24"/>
        </w:rPr>
        <w:t>，有大小泉水近千眼，多集中在城区东西河坝，地下水储量</w:t>
      </w:r>
      <w:r w:rsidRPr="00677D1F">
        <w:rPr>
          <w:rFonts w:asciiTheme="minorEastAsia" w:hAnsiTheme="minorEastAsia" w:cs="宋体"/>
          <w:color w:val="000000"/>
          <w:kern w:val="0"/>
          <w:sz w:val="24"/>
          <w:szCs w:val="24"/>
        </w:rPr>
        <w:t>3.16×108m3</w:t>
      </w:r>
      <w:r w:rsidRPr="00677D1F">
        <w:rPr>
          <w:rFonts w:asciiTheme="minorEastAsia" w:hAnsiTheme="minorEastAsia" w:cs="宋体" w:hint="eastAsia"/>
          <w:color w:val="000000"/>
          <w:kern w:val="0"/>
          <w:sz w:val="24"/>
          <w:szCs w:val="24"/>
        </w:rPr>
        <w:t>，年开采量已达</w:t>
      </w:r>
      <w:r w:rsidRPr="00677D1F">
        <w:rPr>
          <w:rFonts w:asciiTheme="minorEastAsia" w:hAnsiTheme="minorEastAsia" w:cs="宋体"/>
          <w:color w:val="000000"/>
          <w:kern w:val="0"/>
          <w:sz w:val="24"/>
          <w:szCs w:val="24"/>
        </w:rPr>
        <w:t>5.23×108m3</w:t>
      </w:r>
      <w:r w:rsidRPr="00677D1F">
        <w:rPr>
          <w:rFonts w:asciiTheme="minorEastAsia" w:hAnsiTheme="minorEastAsia" w:cs="宋体" w:hint="eastAsia"/>
          <w:color w:val="000000"/>
          <w:kern w:val="0"/>
          <w:sz w:val="24"/>
          <w:szCs w:val="24"/>
        </w:rPr>
        <w:t>，开采方式多为机井、坎尔井等。哈密盆地内无常年流水河流，主要靠巴里坤山和哈尔里克山的</w:t>
      </w:r>
      <w:r w:rsidRPr="00677D1F">
        <w:rPr>
          <w:rFonts w:asciiTheme="minorEastAsia" w:hAnsiTheme="minorEastAsia" w:cs="宋体"/>
          <w:color w:val="000000"/>
          <w:kern w:val="0"/>
          <w:sz w:val="24"/>
          <w:szCs w:val="24"/>
        </w:rPr>
        <w:t>14</w:t>
      </w:r>
      <w:r w:rsidRPr="00677D1F">
        <w:rPr>
          <w:rFonts w:asciiTheme="minorEastAsia" w:hAnsiTheme="minorEastAsia" w:cs="宋体" w:hint="eastAsia"/>
          <w:color w:val="000000"/>
          <w:kern w:val="0"/>
          <w:sz w:val="24"/>
          <w:szCs w:val="24"/>
        </w:rPr>
        <w:t>条季节性河流和泉流向盆地内汇集，年径流量约</w:t>
      </w:r>
      <w:r w:rsidRPr="00677D1F">
        <w:rPr>
          <w:rFonts w:asciiTheme="minorEastAsia" w:hAnsiTheme="minorEastAsia" w:cs="宋体"/>
          <w:color w:val="000000"/>
          <w:kern w:val="0"/>
          <w:sz w:val="24"/>
          <w:szCs w:val="24"/>
        </w:rPr>
        <w:t>1×108m3</w:t>
      </w:r>
      <w:r w:rsidRPr="00677D1F">
        <w:rPr>
          <w:rFonts w:asciiTheme="minorEastAsia" w:hAnsiTheme="minorEastAsia" w:cs="宋体" w:hint="eastAsia"/>
          <w:color w:val="000000"/>
          <w:kern w:val="0"/>
          <w:sz w:val="24"/>
          <w:szCs w:val="24"/>
        </w:rPr>
        <w:t>。除部分河水如：石城子河、榆树沟、庙尔沟修建引水渠将河水引入灌区外，大部分河水流出山口后不远便在戈壁地带渗入地下，转化为地下径流，形成了哈密市以地表引水、地下提水并重的绿洲灌溉农业体系。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项目区域内无长年性地表水流，且无季节性冲沟分布。曾经有季节水流的库尔克果勒，流向为南湖乡向西南方向的沙尔湖。由于上游来水减少，南湖水库和花园子水库的拦蓄，已于上世纪九十年代彻底断流。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根据《新疆哈密盆地地下水资源潜力研究》（</w:t>
      </w:r>
      <w:r w:rsidRPr="00677D1F">
        <w:rPr>
          <w:rFonts w:asciiTheme="minorEastAsia" w:hAnsiTheme="minorEastAsia" w:cs="宋体"/>
          <w:color w:val="000000"/>
          <w:kern w:val="0"/>
          <w:sz w:val="24"/>
          <w:szCs w:val="24"/>
        </w:rPr>
        <w:t>2002</w:t>
      </w:r>
      <w:r w:rsidRPr="00677D1F">
        <w:rPr>
          <w:rFonts w:asciiTheme="minorEastAsia" w:hAnsiTheme="minorEastAsia" w:cs="宋体" w:hint="eastAsia"/>
          <w:color w:val="000000"/>
          <w:kern w:val="0"/>
          <w:sz w:val="24"/>
          <w:szCs w:val="24"/>
        </w:rPr>
        <w:t>年），项目所在的哈密盆地以沙诺尔湖</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库如克郭勒沟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长干沟为界分为两个地下水系统，即北部巴坤山</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哈尔里克山山前倾斜平原地下水系统和南部觉罗塔格山北麓地下水系统，北部巴坤山区为哈尔里克山山前倾斜平原地下水系统的地下水的补给区。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沙诺尔湖为哈密盆地地下水最终排泄处，受气象、水文、地形地貌、补给条件、地层岩性，区域构造等多种因素的控制，地下水的形成与富集，以库如克郭勒沟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南湖断裂为界；北部山区</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平原区降水丰富，地表水丰富、地下水补给条件好，含水层厚度大、富水性好；南部低山丘陵区降水较少，地下水补给条件差，且风化裂隙和构造裂隙分布不均，地下水极为贫乏。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新疆哈密盆地地下水按其赋存特征、含水层岩性及水动力特征，可划分为：第四系松散岩类孔隙水、第三系碎屑岩类孔隙裂隙水和基岩裂隙水三种基本类型。</w:t>
      </w: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7.2.3.4</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地下水开发利用现状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哈密市人均水资源总量仅为</w:t>
      </w:r>
      <w:r w:rsidRPr="00677D1F">
        <w:rPr>
          <w:rFonts w:asciiTheme="minorEastAsia" w:hAnsiTheme="minorEastAsia" w:cs="宋体"/>
          <w:color w:val="000000"/>
          <w:kern w:val="0"/>
          <w:sz w:val="24"/>
          <w:szCs w:val="24"/>
        </w:rPr>
        <w:t>1500m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，低于国际公认的</w:t>
      </w:r>
      <w:r w:rsidRPr="00677D1F">
        <w:rPr>
          <w:rFonts w:asciiTheme="minorEastAsia" w:hAnsiTheme="minorEastAsia" w:cs="宋体"/>
          <w:color w:val="000000"/>
          <w:kern w:val="0"/>
          <w:sz w:val="24"/>
          <w:szCs w:val="24"/>
        </w:rPr>
        <w:t>1700m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的警戒线，因此哈密市属于严重的资源型缺水地区。表</w:t>
      </w:r>
      <w:r w:rsidRPr="00677D1F">
        <w:rPr>
          <w:rFonts w:asciiTheme="minorEastAsia" w:hAnsiTheme="minorEastAsia" w:cs="宋体"/>
          <w:color w:val="000000"/>
          <w:kern w:val="0"/>
          <w:sz w:val="24"/>
          <w:szCs w:val="24"/>
        </w:rPr>
        <w:t>7.2-1</w:t>
      </w:r>
      <w:r w:rsidRPr="00677D1F">
        <w:rPr>
          <w:rFonts w:asciiTheme="minorEastAsia" w:hAnsiTheme="minorEastAsia" w:cs="宋体" w:hint="eastAsia"/>
          <w:color w:val="000000"/>
          <w:kern w:val="0"/>
          <w:sz w:val="24"/>
          <w:szCs w:val="24"/>
        </w:rPr>
        <w:t>反映出了哈密市近年各行业地下用水量情况，但是没有考虑环境生态用水水量。</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7.2-1</w:t>
      </w:r>
      <w:r w:rsidRPr="00677D1F">
        <w:rPr>
          <w:rFonts w:ascii="黑体" w:eastAsia="黑体" w:hAnsi="黑体" w:cs="宋体" w:hint="eastAsia"/>
          <w:b/>
          <w:color w:val="000000"/>
          <w:kern w:val="0"/>
          <w:szCs w:val="21"/>
        </w:rPr>
        <w:t>哈密市现状各行业用水量汇总表</w:t>
      </w:r>
    </w:p>
    <w:tbl>
      <w:tblPr>
        <w:tblStyle w:val="aa"/>
        <w:tblW w:w="9072" w:type="dxa"/>
        <w:jc w:val="center"/>
        <w:tblLayout w:type="fixed"/>
        <w:tblLook w:val="04A0" w:firstRow="1" w:lastRow="0" w:firstColumn="1" w:lastColumn="0" w:noHBand="0" w:noVBand="1"/>
      </w:tblPr>
      <w:tblGrid>
        <w:gridCol w:w="1402"/>
        <w:gridCol w:w="3242"/>
        <w:gridCol w:w="4428"/>
      </w:tblGrid>
      <w:tr w:rsidR="00D228BE" w:rsidRPr="00677D1F">
        <w:trPr>
          <w:trHeight w:val="340"/>
          <w:jc w:val="center"/>
        </w:trPr>
        <w:tc>
          <w:tcPr>
            <w:tcW w:w="1402" w:type="dxa"/>
            <w:vAlign w:val="center"/>
          </w:tcPr>
          <w:p w:rsidR="00D228BE" w:rsidRPr="00677D1F" w:rsidRDefault="00332EB6" w:rsidP="00677D1F">
            <w:pPr>
              <w:widowControl/>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序号</w:t>
            </w:r>
          </w:p>
        </w:tc>
        <w:tc>
          <w:tcPr>
            <w:tcW w:w="3242" w:type="dxa"/>
            <w:vAlign w:val="center"/>
          </w:tcPr>
          <w:p w:rsidR="00D228BE" w:rsidRPr="00677D1F" w:rsidRDefault="00332EB6" w:rsidP="00677D1F">
            <w:pPr>
              <w:widowControl/>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用水类型</w:t>
            </w:r>
          </w:p>
        </w:tc>
        <w:tc>
          <w:tcPr>
            <w:tcW w:w="4428" w:type="dxa"/>
            <w:vAlign w:val="center"/>
          </w:tcPr>
          <w:p w:rsidR="00D228BE" w:rsidRPr="00677D1F" w:rsidRDefault="00332EB6" w:rsidP="00677D1F">
            <w:pPr>
              <w:widowControl/>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用水量（1×10</w:t>
            </w:r>
            <w:r w:rsidRPr="00677D1F">
              <w:rPr>
                <w:rFonts w:ascii="宋体" w:eastAsia="宋体" w:hAnsi="宋体" w:cs="宋体" w:hint="eastAsia"/>
                <w:b/>
                <w:color w:val="000000"/>
                <w:kern w:val="0"/>
                <w:szCs w:val="21"/>
                <w:vertAlign w:val="superscript"/>
              </w:rPr>
              <w:t>4</w:t>
            </w:r>
            <w:r w:rsidRPr="00677D1F">
              <w:rPr>
                <w:rFonts w:ascii="宋体" w:eastAsia="宋体" w:hAnsi="宋体" w:cs="宋体" w:hint="eastAsia"/>
                <w:b/>
                <w:color w:val="000000"/>
                <w:kern w:val="0"/>
                <w:szCs w:val="21"/>
              </w:rPr>
              <w:t>m</w:t>
            </w:r>
            <w:r w:rsidRPr="00677D1F">
              <w:rPr>
                <w:rFonts w:ascii="宋体" w:eastAsia="宋体" w:hAnsi="宋体" w:cs="宋体" w:hint="eastAsia"/>
                <w:b/>
                <w:color w:val="000000"/>
                <w:kern w:val="0"/>
                <w:szCs w:val="21"/>
                <w:vertAlign w:val="superscript"/>
              </w:rPr>
              <w:t>3</w:t>
            </w:r>
            <w:r w:rsidRPr="00677D1F">
              <w:rPr>
                <w:rFonts w:ascii="宋体" w:eastAsia="宋体" w:hAnsi="宋体" w:cs="宋体" w:hint="eastAsia"/>
                <w:b/>
                <w:color w:val="000000"/>
                <w:kern w:val="0"/>
                <w:szCs w:val="21"/>
              </w:rPr>
              <w:t>）</w:t>
            </w:r>
          </w:p>
        </w:tc>
      </w:tr>
      <w:tr w:rsidR="00D228BE" w:rsidRPr="00677D1F">
        <w:trPr>
          <w:trHeight w:val="340"/>
          <w:jc w:val="center"/>
        </w:trPr>
        <w:tc>
          <w:tcPr>
            <w:tcW w:w="140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w:t>
            </w:r>
          </w:p>
        </w:tc>
        <w:tc>
          <w:tcPr>
            <w:tcW w:w="324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农业用水</w:t>
            </w:r>
          </w:p>
        </w:tc>
        <w:tc>
          <w:tcPr>
            <w:tcW w:w="4428"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10913</w:t>
            </w:r>
          </w:p>
        </w:tc>
      </w:tr>
      <w:tr w:rsidR="00D228BE" w:rsidRPr="00677D1F">
        <w:trPr>
          <w:trHeight w:val="340"/>
          <w:jc w:val="center"/>
        </w:trPr>
        <w:tc>
          <w:tcPr>
            <w:tcW w:w="140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w:t>
            </w:r>
          </w:p>
        </w:tc>
        <w:tc>
          <w:tcPr>
            <w:tcW w:w="324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城市生活用水</w:t>
            </w:r>
          </w:p>
        </w:tc>
        <w:tc>
          <w:tcPr>
            <w:tcW w:w="4428"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2391</w:t>
            </w:r>
          </w:p>
        </w:tc>
      </w:tr>
      <w:tr w:rsidR="00D228BE" w:rsidRPr="00677D1F">
        <w:trPr>
          <w:trHeight w:val="340"/>
          <w:jc w:val="center"/>
        </w:trPr>
        <w:tc>
          <w:tcPr>
            <w:tcW w:w="140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w:t>
            </w:r>
          </w:p>
        </w:tc>
        <w:tc>
          <w:tcPr>
            <w:tcW w:w="324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工业用水</w:t>
            </w:r>
          </w:p>
        </w:tc>
        <w:tc>
          <w:tcPr>
            <w:tcW w:w="4428"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1945</w:t>
            </w:r>
          </w:p>
        </w:tc>
      </w:tr>
      <w:tr w:rsidR="00D228BE" w:rsidRPr="00677D1F">
        <w:trPr>
          <w:trHeight w:val="340"/>
          <w:jc w:val="center"/>
        </w:trPr>
        <w:tc>
          <w:tcPr>
            <w:tcW w:w="140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w:t>
            </w:r>
          </w:p>
        </w:tc>
        <w:tc>
          <w:tcPr>
            <w:tcW w:w="324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农村人畜用水</w:t>
            </w:r>
          </w:p>
        </w:tc>
        <w:tc>
          <w:tcPr>
            <w:tcW w:w="4428"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249</w:t>
            </w:r>
          </w:p>
        </w:tc>
      </w:tr>
      <w:tr w:rsidR="00D228BE" w:rsidRPr="00677D1F">
        <w:trPr>
          <w:trHeight w:val="340"/>
          <w:jc w:val="center"/>
        </w:trPr>
        <w:tc>
          <w:tcPr>
            <w:tcW w:w="140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w:t>
            </w:r>
          </w:p>
        </w:tc>
        <w:tc>
          <w:tcPr>
            <w:tcW w:w="324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总用水量</w:t>
            </w:r>
          </w:p>
        </w:tc>
        <w:tc>
          <w:tcPr>
            <w:tcW w:w="4428"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15497</w:t>
            </w:r>
          </w:p>
        </w:tc>
      </w:tr>
    </w:tbl>
    <w:p w:rsidR="00D228BE" w:rsidRPr="00677D1F" w:rsidRDefault="00D228BE" w:rsidP="00677D1F">
      <w:pPr>
        <w:widowControl/>
        <w:spacing w:line="240" w:lineRule="exact"/>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7.2.3.5</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地下水环境敏感目标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本区地下水开发利用现状可知，拟建厂区及其附近的地下水没有被开发利用，主要是水质较差，且拟建厂区周围约11km范围内无居民居住点，本次评价范围内无居民等敏感点。因此，本项目的地下水环境敏感目标为拟建厂区及其附近的地下水水质。</w:t>
      </w: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7.2.3.6</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地下水污染防治措施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施工期应做好厂区工业场地的防渗措施，工业场地地面硬化处理，尤其是原料场，其应按照《一般工业固体废物贮存、处置场污染控制标准》（</w:t>
      </w:r>
      <w:r w:rsidRPr="00677D1F">
        <w:rPr>
          <w:rFonts w:asciiTheme="minorEastAsia" w:hAnsiTheme="minorEastAsia" w:cs="宋体"/>
          <w:color w:val="000000"/>
          <w:kern w:val="0"/>
          <w:sz w:val="24"/>
          <w:szCs w:val="24"/>
        </w:rPr>
        <w:t>GB18599-2001</w:t>
      </w:r>
      <w:r w:rsidRPr="00677D1F">
        <w:rPr>
          <w:rFonts w:asciiTheme="minorEastAsia" w:hAnsiTheme="minorEastAsia" w:cs="宋体" w:hint="eastAsia"/>
          <w:color w:val="000000"/>
          <w:kern w:val="0"/>
          <w:sz w:val="24"/>
          <w:szCs w:val="24"/>
        </w:rPr>
        <w:t>）要求采取防渗措施；工业场地各生产装置附近，尤其是生产废水的所有贮运管线、处理设施、事故池等，必须采取有效的防渗措施。经过这些处置措施后，厂区内废水不会对地下水造成污染。</w:t>
      </w:r>
    </w:p>
    <w:p w:rsidR="00D228BE" w:rsidRPr="00677D1F" w:rsidRDefault="00332EB6" w:rsidP="00677D1F">
      <w:pPr>
        <w:widowControl/>
        <w:spacing w:line="360" w:lineRule="auto"/>
        <w:contextualSpacing/>
        <w:outlineLvl w:val="3"/>
        <w:rPr>
          <w:rFonts w:ascii="Times New Roman" w:eastAsia="宋体" w:hAnsi="Times New Roman" w:cs="Times New Roman"/>
          <w:b/>
          <w:bCs/>
          <w:color w:val="000000"/>
          <w:kern w:val="0"/>
          <w:sz w:val="24"/>
          <w:szCs w:val="24"/>
        </w:rPr>
      </w:pPr>
      <w:r w:rsidRPr="00677D1F">
        <w:rPr>
          <w:rFonts w:ascii="Times New Roman" w:eastAsia="宋体" w:hAnsi="Times New Roman" w:cs="Times New Roman"/>
          <w:b/>
          <w:bCs/>
          <w:color w:val="000000"/>
          <w:kern w:val="0"/>
          <w:sz w:val="24"/>
          <w:szCs w:val="24"/>
        </w:rPr>
        <w:t>7.2.3.7</w:t>
      </w:r>
      <w:r w:rsidRPr="00677D1F">
        <w:rPr>
          <w:rFonts w:ascii="Times New Roman" w:eastAsia="宋体" w:hAnsi="Times New Roman" w:cs="Times New Roman" w:hint="eastAsia"/>
          <w:b/>
          <w:bCs/>
          <w:color w:val="000000"/>
          <w:kern w:val="0"/>
          <w:sz w:val="24"/>
          <w:szCs w:val="24"/>
        </w:rPr>
        <w:t xml:space="preserve"> </w:t>
      </w:r>
      <w:r w:rsidRPr="00677D1F">
        <w:rPr>
          <w:rFonts w:ascii="Times New Roman" w:eastAsia="宋体" w:hAnsi="Times New Roman" w:cs="Times New Roman" w:hint="eastAsia"/>
          <w:b/>
          <w:bCs/>
          <w:color w:val="000000"/>
          <w:kern w:val="0"/>
          <w:sz w:val="24"/>
          <w:szCs w:val="24"/>
        </w:rPr>
        <w:t>地下水环境影响分析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（1）污染途径分析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最常见的潜水污染是污染物通过包气带渗入而形成的。浅层地下水和承压水的污染是通过各种井孔、坑洞和断层等发生的，它们作为一种通道把其所揭露的含水层同地面污染源或已被污染的含水层联系起来，造成深层地下水的污染，随着地下水的运动，形成地下水污染扩散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（2）污水和废液泄漏对地下水的影响的可能性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①正常生产情况下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污水处理设施运行正常的情况下，污水在管道及污水池中停留和流动，池子与池子、管道与管道、管道与阀门之间采取法兰连接，阀门采用知名厂家优质产品，对于地上管道、阀门派专人负责随时观察，如出现渗漏问题及时解决。对工艺要求必须地下走管的管道、阀门设专用防渗管沟，管沟上设活动观察顶盖，以便出现渗漏问题及时观察、解决，管沟与污水集水井相连，并设计合理的排水坡度，便于废水排至集水井，然后由污水处理站统一处理。可以杜绝污水</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跑、冒、滴、漏</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等情况的发生。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项目在设计中拟采取完善、有效的厂区防渗处理，做到无渗漏现象发生。因此，在正常情况下，只要做好了各水池和污水设施和管道的防渗工程处理，完全可以避免污水入渗进入潜水层。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②事故风险状态下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事故风险状态主要是本项目储存污水的储池、污水处理设施、污水管道等发生渗漏或泄漏，则可能出现污水的无约束流淌，或者由于淋滤作用使危废临时堆场有淋滤液通过防渗效果不好的地面渗入潜水层，而造成地下水的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拟在建设时采取完善的厂区防渗工程措施，严格来说，出现此种情况是绝对不允许的。因此，在厂区各车间、仓库、污水处理站、道路等采取了防渗工程措施的前提下，由于项目厂区的车间、装置区、污水处理站占地范围渗透系数很小，即便出现废水的泄漏事故，污水通过包气带下渗污染地下水的可能也是非常小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（3）浅层地下水污染的环境风险分析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①拟建项目选址地区不属于地下水环境敏感区项目所在地区域不属于地下水环境敏感区。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②环境水文地质条件良好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项目区域岩土工程勘察报告，项目所在地区域内水文地质条件比较简单，地下水受季节的影响变化不大。区内地下水主要接受山前砾质倾斜平原地下水的侧向渗透补给，无地表水的补给。地下水迳流条件受地形、岩性控制，地下水通过各种途径汇集，形成区内赋水盆地。由于区内地表水系不发育，降水稀少，多年平均降雨仅34.6mm，蒸发量3092mm，蒸发量大于降水量的89多倍，场区内的地下水排泄方式主要以蒸发蒸腾排泄为主，本次勘察期间，揭露地下水埋大于30m。</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根据区域环境水文地质普查资料，拟建项目场地岩（土）层厚度＞1m，渗透系数是5.19×10-8-9.03×10-7，项目所在地的包气带包气带防污性能为中。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③评价范围内无开发利用地下水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在评价范围内没有工业企业开发利用地下水，也没有集中式生活饮用取水。</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综上所述，在采取严格的防护措施之后，拟建项目不会导致评价范围浅层地下水遭受到污染。即使在事故风险情况下有少量污染物入渗至厂址地块的浅水层，也不会发生影响工业、农业和群众生活的严重后果。因此，建设项目对地下水环境的影响较小。</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7.3</w:t>
      </w:r>
      <w:r w:rsidRPr="00677D1F">
        <w:rPr>
          <w:rFonts w:ascii="宋体" w:hAnsi="宋体" w:hint="eastAsia"/>
          <w:bCs w:val="0"/>
          <w:kern w:val="2"/>
          <w:sz w:val="30"/>
          <w:szCs w:val="30"/>
        </w:rPr>
        <w:t xml:space="preserve"> 声环境影响预测及评价</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7.3.1</w:t>
      </w:r>
      <w:r w:rsidRPr="00677D1F">
        <w:rPr>
          <w:rFonts w:ascii="宋体" w:hAnsi="宋体" w:hint="eastAsia"/>
          <w:sz w:val="28"/>
          <w:szCs w:val="28"/>
        </w:rPr>
        <w:t xml:space="preserve"> 预测内容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预测范围为厂界</w:t>
      </w:r>
      <w:r w:rsidRPr="00677D1F">
        <w:rPr>
          <w:rFonts w:asciiTheme="minorEastAsia" w:hAnsiTheme="minorEastAsia" w:cs="宋体"/>
          <w:color w:val="000000"/>
          <w:kern w:val="0"/>
          <w:sz w:val="24"/>
          <w:szCs w:val="24"/>
        </w:rPr>
        <w:t>1m</w:t>
      </w:r>
      <w:r w:rsidRPr="00677D1F">
        <w:rPr>
          <w:rFonts w:asciiTheme="minorEastAsia" w:hAnsiTheme="minorEastAsia" w:cs="宋体" w:hint="eastAsia"/>
          <w:color w:val="000000"/>
          <w:kern w:val="0"/>
          <w:sz w:val="24"/>
          <w:szCs w:val="24"/>
        </w:rPr>
        <w:t>，预测时段为正常生产运行期。最终的厂界噪声（等效</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声级）是本项目产生噪声设备的噪声与环境噪声叠加的结果。根据项目区平面布置，本次的预测内容针对厂界的现状监测点的影响进行预测。</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7.3.2</w:t>
      </w:r>
      <w:r w:rsidRPr="00677D1F">
        <w:rPr>
          <w:rFonts w:ascii="宋体" w:hAnsi="宋体" w:hint="eastAsia"/>
          <w:sz w:val="28"/>
          <w:szCs w:val="28"/>
        </w:rPr>
        <w:t xml:space="preserve"> 噪声预测模式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）点声源衰减公式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计算采用《环境影响评价技术导则声环境》（</w:t>
      </w:r>
      <w:r w:rsidRPr="00677D1F">
        <w:rPr>
          <w:rFonts w:asciiTheme="minorEastAsia" w:hAnsiTheme="minorEastAsia" w:cs="宋体"/>
          <w:color w:val="000000"/>
          <w:kern w:val="0"/>
          <w:sz w:val="24"/>
          <w:szCs w:val="24"/>
        </w:rPr>
        <w:t>HJ2.4-2009</w:t>
      </w:r>
      <w:r w:rsidRPr="00677D1F">
        <w:rPr>
          <w:rFonts w:asciiTheme="minorEastAsia" w:hAnsiTheme="minorEastAsia" w:cs="宋体" w:hint="eastAsia"/>
          <w:color w:val="000000"/>
          <w:kern w:val="0"/>
          <w:sz w:val="24"/>
          <w:szCs w:val="24"/>
        </w:rPr>
        <w:t>）中推荐的点声源衰减模式，计算公式如下：</w:t>
      </w:r>
    </w:p>
    <w:p w:rsidR="00D228BE" w:rsidRPr="00677D1F" w:rsidRDefault="00550417" w:rsidP="00677D1F">
      <w:pPr>
        <w:widowControl/>
        <w:spacing w:line="360" w:lineRule="auto"/>
        <w:contextualSpacing/>
        <w:rPr>
          <w:rFonts w:asciiTheme="minorEastAsia" w:hAnsiTheme="minorEastAsia" w:cs="宋体"/>
          <w:color w:val="000000"/>
          <w:kern w:val="0"/>
          <w:sz w:val="24"/>
          <w:szCs w:val="24"/>
        </w:rPr>
      </w:pPr>
      <m:oMathPara>
        <m:oMath>
          <m:sSub>
            <m:sSubPr>
              <m:ctrlPr>
                <w:rPr>
                  <w:rFonts w:ascii="Cambria Math" w:hAnsi="Cambria Math" w:cs="宋体"/>
                  <w:color w:val="000000"/>
                  <w:kern w:val="0"/>
                  <w:sz w:val="24"/>
                  <w:szCs w:val="24"/>
                </w:rPr>
              </m:ctrlPr>
            </m:sSubPr>
            <m:e>
              <m:r>
                <w:rPr>
                  <w:rFonts w:ascii="Cambria Math" w:hAnsi="Cambria Math" w:cs="宋体"/>
                  <w:color w:val="000000"/>
                  <w:kern w:val="0"/>
                  <w:sz w:val="24"/>
                  <w:szCs w:val="24"/>
                </w:rPr>
                <m:t>L</m:t>
              </m:r>
            </m:e>
            <m:sub>
              <m:d>
                <m:dPr>
                  <m:begChr m:val="（"/>
                  <m:endChr m:val="）"/>
                  <m:ctrlPr>
                    <w:rPr>
                      <w:rFonts w:ascii="Cambria Math" w:hAnsi="Cambria Math" w:cs="宋体"/>
                      <w:color w:val="000000"/>
                      <w:kern w:val="0"/>
                      <w:sz w:val="24"/>
                      <w:szCs w:val="24"/>
                    </w:rPr>
                  </m:ctrlPr>
                </m:dPr>
                <m:e>
                  <m:r>
                    <m:rPr>
                      <m:sty m:val="p"/>
                    </m:rPr>
                    <w:rPr>
                      <w:rFonts w:ascii="Cambria Math" w:hAnsi="Cambria Math" w:cs="宋体"/>
                      <w:color w:val="000000"/>
                      <w:kern w:val="0"/>
                      <w:sz w:val="24"/>
                      <w:szCs w:val="24"/>
                    </w:rPr>
                    <m:t>r</m:t>
                  </m:r>
                </m:e>
              </m:d>
              <m:r>
                <m:rPr>
                  <m:sty m:val="p"/>
                </m:rPr>
                <w:rPr>
                  <w:rFonts w:ascii="Cambria Math" w:hAnsi="Cambria Math" w:cs="宋体"/>
                  <w:color w:val="000000"/>
                  <w:kern w:val="0"/>
                  <w:sz w:val="24"/>
                  <w:szCs w:val="24"/>
                </w:rPr>
                <m:t>=</m:t>
              </m:r>
            </m:sub>
          </m:sSub>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L</m:t>
              </m:r>
            </m:e>
            <m:sub>
              <m:d>
                <m:dPr>
                  <m:begChr m:val="（"/>
                  <m:endChr m:val="）"/>
                  <m:ctrlPr>
                    <w:rPr>
                      <w:rFonts w:ascii="Cambria Math" w:hAnsi="Cambria Math" w:cs="宋体"/>
                      <w:color w:val="000000"/>
                      <w:kern w:val="0"/>
                      <w:sz w:val="24"/>
                      <w:szCs w:val="24"/>
                    </w:rPr>
                  </m:ctrlPr>
                </m:dPr>
                <m:e>
                  <m:sSub>
                    <m:sSubPr>
                      <m:ctrlPr>
                        <w:rPr>
                          <w:rFonts w:ascii="Cambria Math" w:hAnsi="Cambria Math" w:cs="宋体"/>
                          <w:color w:val="000000"/>
                          <w:kern w:val="0"/>
                          <w:sz w:val="24"/>
                          <w:szCs w:val="24"/>
                        </w:rPr>
                      </m:ctrlPr>
                    </m:sSubPr>
                    <m:e>
                      <m:r>
                        <w:rPr>
                          <w:rFonts w:ascii="Cambria Math" w:hAnsi="Cambria Math" w:cs="宋体"/>
                          <w:color w:val="000000"/>
                          <w:kern w:val="0"/>
                          <w:sz w:val="24"/>
                          <w:szCs w:val="24"/>
                        </w:rPr>
                        <m:t>r</m:t>
                      </m:r>
                    </m:e>
                    <m:sub>
                      <m:r>
                        <w:rPr>
                          <w:rFonts w:ascii="Cambria Math" w:hAnsi="Cambria Math" w:cs="宋体"/>
                          <w:color w:val="000000"/>
                          <w:kern w:val="0"/>
                          <w:sz w:val="24"/>
                          <w:szCs w:val="24"/>
                        </w:rPr>
                        <m:t>0</m:t>
                      </m:r>
                    </m:sub>
                  </m:sSub>
                </m:e>
              </m:d>
            </m:sub>
          </m:sSub>
          <m:r>
            <w:rPr>
              <w:rFonts w:ascii="Cambria Math" w:hAnsi="Cambria Math" w:cs="宋体"/>
              <w:color w:val="000000"/>
              <w:kern w:val="0"/>
              <w:sz w:val="24"/>
              <w:szCs w:val="24"/>
            </w:rPr>
            <m:t>-20</m:t>
          </m:r>
          <m:func>
            <m:funcPr>
              <m:ctrlPr>
                <w:rPr>
                  <w:rFonts w:ascii="Cambria Math" w:hAnsi="Cambria Math" w:cs="宋体"/>
                  <w:color w:val="000000"/>
                  <w:kern w:val="0"/>
                  <w:sz w:val="24"/>
                  <w:szCs w:val="24"/>
                </w:rPr>
              </m:ctrlPr>
            </m:funcPr>
            <m:fName>
              <m:r>
                <m:rPr>
                  <m:sty m:val="p"/>
                </m:rPr>
                <w:rPr>
                  <w:rFonts w:ascii="Cambria Math" w:hAnsi="Cambria Math" w:cs="宋体"/>
                  <w:color w:val="000000"/>
                  <w:kern w:val="0"/>
                  <w:sz w:val="24"/>
                  <w:szCs w:val="24"/>
                </w:rPr>
                <m:t>lg</m:t>
              </m:r>
            </m:fName>
            <m:e>
              <m:d>
                <m:dPr>
                  <m:ctrlPr>
                    <w:rPr>
                      <w:rFonts w:ascii="Cambria Math" w:hAnsi="Cambria Math" w:cs="宋体"/>
                      <w:i/>
                      <w:color w:val="000000"/>
                      <w:kern w:val="0"/>
                      <w:sz w:val="24"/>
                      <w:szCs w:val="24"/>
                    </w:rPr>
                  </m:ctrlPr>
                </m:dPr>
                <m:e>
                  <m:f>
                    <m:fPr>
                      <m:type m:val="skw"/>
                      <m:ctrlPr>
                        <w:rPr>
                          <w:rFonts w:ascii="Cambria Math" w:hAnsi="Cambria Math" w:cs="宋体"/>
                          <w:i/>
                          <w:color w:val="000000"/>
                          <w:kern w:val="0"/>
                          <w:sz w:val="24"/>
                          <w:szCs w:val="24"/>
                        </w:rPr>
                      </m:ctrlPr>
                    </m:fPr>
                    <m:num>
                      <m:r>
                        <w:rPr>
                          <w:rFonts w:ascii="Cambria Math" w:hAnsi="Cambria Math" w:cs="宋体"/>
                          <w:color w:val="000000"/>
                          <w:kern w:val="0"/>
                          <w:sz w:val="24"/>
                          <w:szCs w:val="24"/>
                        </w:rPr>
                        <m:t>r</m:t>
                      </m:r>
                    </m:num>
                    <m:den>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r</m:t>
                          </m:r>
                        </m:e>
                        <m:sub>
                          <m:r>
                            <w:rPr>
                              <w:rFonts w:ascii="Cambria Math" w:hAnsi="Cambria Math" w:cs="宋体"/>
                              <w:color w:val="000000"/>
                              <w:kern w:val="0"/>
                              <w:sz w:val="24"/>
                              <w:szCs w:val="24"/>
                            </w:rPr>
                            <m:t>0</m:t>
                          </m:r>
                        </m:sub>
                      </m:sSub>
                    </m:den>
                  </m:f>
                </m:e>
              </m:d>
            </m:e>
          </m:func>
          <m:r>
            <w:rPr>
              <w:rFonts w:ascii="Cambria Math" w:hAnsi="Cambria Math" w:cs="宋体"/>
              <w:color w:val="000000"/>
              <w:kern w:val="0"/>
              <w:sz w:val="24"/>
              <w:szCs w:val="24"/>
            </w:rPr>
            <m:t>-∆L</m:t>
          </m:r>
        </m:oMath>
      </m:oMathPara>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L（r）</w:t>
      </w:r>
      <w:r w:rsidRPr="00677D1F">
        <w:rPr>
          <w:rFonts w:asciiTheme="minorEastAsia" w:hAnsiTheme="minorEastAsia" w:cs="宋体" w:hint="eastAsia"/>
          <w:color w:val="000000"/>
          <w:kern w:val="0"/>
          <w:sz w:val="24"/>
          <w:szCs w:val="24"/>
        </w:rPr>
        <w:t>——距声源</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距离上的</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声压级；</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L（r</w:t>
      </w:r>
      <w:r w:rsidRPr="00677D1F">
        <w:rPr>
          <w:rFonts w:asciiTheme="minorEastAsia" w:hAnsiTheme="minorEastAsia" w:cs="宋体"/>
          <w:color w:val="000000"/>
          <w:kern w:val="0"/>
          <w:sz w:val="24"/>
          <w:szCs w:val="24"/>
          <w:vertAlign w:val="subscript"/>
        </w:rPr>
        <w:t>0</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——距声源</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距离上的</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声压级；</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ΔL</w:t>
      </w:r>
      <w:r w:rsidRPr="00677D1F">
        <w:rPr>
          <w:rFonts w:asciiTheme="minorEastAsia" w:hAnsiTheme="minorEastAsia" w:cs="宋体" w:hint="eastAsia"/>
          <w:color w:val="000000"/>
          <w:kern w:val="0"/>
          <w:sz w:val="24"/>
          <w:szCs w:val="24"/>
        </w:rPr>
        <w:t>——声屏障、遮挡物、空气吸收地面效应引起的衰减量；</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0——距声源距离（</w:t>
      </w: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）多源叠加计算总声压级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各受声点上受到多个声源的影响叠加，计算公式如下：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m:oMathPara>
        <m:oMath>
          <m:r>
            <w:rPr>
              <w:rFonts w:ascii="Cambria Math" w:hAnsi="Cambria Math" w:cs="宋体"/>
              <w:color w:val="000000"/>
              <w:kern w:val="0"/>
              <w:sz w:val="24"/>
              <w:szCs w:val="24"/>
            </w:rPr>
            <m:t>Leq</m:t>
          </m:r>
          <m:r>
            <m:rPr>
              <m:sty m:val="p"/>
            </m:rPr>
            <w:rPr>
              <w:rFonts w:ascii="Cambria Math" w:hAnsi="Cambria Math" w:cs="宋体"/>
              <w:color w:val="000000"/>
              <w:kern w:val="0"/>
              <w:sz w:val="24"/>
              <w:szCs w:val="24"/>
            </w:rPr>
            <m:t>总</m:t>
          </m:r>
          <m:r>
            <m:rPr>
              <m:sty m:val="p"/>
            </m:rPr>
            <w:rPr>
              <w:rFonts w:ascii="Cambria Math" w:hAnsi="Cambria Math" w:cs="宋体"/>
              <w:color w:val="000000"/>
              <w:kern w:val="0"/>
              <w:sz w:val="24"/>
              <w:szCs w:val="24"/>
            </w:rPr>
            <m:t>=10lg⁡[</m:t>
          </m:r>
          <m:nary>
            <m:naryPr>
              <m:chr m:val="∑"/>
              <m:limLoc m:val="undOvr"/>
              <m:ctrlPr>
                <w:rPr>
                  <w:rFonts w:ascii="Cambria Math" w:hAnsi="Cambria Math" w:cs="宋体"/>
                  <w:color w:val="000000"/>
                  <w:kern w:val="0"/>
                  <w:sz w:val="24"/>
                  <w:szCs w:val="24"/>
                </w:rPr>
              </m:ctrlPr>
            </m:naryPr>
            <m:sub>
              <m:r>
                <w:rPr>
                  <w:rFonts w:ascii="Cambria Math" w:hAnsi="Cambria Math" w:cs="宋体"/>
                  <w:color w:val="000000"/>
                  <w:kern w:val="0"/>
                  <w:sz w:val="24"/>
                  <w:szCs w:val="24"/>
                </w:rPr>
                <m:t>i=1</m:t>
              </m:r>
            </m:sub>
            <m:sup>
              <m:r>
                <w:rPr>
                  <w:rFonts w:ascii="Cambria Math" w:hAnsi="Cambria Math" w:cs="宋体"/>
                  <w:color w:val="000000"/>
                  <w:kern w:val="0"/>
                  <w:sz w:val="24"/>
                  <w:szCs w:val="24"/>
                </w:rPr>
                <m:t>n</m:t>
              </m:r>
            </m:sup>
            <m:e>
              <m:sSup>
                <m:sSupPr>
                  <m:ctrlPr>
                    <w:rPr>
                      <w:rFonts w:ascii="Cambria Math" w:hAnsi="Cambria Math" w:cs="宋体"/>
                      <w:i/>
                      <w:color w:val="000000"/>
                      <w:kern w:val="0"/>
                      <w:sz w:val="24"/>
                      <w:szCs w:val="24"/>
                    </w:rPr>
                  </m:ctrlPr>
                </m:sSupPr>
                <m:e>
                  <m:r>
                    <w:rPr>
                      <w:rFonts w:ascii="Cambria Math" w:hAnsi="Cambria Math" w:cs="宋体"/>
                      <w:color w:val="000000"/>
                      <w:kern w:val="0"/>
                      <w:sz w:val="24"/>
                      <w:szCs w:val="24"/>
                    </w:rPr>
                    <m:t>10</m:t>
                  </m:r>
                </m:e>
                <m:sup>
                  <m:r>
                    <w:rPr>
                      <w:rFonts w:ascii="Cambria Math" w:hAnsi="Cambria Math" w:cs="宋体"/>
                      <w:color w:val="000000"/>
                      <w:kern w:val="0"/>
                      <w:sz w:val="24"/>
                      <w:szCs w:val="24"/>
                    </w:rPr>
                    <m:t>0.1</m:t>
                  </m:r>
                  <m:sSub>
                    <m:sSubPr>
                      <m:ctrlPr>
                        <w:rPr>
                          <w:rFonts w:ascii="Cambria Math" w:hAnsi="Cambria Math" w:cs="宋体"/>
                          <w:i/>
                          <w:color w:val="000000"/>
                          <w:kern w:val="0"/>
                          <w:sz w:val="24"/>
                          <w:szCs w:val="24"/>
                        </w:rPr>
                      </m:ctrlPr>
                    </m:sSubPr>
                    <m:e>
                      <m:r>
                        <w:rPr>
                          <w:rFonts w:ascii="Cambria Math" w:hAnsi="Cambria Math" w:cs="宋体"/>
                          <w:color w:val="000000"/>
                          <w:kern w:val="0"/>
                          <w:sz w:val="24"/>
                          <w:szCs w:val="24"/>
                        </w:rPr>
                        <m:t>Leq</m:t>
                      </m:r>
                    </m:e>
                    <m:sub>
                      <m:r>
                        <w:rPr>
                          <w:rFonts w:ascii="Cambria Math" w:hAnsi="Cambria Math" w:cs="宋体"/>
                          <w:color w:val="000000"/>
                          <w:kern w:val="0"/>
                          <w:sz w:val="24"/>
                          <w:szCs w:val="24"/>
                        </w:rPr>
                        <m:t>i</m:t>
                      </m:r>
                    </m:sub>
                  </m:sSub>
                </m:sup>
              </m:sSup>
            </m:e>
          </m:nary>
          <m:r>
            <m:rPr>
              <m:sty m:val="p"/>
            </m:rPr>
            <w:rPr>
              <w:rFonts w:ascii="Cambria Math" w:hAnsi="Cambria Math" w:cs="宋体"/>
              <w:color w:val="000000"/>
              <w:kern w:val="0"/>
              <w:sz w:val="24"/>
              <w:szCs w:val="24"/>
            </w:rPr>
            <m:t>]</m:t>
          </m:r>
        </m:oMath>
      </m:oMathPara>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Leq</w:t>
      </w:r>
      <w:r w:rsidRPr="00677D1F">
        <w:rPr>
          <w:rFonts w:asciiTheme="minorEastAsia" w:hAnsiTheme="minorEastAsia" w:cs="宋体" w:hint="eastAsia"/>
          <w:color w:val="000000"/>
          <w:kern w:val="0"/>
          <w:sz w:val="24"/>
          <w:szCs w:val="24"/>
        </w:rPr>
        <w:t>总——总等效声级，</w:t>
      </w:r>
      <w:r w:rsidRPr="00677D1F">
        <w:rPr>
          <w:rFonts w:asciiTheme="minorEastAsia" w:hAnsiTheme="minorEastAsia" w:cs="宋体"/>
          <w:color w:val="000000"/>
          <w:kern w:val="0"/>
          <w:sz w:val="24"/>
          <w:szCs w:val="24"/>
        </w:rPr>
        <w:t>dB（A）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Leq</w:t>
      </w:r>
      <w:r w:rsidRPr="00677D1F">
        <w:rPr>
          <w:rFonts w:asciiTheme="minorEastAsia" w:hAnsiTheme="minorEastAsia" w:cs="宋体"/>
          <w:color w:val="000000"/>
          <w:kern w:val="0"/>
          <w:sz w:val="24"/>
          <w:szCs w:val="24"/>
          <w:vertAlign w:val="subscript"/>
        </w:rPr>
        <w:t>i</w:t>
      </w:r>
      <w:r w:rsidRPr="00677D1F">
        <w:rPr>
          <w:rFonts w:asciiTheme="minorEastAsia" w:hAnsiTheme="minorEastAsia" w:cs="宋体" w:hint="eastAsia"/>
          <w:color w:val="000000"/>
          <w:kern w:val="0"/>
          <w:sz w:val="24"/>
          <w:szCs w:val="24"/>
        </w:rPr>
        <w:t>——第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声源对某预测点的等效声级，</w:t>
      </w:r>
      <w:r w:rsidRPr="00677D1F">
        <w:rPr>
          <w:rFonts w:asciiTheme="minorEastAsia" w:hAnsiTheme="minorEastAsia" w:cs="宋体"/>
          <w:color w:val="000000"/>
          <w:kern w:val="0"/>
          <w:sz w:val="24"/>
          <w:szCs w:val="24"/>
        </w:rPr>
        <w:t>dB（A）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500" w:firstLine="120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n</w:t>
      </w:r>
      <w:r w:rsidRPr="00677D1F">
        <w:rPr>
          <w:rFonts w:asciiTheme="minorEastAsia" w:hAnsiTheme="minorEastAsia" w:cs="宋体" w:hint="eastAsia"/>
          <w:color w:val="000000"/>
          <w:kern w:val="0"/>
          <w:sz w:val="24"/>
          <w:szCs w:val="24"/>
        </w:rPr>
        <w:t>——声源总数。</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7.3.3</w:t>
      </w:r>
      <w:r w:rsidRPr="00677D1F">
        <w:rPr>
          <w:rFonts w:ascii="宋体" w:hAnsi="宋体" w:hint="eastAsia"/>
          <w:sz w:val="28"/>
          <w:szCs w:val="28"/>
        </w:rPr>
        <w:t>噪声源强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本项目主要噪声源强见表</w:t>
      </w:r>
      <w:r w:rsidRPr="00677D1F">
        <w:rPr>
          <w:rFonts w:asciiTheme="minorEastAsia" w:hAnsiTheme="minorEastAsia" w:cs="宋体"/>
          <w:color w:val="000000"/>
          <w:kern w:val="0"/>
          <w:sz w:val="24"/>
          <w:szCs w:val="24"/>
        </w:rPr>
        <w:t>3.4-10</w:t>
      </w:r>
      <w:r w:rsidRPr="00677D1F">
        <w:rPr>
          <w:rFonts w:asciiTheme="minorEastAsia" w:hAnsiTheme="minorEastAsia" w:cs="宋体" w:hint="eastAsia"/>
          <w:color w:val="000000"/>
          <w:kern w:val="0"/>
          <w:sz w:val="24"/>
          <w:szCs w:val="24"/>
        </w:rPr>
        <w:t>。</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7.3.4</w:t>
      </w:r>
      <w:r w:rsidRPr="00677D1F">
        <w:rPr>
          <w:rFonts w:ascii="宋体" w:hAnsi="宋体" w:hint="eastAsia"/>
          <w:sz w:val="28"/>
          <w:szCs w:val="28"/>
        </w:rPr>
        <w:t xml:space="preserve"> 预测结果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根据拟建项目的特点和现有的资料数据，对计算模式进行简化并进行估算，为充分估算声源对周围环境的影响，对不满足计算条件的小额正衰减予以忽略，在此基础上进一步计算各预测点的声级。预测结果，见表</w:t>
      </w:r>
      <w:r w:rsidRPr="00677D1F">
        <w:rPr>
          <w:rFonts w:asciiTheme="minorEastAsia" w:hAnsiTheme="minorEastAsia" w:cs="宋体"/>
          <w:color w:val="000000"/>
          <w:kern w:val="0"/>
          <w:sz w:val="24"/>
          <w:szCs w:val="24"/>
        </w:rPr>
        <w:t>7.3-1</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表7.3-1厂界噪声预测结果单位：Leq[dB（A）]</w:t>
      </w:r>
    </w:p>
    <w:tbl>
      <w:tblPr>
        <w:tblStyle w:val="aa"/>
        <w:tblW w:w="9072" w:type="dxa"/>
        <w:jc w:val="center"/>
        <w:tblLayout w:type="fixed"/>
        <w:tblLook w:val="04A0" w:firstRow="1" w:lastRow="0" w:firstColumn="1" w:lastColumn="0" w:noHBand="0" w:noVBand="1"/>
      </w:tblPr>
      <w:tblGrid>
        <w:gridCol w:w="1296"/>
        <w:gridCol w:w="1296"/>
        <w:gridCol w:w="1296"/>
        <w:gridCol w:w="1296"/>
        <w:gridCol w:w="1296"/>
        <w:gridCol w:w="1296"/>
        <w:gridCol w:w="1296"/>
      </w:tblGrid>
      <w:tr w:rsidR="00D228BE" w:rsidRPr="00677D1F">
        <w:trPr>
          <w:trHeight w:val="340"/>
          <w:jc w:val="center"/>
        </w:trPr>
        <w:tc>
          <w:tcPr>
            <w:tcW w:w="1296" w:type="dxa"/>
            <w:vMerge w:val="restart"/>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厂界</w:t>
            </w:r>
          </w:p>
        </w:tc>
        <w:tc>
          <w:tcPr>
            <w:tcW w:w="2592" w:type="dxa"/>
            <w:gridSpan w:val="2"/>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现状值</w:t>
            </w:r>
          </w:p>
        </w:tc>
        <w:tc>
          <w:tcPr>
            <w:tcW w:w="2592" w:type="dxa"/>
            <w:gridSpan w:val="2"/>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预测贡献值</w:t>
            </w:r>
          </w:p>
        </w:tc>
        <w:tc>
          <w:tcPr>
            <w:tcW w:w="2592" w:type="dxa"/>
            <w:gridSpan w:val="2"/>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叠加值</w:t>
            </w:r>
          </w:p>
        </w:tc>
      </w:tr>
      <w:tr w:rsidR="00D228BE" w:rsidRPr="00677D1F">
        <w:trPr>
          <w:trHeight w:val="340"/>
          <w:jc w:val="center"/>
        </w:trPr>
        <w:tc>
          <w:tcPr>
            <w:tcW w:w="1296" w:type="dxa"/>
            <w:vMerge/>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昼间</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夜间</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昼间</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夜间</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昼间</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夜间</w:t>
            </w:r>
          </w:p>
        </w:tc>
      </w:tr>
      <w:tr w:rsidR="00D228BE" w:rsidRPr="00677D1F">
        <w:trPr>
          <w:trHeight w:val="340"/>
          <w:jc w:val="center"/>
        </w:trPr>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东</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41.1</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35.7</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53.2</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53.2</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53.4</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53.3</w:t>
            </w:r>
          </w:p>
        </w:tc>
      </w:tr>
      <w:tr w:rsidR="00D228BE" w:rsidRPr="00677D1F">
        <w:trPr>
          <w:trHeight w:val="340"/>
          <w:jc w:val="center"/>
        </w:trPr>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南</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40.6</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36.5</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52.4</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52.4</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53.2</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52.6</w:t>
            </w:r>
          </w:p>
        </w:tc>
      </w:tr>
      <w:tr w:rsidR="00D228BE" w:rsidRPr="00677D1F">
        <w:trPr>
          <w:trHeight w:val="340"/>
          <w:jc w:val="center"/>
        </w:trPr>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西</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42.3</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34.2</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51.9</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51.9</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52.1</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52.1</w:t>
            </w:r>
          </w:p>
        </w:tc>
      </w:tr>
      <w:tr w:rsidR="00D228BE" w:rsidRPr="00677D1F">
        <w:trPr>
          <w:trHeight w:val="340"/>
          <w:jc w:val="center"/>
        </w:trPr>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北</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41.3</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35.4</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53.4</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53.4</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53.7</w:t>
            </w:r>
          </w:p>
        </w:tc>
        <w:tc>
          <w:tcPr>
            <w:tcW w:w="1296"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53.5</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7.3.5</w:t>
      </w:r>
      <w:r w:rsidRPr="00677D1F">
        <w:rPr>
          <w:rFonts w:ascii="宋体" w:hAnsi="宋体" w:hint="eastAsia"/>
          <w:sz w:val="28"/>
          <w:szCs w:val="28"/>
        </w:rPr>
        <w:t xml:space="preserve"> 声环境影响评价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从表</w:t>
      </w:r>
      <w:r w:rsidRPr="00677D1F">
        <w:rPr>
          <w:rFonts w:asciiTheme="minorEastAsia" w:hAnsiTheme="minorEastAsia" w:cs="宋体"/>
          <w:color w:val="000000"/>
          <w:kern w:val="0"/>
          <w:sz w:val="24"/>
          <w:szCs w:val="24"/>
        </w:rPr>
        <w:t>7.3-1</w:t>
      </w:r>
      <w:r w:rsidRPr="00677D1F">
        <w:rPr>
          <w:rFonts w:asciiTheme="minorEastAsia" w:hAnsiTheme="minorEastAsia" w:cs="宋体" w:hint="eastAsia"/>
          <w:color w:val="000000"/>
          <w:kern w:val="0"/>
          <w:sz w:val="24"/>
          <w:szCs w:val="24"/>
        </w:rPr>
        <w:t>可知，本项目厂界噪声排放值最大为</w:t>
      </w:r>
      <w:r w:rsidRPr="00677D1F">
        <w:rPr>
          <w:rFonts w:asciiTheme="minorEastAsia" w:hAnsiTheme="minorEastAsia" w:cs="宋体"/>
          <w:color w:val="000000"/>
          <w:kern w:val="0"/>
          <w:sz w:val="24"/>
          <w:szCs w:val="24"/>
        </w:rPr>
        <w:t>53.4dB（A）</w:t>
      </w:r>
      <w:r w:rsidRPr="00677D1F">
        <w:rPr>
          <w:rFonts w:asciiTheme="minorEastAsia" w:hAnsiTheme="minorEastAsia" w:cs="宋体" w:hint="eastAsia"/>
          <w:color w:val="000000"/>
          <w:kern w:val="0"/>
          <w:sz w:val="24"/>
          <w:szCs w:val="24"/>
        </w:rPr>
        <w:t>，厂界周围各预测点昼、夜间场界排放噪声均达到</w:t>
      </w:r>
      <w:r w:rsidRPr="00677D1F">
        <w:rPr>
          <w:rFonts w:asciiTheme="minorEastAsia" w:hAnsiTheme="minorEastAsia" w:cs="宋体"/>
          <w:color w:val="000000"/>
          <w:kern w:val="0"/>
          <w:sz w:val="24"/>
          <w:szCs w:val="24"/>
        </w:rPr>
        <w:t>GB12348-2008</w:t>
      </w:r>
      <w:r w:rsidRPr="00677D1F">
        <w:rPr>
          <w:rFonts w:asciiTheme="minorEastAsia" w:hAnsiTheme="minorEastAsia" w:cs="宋体" w:hint="eastAsia"/>
          <w:color w:val="000000"/>
          <w:kern w:val="0"/>
          <w:sz w:val="24"/>
          <w:szCs w:val="24"/>
        </w:rPr>
        <w:t>《工业企业厂界环境噪声排放标准》</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类声环境功能区厂界环境噪声排放限值：昼间</w:t>
      </w:r>
      <w:r w:rsidRPr="00677D1F">
        <w:rPr>
          <w:rFonts w:asciiTheme="minorEastAsia" w:hAnsiTheme="minorEastAsia" w:cs="宋体"/>
          <w:color w:val="000000"/>
          <w:kern w:val="0"/>
          <w:sz w:val="24"/>
          <w:szCs w:val="24"/>
        </w:rPr>
        <w:t>≤65dB（A）</w:t>
      </w:r>
      <w:r w:rsidRPr="00677D1F">
        <w:rPr>
          <w:rFonts w:asciiTheme="minorEastAsia" w:hAnsiTheme="minorEastAsia" w:cs="宋体" w:hint="eastAsia"/>
          <w:color w:val="000000"/>
          <w:kern w:val="0"/>
          <w:sz w:val="24"/>
          <w:szCs w:val="24"/>
        </w:rPr>
        <w:t>，夜间</w:t>
      </w:r>
      <w:r w:rsidRPr="00677D1F">
        <w:rPr>
          <w:rFonts w:asciiTheme="minorEastAsia" w:hAnsiTheme="minorEastAsia" w:cs="宋体"/>
          <w:color w:val="000000"/>
          <w:kern w:val="0"/>
          <w:sz w:val="24"/>
          <w:szCs w:val="24"/>
        </w:rPr>
        <w:t>≤55dB（A）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根据声环境现状监测结果评价，本项目噪声贡献值叠加现厂界现状最大值后，其厂界区域昼间噪声为</w:t>
      </w:r>
      <w:r w:rsidRPr="00677D1F">
        <w:rPr>
          <w:rFonts w:asciiTheme="minorEastAsia" w:hAnsiTheme="minorEastAsia" w:cs="宋体"/>
          <w:color w:val="000000"/>
          <w:kern w:val="0"/>
          <w:sz w:val="24"/>
          <w:szCs w:val="24"/>
        </w:rPr>
        <w:t>53.7dB（A）</w:t>
      </w:r>
      <w:r w:rsidRPr="00677D1F">
        <w:rPr>
          <w:rFonts w:asciiTheme="minorEastAsia" w:hAnsiTheme="minorEastAsia" w:cs="宋体" w:hint="eastAsia"/>
          <w:color w:val="000000"/>
          <w:kern w:val="0"/>
          <w:sz w:val="24"/>
          <w:szCs w:val="24"/>
        </w:rPr>
        <w:t>、夜间噪声为</w:t>
      </w:r>
      <w:r w:rsidRPr="00677D1F">
        <w:rPr>
          <w:rFonts w:asciiTheme="minorEastAsia" w:hAnsiTheme="minorEastAsia" w:cs="宋体"/>
          <w:color w:val="000000"/>
          <w:kern w:val="0"/>
          <w:sz w:val="24"/>
          <w:szCs w:val="24"/>
        </w:rPr>
        <w:t>53.5dB（A）</w:t>
      </w:r>
      <w:r w:rsidRPr="00677D1F">
        <w:rPr>
          <w:rFonts w:asciiTheme="minorEastAsia" w:hAnsiTheme="minorEastAsia" w:cs="宋体" w:hint="eastAsia"/>
          <w:color w:val="000000"/>
          <w:kern w:val="0"/>
          <w:sz w:val="24"/>
          <w:szCs w:val="24"/>
        </w:rPr>
        <w:t>，由于厂界周围没有居住人群分布，项目投产后不会产生噪声扰民现象。</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7.4</w:t>
      </w:r>
      <w:r w:rsidRPr="00677D1F">
        <w:rPr>
          <w:rFonts w:ascii="宋体" w:hAnsi="宋体" w:hint="eastAsia"/>
          <w:bCs w:val="0"/>
          <w:kern w:val="2"/>
          <w:sz w:val="30"/>
          <w:szCs w:val="30"/>
        </w:rPr>
        <w:t xml:space="preserve"> 固体废物环境影响分析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7.4.1</w:t>
      </w:r>
      <w:r w:rsidRPr="00677D1F">
        <w:rPr>
          <w:rFonts w:ascii="宋体" w:hAnsi="宋体" w:hint="eastAsia"/>
          <w:sz w:val="28"/>
          <w:szCs w:val="28"/>
        </w:rPr>
        <w:t xml:space="preserve"> 固体废物处置可行性分析</w:t>
      </w:r>
    </w:p>
    <w:p w:rsidR="00D228BE" w:rsidRPr="00677D1F" w:rsidRDefault="00332EB6" w:rsidP="00677D1F">
      <w:pPr>
        <w:widowControl/>
        <w:spacing w:line="360" w:lineRule="auto"/>
        <w:contextualSpacing/>
        <w:outlineLvl w:val="3"/>
        <w:rPr>
          <w:rFonts w:asciiTheme="minorEastAsia" w:hAnsiTheme="minorEastAsia" w:cs="宋体"/>
          <w:kern w:val="0"/>
          <w:sz w:val="24"/>
          <w:szCs w:val="24"/>
        </w:rPr>
      </w:pPr>
      <w:r w:rsidRPr="00677D1F">
        <w:rPr>
          <w:rFonts w:asciiTheme="minorEastAsia" w:hAnsiTheme="minorEastAsia" w:cs="Times New Roman"/>
          <w:b/>
          <w:bCs/>
          <w:color w:val="000000"/>
          <w:kern w:val="0"/>
          <w:sz w:val="24"/>
          <w:szCs w:val="24"/>
        </w:rPr>
        <w:t>7.4.1.1</w:t>
      </w:r>
      <w:r w:rsidRPr="00677D1F">
        <w:rPr>
          <w:rFonts w:asciiTheme="minorEastAsia" w:hAnsiTheme="minorEastAsia" w:cs="Times New Roman" w:hint="eastAsia"/>
          <w:b/>
          <w:bCs/>
          <w:color w:val="000000"/>
          <w:kern w:val="0"/>
          <w:sz w:val="24"/>
          <w:szCs w:val="24"/>
        </w:rPr>
        <w:t xml:space="preserve"> </w:t>
      </w:r>
      <w:r w:rsidRPr="00677D1F">
        <w:rPr>
          <w:rFonts w:asciiTheme="minorEastAsia" w:hAnsiTheme="minorEastAsia" w:cs="宋体" w:hint="eastAsia"/>
          <w:b/>
          <w:bCs/>
          <w:color w:val="000000"/>
          <w:kern w:val="0"/>
          <w:sz w:val="24"/>
          <w:szCs w:val="24"/>
        </w:rPr>
        <w:t>固体废物种类、产生量及性质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固体废物鉴别导则（试行）》对固体废物的相关规定，本项目产生的固体废物主要为氯化炉渣、收尘渣、镁电解及精炼炉渣、钛渣电炉、电解槽和氯化炉的大修渣（耐火材料）、废水处理污泥、氯气生产一次盐水工序中，预处理器和膜过滤器等排出的盐泥浆等及职工的生活垃圾、废螯合树脂和离子膜。氯化炉渣、收尘渣回收炭后送往哈密市工业固体废弃物贮存、处置场堆放处理。电解及精炼炉渣全部送至哈密市工业固体废弃物贮存、处置场堆放处理，钛渣电炉、电解槽和氯化炉的大修渣（耐火材料）产生量为</w:t>
      </w:r>
      <w:r w:rsidRPr="00677D1F">
        <w:rPr>
          <w:rFonts w:asciiTheme="minorEastAsia" w:hAnsiTheme="minorEastAsia" w:cs="宋体"/>
          <w:color w:val="000000"/>
          <w:kern w:val="0"/>
          <w:sz w:val="24"/>
          <w:szCs w:val="24"/>
        </w:rPr>
        <w:t>2740t/a</w:t>
      </w:r>
      <w:r w:rsidRPr="00677D1F">
        <w:rPr>
          <w:rFonts w:asciiTheme="minorEastAsia" w:hAnsiTheme="minorEastAsia" w:cs="宋体" w:hint="eastAsia"/>
          <w:color w:val="000000"/>
          <w:kern w:val="0"/>
          <w:sz w:val="24"/>
          <w:szCs w:val="24"/>
        </w:rPr>
        <w:t>，送往哈密市工业固体废弃物贮存、处置场堆放处理，废水处理污泥（废水处理系统的中和压滤渣）及收尘渣</w:t>
      </w:r>
      <w:r w:rsidRPr="00677D1F">
        <w:rPr>
          <w:rFonts w:asciiTheme="minorEastAsia" w:hAnsiTheme="minorEastAsia" w:cs="宋体"/>
          <w:color w:val="000000"/>
          <w:kern w:val="0"/>
          <w:sz w:val="24"/>
          <w:szCs w:val="24"/>
        </w:rPr>
        <w:t>6800t/a</w:t>
      </w:r>
      <w:r w:rsidRPr="00677D1F">
        <w:rPr>
          <w:rFonts w:asciiTheme="minorEastAsia" w:hAnsiTheme="minorEastAsia" w:cs="宋体" w:hint="eastAsia"/>
          <w:color w:val="000000"/>
          <w:kern w:val="0"/>
          <w:sz w:val="24"/>
          <w:szCs w:val="24"/>
        </w:rPr>
        <w:t>，送往哈密市工业固体废弃物贮存、处置场堆放处理。一次盐水工序中，预处理器和膜过滤器等排出的盐泥浆含固率约</w:t>
      </w:r>
      <w:r w:rsidRPr="00677D1F">
        <w:rPr>
          <w:rFonts w:asciiTheme="minorEastAsia" w:hAnsiTheme="minorEastAsia" w:cs="宋体"/>
          <w:color w:val="000000"/>
          <w:kern w:val="0"/>
          <w:sz w:val="24"/>
          <w:szCs w:val="24"/>
        </w:rPr>
        <w:t>28%</w:t>
      </w:r>
      <w:r w:rsidRPr="00677D1F">
        <w:rPr>
          <w:rFonts w:asciiTheme="minorEastAsia" w:hAnsiTheme="minorEastAsia" w:cs="宋体" w:hint="eastAsia"/>
          <w:color w:val="000000"/>
          <w:kern w:val="0"/>
          <w:sz w:val="24"/>
          <w:szCs w:val="24"/>
        </w:rPr>
        <w:t>采用板框压滤机进行过滤脱水。该废渣可外运送作为铺路、制砖等综合用料。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根据中华人民共和国环境保护部和中华人民共和国国家发展和改革委员会〔</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〕第</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号令颁布的《国家危险废物名录》，本项目固体废物中的废离子膜、废离子交换树脂属于危险废物。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具体的固体废物排放情况、分类及处理方法见表</w:t>
      </w:r>
      <w:r w:rsidRPr="00677D1F">
        <w:rPr>
          <w:rFonts w:asciiTheme="minorEastAsia" w:hAnsiTheme="minorEastAsia" w:cs="宋体"/>
          <w:color w:val="000000"/>
          <w:kern w:val="0"/>
          <w:sz w:val="24"/>
          <w:szCs w:val="24"/>
        </w:rPr>
        <w:t>7.4-1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表7.4-1固体废物产生情况一览表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7.4.1.2</w:t>
      </w:r>
      <w:r w:rsidRPr="00677D1F">
        <w:rPr>
          <w:rFonts w:asciiTheme="minorEastAsia" w:hAnsiTheme="minorEastAsia" w:cs="Times New Roman" w:hint="eastAsia"/>
          <w:b/>
          <w:bCs/>
          <w:color w:val="000000"/>
          <w:kern w:val="0"/>
          <w:sz w:val="24"/>
          <w:szCs w:val="24"/>
        </w:rPr>
        <w:t>固废污染因素及处置方式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炉渣回收炭后和收尘渣、电解及精炼炉渣、钛渣电炉、电解槽和氯化炉的大修渣（耐火材料）及废水处理污泥送往哈密市工业固体废弃物贮存、处置场堆放处理。生活垃圾收集到当地垃圾填埋场处置。一次盐水工序中，预处理器和膜过滤</w:t>
      </w:r>
      <w:r w:rsidRPr="00677D1F">
        <w:rPr>
          <w:rFonts w:asciiTheme="minorEastAsia" w:hAnsiTheme="minorEastAsia" w:cs="宋体" w:hint="eastAsia"/>
          <w:color w:val="000000"/>
          <w:kern w:val="0"/>
          <w:sz w:val="24"/>
          <w:szCs w:val="24"/>
        </w:rPr>
        <w:lastRenderedPageBreak/>
        <w:t>器等排出的盐泥浆含固率约</w:t>
      </w:r>
      <w:r w:rsidRPr="00677D1F">
        <w:rPr>
          <w:rFonts w:asciiTheme="minorEastAsia" w:hAnsiTheme="minorEastAsia" w:cs="宋体"/>
          <w:color w:val="000000"/>
          <w:kern w:val="0"/>
          <w:sz w:val="24"/>
          <w:szCs w:val="24"/>
        </w:rPr>
        <w:t>28%</w:t>
      </w:r>
      <w:r w:rsidRPr="00677D1F">
        <w:rPr>
          <w:rFonts w:asciiTheme="minorEastAsia" w:hAnsiTheme="minorEastAsia" w:cs="宋体" w:hint="eastAsia"/>
          <w:color w:val="000000"/>
          <w:kern w:val="0"/>
          <w:sz w:val="24"/>
          <w:szCs w:val="24"/>
        </w:rPr>
        <w:t>采用板框压滤机进行过滤脱水可外运送作为铺路、制砖等综合用料。废离子膜、废离子交换树脂委托资质单位处理。</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通过以上的处理、处置措施，拟建项目的固体废物得到了安全有效处理和处置，是可行的。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7.4.2</w:t>
      </w:r>
      <w:r w:rsidRPr="00677D1F">
        <w:rPr>
          <w:rFonts w:ascii="宋体" w:hAnsi="宋体" w:hint="eastAsia"/>
          <w:sz w:val="28"/>
          <w:szCs w:val="28"/>
        </w:rPr>
        <w:t>固体废物环境影响分析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产生的可利用固体废物，如盐泥浆作为铺路、制砖等综合用料。因此，拟建项目新增的可利用固体废物都进行了再利用，符合国家发展循环经济政策，有利于资源的再利用，并且不会对环境产生二次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本项目产生的氯化炉渣、收尘渣、电解及精炼炉渣、钛渣电炉、电解槽和氯化炉的大修渣（耐火材料）及废水处理污泥送往哈密市工业固体废弃物贮存处置场堆放处理，避免了环境污染。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生活垃圾收集到当地垃圾填埋场处置，做到了安全处理处置。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经过以上措施，本项目运营期间产生的固体废物可以做到有效再利用及安全处置，在加强管理的情况下，固体废物对环境产生影响较少。</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7.5</w:t>
      </w:r>
      <w:r w:rsidRPr="00677D1F">
        <w:rPr>
          <w:rFonts w:ascii="宋体" w:hAnsi="宋体" w:hint="eastAsia"/>
          <w:bCs w:val="0"/>
          <w:kern w:val="2"/>
          <w:sz w:val="30"/>
          <w:szCs w:val="30"/>
        </w:rPr>
        <w:t>生态环境影响分析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本工程的建设用地属于为砾石戈壁荒漠，植被覆盖度很低，项目建设后将对厂区及周边进行绿化及植被的恢复，因此本项目的生态环境影响较小。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本次环评将主要针对项目对土地利用格局、植被变化、景观格局变化、和水土流失的影响</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个方面，进行生态环境影响分析。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7.5.1</w:t>
      </w:r>
      <w:r w:rsidRPr="00677D1F">
        <w:rPr>
          <w:rFonts w:ascii="宋体" w:hAnsi="宋体" w:hint="eastAsia"/>
          <w:sz w:val="28"/>
          <w:szCs w:val="28"/>
        </w:rPr>
        <w:t>土地利用状况变化的影响分析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目前，项目所在地现状为未利用地，土地处于未开发状态，在区域用地类型划分上应为荒漠草场，植被类型为荒漠植被，总体呈现为戈壁荒地。项目建成后作为工业用地，并保持</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的面积作为人工绿化用地。彻底改变土地利用现状，也彻底改变项目所在地的生态环境状况，将一片未利用的戈壁荒地改造成为以工业用地。</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7.5.2</w:t>
      </w:r>
      <w:r w:rsidRPr="00677D1F">
        <w:rPr>
          <w:rFonts w:ascii="宋体" w:hAnsi="宋体" w:hint="eastAsia"/>
          <w:sz w:val="28"/>
          <w:szCs w:val="28"/>
        </w:rPr>
        <w:t>植被变化的影响分析</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随着项目的建设，项目占地面积内的所有荒漠植被将被逐渐去除，使地面原有覆盖率不足</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的荒漠植被遭到破坏。除被永久占用土地上的植被永久破坏外，将通过人工绿化措施的实施使植被得到恢复，成为经过改造的优于自然植被的人工植被。但是人工绿地是不易持续且不易自然成活的，一旦缺水时灌溉不上水，就会全部死亡。</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7.5.3</w:t>
      </w:r>
      <w:r w:rsidRPr="00677D1F">
        <w:rPr>
          <w:rFonts w:ascii="宋体" w:hAnsi="宋体" w:hint="eastAsia"/>
          <w:sz w:val="28"/>
          <w:szCs w:val="28"/>
        </w:rPr>
        <w:t>景观变化的影响分析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所在地开发建设前为砾石戈壁荒漠景观，地势开阔平坦。项目建成后荒漠生态景观丧失，形成新的生态绿地景观以及工业用地景观、道路用地景观等，彻底改变原有的荒漠景观，使荒漠生态景观改变为具有城市化的现代化工业景观，但这需要水源保障才可达到。</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7.5.4</w:t>
      </w:r>
      <w:r w:rsidRPr="00677D1F">
        <w:rPr>
          <w:rFonts w:ascii="宋体" w:hAnsi="宋体" w:hint="eastAsia"/>
          <w:sz w:val="28"/>
          <w:szCs w:val="28"/>
        </w:rPr>
        <w:t>对野生动物的影响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项目建设生产中将对不同类型的野生动物产生程度不同的影响，总体上来说将产生有害影响，但从全地区来说影响不大。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）对两栖爬行类的影响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蜥蜴类、蛇和蟾蜍体型小，活动范围小，且多为穴居，在建设期，被碾压的地面上的物种，将随同洞穴一起受到灭顶之灾。未被碾压的个体，在生产期其活动和繁殖在一定程度上也会受到有害影响，但从整个大的地区区域来说，影响不到致使这些物种绝灭，还保持有一定数量，但种群数量已大为减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）对鸟类的影响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鸟类大多是飞翔的种类，在建设期对其影响只是缩小了活动范围，噪声对其有惊吓驱赶作用。到生产期会逐步适应，但工业占地缩小了它们的适生活动区。对地栖性鸟类，如沙即鸟、云雀等，在建设开发期会对巢穴造成破坏，也可能使洞中的鸟，特别是幼鸟造成死亡。生产期永久占地也缩小了这些鸟类的生存空间。导致其种群数量减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）对兽类的影响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项目建设对兽类的影响较大，起到惊吓驱赶作用，迫使原在该地活动的兽类迁往别处。鹅喉羚是该地区分布较多的物种，开发初期对其有驱赶作用。其它兽类活动状况与其类同。只是小型的啮齿动物，因属穴居，在开发初期可能因平地、汽车碾压等原因，使造成死亡，分布区缩小，但由于鼠类适应性强，在生产期，特别是小家鼠、褐家鼠等适应人居环境活动的鼠类，种群数量会在一定程度上增加。</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）对昆虫及其它小型动物的影响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荒漠草原上还分布着种类和数量庞大的数十种节肢动物及昆虫等，如蜘蛛、蝎子、蝗虫、金龟子等，它们都是荒漠草原生态系统的组成部分。在建设开发期，在受到挖掘、填埋及碾压的地面上，这些动物都已受到了灭顶之灾，可能致使全部死亡。但由于其它广大地区它们还有着庞大数量，在生产期可使它们迁栖恢复一定的种群数量。但因栖息地面积减少及污染等因素，不可能恢复到原有的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总的来说，项目的建设及生产运行活动，对当地的野生动物将造成有害影响，但影响不很大。</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7.5.5</w:t>
      </w:r>
      <w:r w:rsidRPr="00677D1F">
        <w:rPr>
          <w:rFonts w:ascii="宋体" w:hAnsi="宋体" w:hint="eastAsia"/>
          <w:sz w:val="28"/>
          <w:szCs w:val="28"/>
        </w:rPr>
        <w:t>水土流失的影响分析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2000</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月自治区人民政府发布了《关于全疆水土流失重点预防保护区、重点监督区、重点治理区划分的公告》，将哈密市划为水土流失重点监督区，要求重点做好开发建设活动的监督管理工作，防止因生产建设活动造成新的水土流失。</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项目的水土流失将主要发生在建设过程中，并以风蚀为主，水蚀只在偶而发生的暴雨时产生。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在开发中一但因建设挖掘致使疏松地表和土壤裸露，就容易在大风中产生风蚀，吹扬起沙尘，因此应注意大风天不要进行开挖作业。</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7.6</w:t>
      </w:r>
      <w:r w:rsidRPr="00677D1F">
        <w:rPr>
          <w:rFonts w:ascii="宋体" w:hAnsi="宋体" w:hint="eastAsia"/>
          <w:bCs w:val="0"/>
          <w:kern w:val="2"/>
          <w:sz w:val="30"/>
          <w:szCs w:val="30"/>
        </w:rPr>
        <w:t>社会环境影响分析评价</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7.6.1</w:t>
      </w:r>
      <w:r w:rsidRPr="00677D1F">
        <w:rPr>
          <w:rFonts w:ascii="宋体" w:hAnsi="宋体" w:hint="eastAsia"/>
          <w:sz w:val="28"/>
          <w:szCs w:val="28"/>
        </w:rPr>
        <w:t>工程占地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拟建项目占地面积为</w:t>
      </w:r>
      <w:r w:rsidRPr="00677D1F">
        <w:rPr>
          <w:rFonts w:asciiTheme="minorEastAsia" w:hAnsiTheme="minorEastAsia" w:cs="宋体"/>
          <w:color w:val="000000"/>
          <w:kern w:val="0"/>
          <w:sz w:val="24"/>
          <w:szCs w:val="24"/>
        </w:rPr>
        <w:t>1152282m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，根据《哈密工业园区产业规划》，项目拟建厂址占地为工业园区规划的三类工业用地，与规划在该区域的工业类型相符，对土地资源影响较小。</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7.6.2</w:t>
      </w:r>
      <w:r w:rsidRPr="00677D1F">
        <w:rPr>
          <w:rFonts w:ascii="宋体" w:hAnsi="宋体" w:hint="eastAsia"/>
          <w:sz w:val="28"/>
          <w:szCs w:val="28"/>
        </w:rPr>
        <w:t>移民搬迁安置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本项目位于哈密市工业园区的重工业加工区内，不涉及移民迁安与补偿问题，不存在移民搬迁安置社会问题。</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7.6.3</w:t>
      </w:r>
      <w:r w:rsidRPr="00677D1F">
        <w:rPr>
          <w:rFonts w:ascii="宋体" w:hAnsi="宋体" w:hint="eastAsia"/>
          <w:sz w:val="28"/>
          <w:szCs w:val="28"/>
        </w:rPr>
        <w:t>人群健康影响</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7.6.3.1</w:t>
      </w:r>
      <w:r w:rsidRPr="00677D1F">
        <w:rPr>
          <w:rFonts w:asciiTheme="minorEastAsia" w:hAnsiTheme="minorEastAsia" w:cs="Times New Roman" w:hint="eastAsia"/>
          <w:b/>
          <w:bCs/>
          <w:color w:val="000000"/>
          <w:kern w:val="0"/>
          <w:sz w:val="24"/>
          <w:szCs w:val="24"/>
        </w:rPr>
        <w:t>正常排放影响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本项目对人群健康产生影响的主要是通过向大气中排放</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、颗粒物等污染物通过呼吸途径进入人体。正常工况下项目通过各种污染防治措施，严格控制</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、颗粒物物等大气污染物的排放，通过大气预测，各污染物最大落地浓度均低于标准浓度限值，占标率较小。综上所述，项目正常工况下对评价区人群健康不利影响较小。</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7.6.3.2</w:t>
      </w:r>
      <w:r w:rsidRPr="00677D1F">
        <w:rPr>
          <w:rFonts w:asciiTheme="minorEastAsia" w:hAnsiTheme="minorEastAsia" w:cs="Times New Roman" w:hint="eastAsia"/>
          <w:b/>
          <w:bCs/>
          <w:color w:val="000000"/>
          <w:kern w:val="0"/>
          <w:sz w:val="24"/>
          <w:szCs w:val="24"/>
        </w:rPr>
        <w:t>非正常排放影响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氯化和精制尾气、镁生产系统和氯气生产系统的废气治理措施发生发生故障下，其</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对环境造成短期高浓度，但在敏感目标不会产生超标现象，虽然不超标，但占标较高，因此评价要求杜绝尾气净化系统出现故障，防止对人群健康的影响。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7.6.4</w:t>
      </w:r>
      <w:r w:rsidRPr="00677D1F">
        <w:rPr>
          <w:rFonts w:ascii="宋体" w:hAnsi="宋体" w:hint="eastAsia"/>
          <w:sz w:val="28"/>
          <w:szCs w:val="28"/>
        </w:rPr>
        <w:t>社会经济发展水平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从钛精矿生产开始，到富钛料到海绵钛，再到钛加工型材，形成了合理的产品链，做大、做强了我国的钛加工产品，可促进企业周边地区的快速发展，同时为周边地区提供了一定的就业机会；本工程运输量较大，在一定程度上，可带动当地运输业的发展，充分利用社会闲散车辆，增加部分人的经济收入，同时在一定程度上也增加了就业机会，促进社会的安定团结；拟建工程的实施可以使国家和地方政府税收增加，为增强我国的综合国力和提高人民的生活质量贡献一份力量。项目的建设为企业的长远发展奠定了一定的基础，开拓了道路，将地区的电力资源优势转化为经济优势，对促进地方经济发展、支撑新疆维吾尔族自治区经济增长具有重要的意义。</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7.6.5</w:t>
      </w:r>
      <w:r w:rsidRPr="00677D1F">
        <w:rPr>
          <w:rFonts w:ascii="宋体" w:hAnsi="宋体" w:hint="eastAsia"/>
          <w:sz w:val="28"/>
          <w:szCs w:val="28"/>
        </w:rPr>
        <w:t>交通运输影响分析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本项目厂外运输的主要货物有钛精矿、还原剂、电极、钢管及钢材、耐火材料、生铁、石油焦、金属镁锭、海绵钛、钛锭、钛材、生产废渣等。厂外货物运输量为</w:t>
      </w:r>
      <w:r w:rsidRPr="00677D1F">
        <w:rPr>
          <w:rFonts w:asciiTheme="minorEastAsia" w:hAnsiTheme="minorEastAsia" w:cs="宋体"/>
          <w:color w:val="000000"/>
          <w:kern w:val="0"/>
          <w:sz w:val="24"/>
          <w:szCs w:val="24"/>
        </w:rPr>
        <w:t>166515t/a</w:t>
      </w:r>
      <w:r w:rsidRPr="00677D1F">
        <w:rPr>
          <w:rFonts w:asciiTheme="minorEastAsia" w:hAnsiTheme="minorEastAsia" w:cs="宋体" w:hint="eastAsia"/>
          <w:color w:val="000000"/>
          <w:kern w:val="0"/>
          <w:sz w:val="24"/>
          <w:szCs w:val="24"/>
        </w:rPr>
        <w:t>，其中：运入</w:t>
      </w:r>
      <w:r w:rsidRPr="00677D1F">
        <w:rPr>
          <w:rFonts w:asciiTheme="minorEastAsia" w:hAnsiTheme="minorEastAsia" w:cs="宋体"/>
          <w:color w:val="000000"/>
          <w:kern w:val="0"/>
          <w:sz w:val="24"/>
          <w:szCs w:val="24"/>
        </w:rPr>
        <w:t>128660t/a</w:t>
      </w:r>
      <w:r w:rsidRPr="00677D1F">
        <w:rPr>
          <w:rFonts w:asciiTheme="minorEastAsia" w:hAnsiTheme="minorEastAsia" w:cs="宋体" w:hint="eastAsia"/>
          <w:color w:val="000000"/>
          <w:kern w:val="0"/>
          <w:sz w:val="24"/>
          <w:szCs w:val="24"/>
        </w:rPr>
        <w:t>，运出</w:t>
      </w:r>
      <w:r w:rsidRPr="00677D1F">
        <w:rPr>
          <w:rFonts w:asciiTheme="minorEastAsia" w:hAnsiTheme="minorEastAsia" w:cs="宋体"/>
          <w:color w:val="000000"/>
          <w:kern w:val="0"/>
          <w:sz w:val="24"/>
          <w:szCs w:val="24"/>
        </w:rPr>
        <w:t>37855t/a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厂外货物运输采用火车运至花园乡转运站，然后汽车倒运到厂内仓库。公路运输主要依托</w:t>
      </w:r>
      <w:r w:rsidRPr="00677D1F">
        <w:rPr>
          <w:rFonts w:asciiTheme="minorEastAsia" w:hAnsiTheme="minorEastAsia" w:cs="宋体"/>
          <w:color w:val="000000"/>
          <w:kern w:val="0"/>
          <w:sz w:val="24"/>
          <w:szCs w:val="24"/>
        </w:rPr>
        <w:t>G235</w:t>
      </w:r>
      <w:r w:rsidRPr="00677D1F">
        <w:rPr>
          <w:rFonts w:asciiTheme="minorEastAsia" w:hAnsiTheme="minorEastAsia" w:cs="宋体" w:hint="eastAsia"/>
          <w:color w:val="000000"/>
          <w:kern w:val="0"/>
          <w:sz w:val="24"/>
          <w:szCs w:val="24"/>
        </w:rPr>
        <w:t>公路以及园区道路。按</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吨位的汽车计算，增加运输车辆约</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辆</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，对</w:t>
      </w:r>
      <w:r w:rsidRPr="00677D1F">
        <w:rPr>
          <w:rFonts w:asciiTheme="minorEastAsia" w:hAnsiTheme="minorEastAsia" w:cs="宋体"/>
          <w:color w:val="000000"/>
          <w:kern w:val="0"/>
          <w:sz w:val="24"/>
          <w:szCs w:val="24"/>
        </w:rPr>
        <w:t>G235</w:t>
      </w:r>
      <w:r w:rsidRPr="00677D1F">
        <w:rPr>
          <w:rFonts w:asciiTheme="minorEastAsia" w:hAnsiTheme="minorEastAsia" w:cs="宋体" w:hint="eastAsia"/>
          <w:color w:val="000000"/>
          <w:kern w:val="0"/>
          <w:sz w:val="24"/>
          <w:szCs w:val="24"/>
        </w:rPr>
        <w:t>公路车流量增加率较小。由于本项目运输量较小，且物料运输对运输沿线两侧局部区域环境空气、声环境影响范围在沿线两侧各</w:t>
      </w:r>
      <w:r w:rsidRPr="00677D1F">
        <w:rPr>
          <w:rFonts w:asciiTheme="minorEastAsia" w:hAnsiTheme="minorEastAsia" w:cs="宋体"/>
          <w:color w:val="000000"/>
          <w:kern w:val="0"/>
          <w:sz w:val="24"/>
          <w:szCs w:val="24"/>
        </w:rPr>
        <w:t>50m</w:t>
      </w:r>
      <w:r w:rsidRPr="00677D1F">
        <w:rPr>
          <w:rFonts w:asciiTheme="minorEastAsia" w:hAnsiTheme="minorEastAsia" w:cs="宋体" w:hint="eastAsia"/>
          <w:color w:val="000000"/>
          <w:kern w:val="0"/>
          <w:sz w:val="24"/>
          <w:szCs w:val="24"/>
        </w:rPr>
        <w:t>范围内，因此评价认为在对公路进行定期洒水增湿，要求运输车辆限速、限载，加强道路两旁的绿化的情况下，物料运输对运输沿线人群影响小。</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outlineLvl w:val="0"/>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8 环境风险评价</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8.1</w:t>
      </w:r>
      <w:r w:rsidRPr="00677D1F">
        <w:rPr>
          <w:rFonts w:ascii="宋体" w:hAnsi="宋体" w:hint="eastAsia"/>
          <w:bCs w:val="0"/>
          <w:kern w:val="2"/>
          <w:sz w:val="30"/>
          <w:szCs w:val="30"/>
        </w:rPr>
        <w:t xml:space="preserve"> 环境风险评价目的与重点</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8.1.1</w:t>
      </w:r>
      <w:r w:rsidRPr="00677D1F">
        <w:rPr>
          <w:rFonts w:ascii="宋体" w:hAnsi="宋体" w:hint="eastAsia"/>
          <w:sz w:val="28"/>
          <w:szCs w:val="28"/>
        </w:rPr>
        <w:t xml:space="preserve"> 评价目的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风险评价的目的是分析和预测技改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项目事故率、损失和环境影响达到可接受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本项目生产中的许多产品、副产品和原料都属于易燃、易爆或有毒的危险品，一旦发生火灾爆炸以及泄漏事故，会对环境和人体健康造成危害。根据中华人民共和国行业标准《建设项目环境风险评价技术导则》（</w:t>
      </w:r>
      <w:r w:rsidRPr="00677D1F">
        <w:rPr>
          <w:rFonts w:asciiTheme="minorEastAsia" w:hAnsiTheme="minorEastAsia" w:cs="宋体"/>
          <w:color w:val="000000"/>
          <w:kern w:val="0"/>
          <w:sz w:val="24"/>
          <w:szCs w:val="24"/>
        </w:rPr>
        <w:t>HJ/T169-2004</w:t>
      </w:r>
      <w:r w:rsidRPr="00677D1F">
        <w:rPr>
          <w:rFonts w:asciiTheme="minorEastAsia" w:hAnsiTheme="minorEastAsia" w:cs="宋体" w:hint="eastAsia"/>
          <w:color w:val="000000"/>
          <w:kern w:val="0"/>
          <w:sz w:val="24"/>
          <w:szCs w:val="24"/>
        </w:rPr>
        <w:t>）的有关要求，采用对项目风险识别、风险分析和对环境后果计算等方法进行环境风险评价，提出减少风险的事故应急措施及应急预案，为项目设计和环境管理提供资料和依据，以达到降低危险，减少公害的目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评价对象及评价程序</w:t>
      </w: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8.1.2</w:t>
      </w:r>
      <w:r w:rsidRPr="00677D1F">
        <w:rPr>
          <w:rFonts w:ascii="宋体" w:hAnsi="宋体" w:hint="eastAsia"/>
          <w:sz w:val="28"/>
          <w:szCs w:val="28"/>
        </w:rPr>
        <w:t xml:space="preserve"> 评价重点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根据项目实际工程情况及当地自然地理环境条件，确定项目风险评价的重点为提出环境风险预案和事故防范减缓措施，以减少可能的环境风险对周围环境产生的影响。</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8.2</w:t>
      </w:r>
      <w:r w:rsidRPr="00677D1F">
        <w:rPr>
          <w:rFonts w:ascii="宋体" w:hAnsi="宋体" w:hint="eastAsia"/>
          <w:bCs w:val="0"/>
          <w:kern w:val="2"/>
          <w:sz w:val="30"/>
          <w:szCs w:val="30"/>
        </w:rPr>
        <w:t xml:space="preserve"> 环境风险评价等级及评价范围</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8.2.1</w:t>
      </w:r>
      <w:r w:rsidRPr="00677D1F">
        <w:rPr>
          <w:rFonts w:ascii="宋体" w:hAnsi="宋体" w:hint="eastAsia"/>
          <w:sz w:val="28"/>
          <w:szCs w:val="28"/>
        </w:rPr>
        <w:t xml:space="preserve"> 环境风险评价等级</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8.2.1.1</w:t>
      </w:r>
      <w:r w:rsidRPr="00677D1F">
        <w:rPr>
          <w:rFonts w:asciiTheme="minorEastAsia" w:hAnsiTheme="minorEastAsia" w:cs="Times New Roman" w:hint="eastAsia"/>
          <w:b/>
          <w:bCs/>
          <w:color w:val="000000"/>
          <w:kern w:val="0"/>
          <w:sz w:val="24"/>
          <w:szCs w:val="24"/>
        </w:rPr>
        <w:t xml:space="preserve"> 物质危险性判定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（1）判定依据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经过对建设项目的工程分析，根据生产、加工、运输、使用或贮存中涉及的主要化学品，按照表8.2-1进行物质危险性判定。</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表8.2-1物质危险性标准</w:t>
      </w:r>
    </w:p>
    <w:tbl>
      <w:tblPr>
        <w:tblStyle w:val="aa"/>
        <w:tblW w:w="9072" w:type="dxa"/>
        <w:jc w:val="center"/>
        <w:tblLayout w:type="fixed"/>
        <w:tblLook w:val="04A0" w:firstRow="1" w:lastRow="0" w:firstColumn="1" w:lastColumn="0" w:noHBand="0" w:noVBand="1"/>
      </w:tblPr>
      <w:tblGrid>
        <w:gridCol w:w="1376"/>
        <w:gridCol w:w="850"/>
        <w:gridCol w:w="2126"/>
        <w:gridCol w:w="2260"/>
        <w:gridCol w:w="2460"/>
      </w:tblGrid>
      <w:tr w:rsidR="00D228BE" w:rsidRPr="00677D1F">
        <w:trPr>
          <w:trHeight w:val="340"/>
          <w:jc w:val="center"/>
        </w:trPr>
        <w:tc>
          <w:tcPr>
            <w:tcW w:w="1376"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物质类别</w:t>
            </w:r>
          </w:p>
        </w:tc>
        <w:tc>
          <w:tcPr>
            <w:tcW w:w="85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等级</w:t>
            </w:r>
          </w:p>
        </w:tc>
        <w:tc>
          <w:tcPr>
            <w:tcW w:w="2126"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LD</w:t>
            </w:r>
            <w:r w:rsidRPr="00677D1F">
              <w:rPr>
                <w:rFonts w:ascii="宋体" w:eastAsia="宋体" w:hAnsi="宋体" w:cs="宋体" w:hint="eastAsia"/>
                <w:b/>
                <w:color w:val="000000"/>
                <w:kern w:val="0"/>
                <w:sz w:val="18"/>
                <w:szCs w:val="18"/>
                <w:vertAlign w:val="subscript"/>
              </w:rPr>
              <w:t>50</w:t>
            </w:r>
            <w:r w:rsidRPr="00677D1F">
              <w:rPr>
                <w:rFonts w:ascii="宋体" w:eastAsia="宋体" w:hAnsi="宋体" w:cs="宋体" w:hint="eastAsia"/>
                <w:b/>
                <w:color w:val="000000"/>
                <w:kern w:val="0"/>
                <w:sz w:val="18"/>
                <w:szCs w:val="18"/>
              </w:rPr>
              <w:t>（大鼠经口）</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（mg/kg）</w:t>
            </w:r>
          </w:p>
        </w:tc>
        <w:tc>
          <w:tcPr>
            <w:tcW w:w="226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LD</w:t>
            </w:r>
            <w:r w:rsidRPr="00677D1F">
              <w:rPr>
                <w:rFonts w:ascii="宋体" w:eastAsia="宋体" w:hAnsi="宋体" w:cs="宋体" w:hint="eastAsia"/>
                <w:b/>
                <w:color w:val="000000"/>
                <w:kern w:val="0"/>
                <w:sz w:val="18"/>
                <w:szCs w:val="18"/>
                <w:vertAlign w:val="subscript"/>
              </w:rPr>
              <w:t>50</w:t>
            </w:r>
            <w:r w:rsidRPr="00677D1F">
              <w:rPr>
                <w:rFonts w:ascii="宋体" w:eastAsia="宋体" w:hAnsi="宋体" w:cs="宋体" w:hint="eastAsia"/>
                <w:b/>
                <w:color w:val="000000"/>
                <w:kern w:val="0"/>
                <w:sz w:val="18"/>
                <w:szCs w:val="18"/>
              </w:rPr>
              <w:t>（大鼠经皮）</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（mg/kg）</w:t>
            </w:r>
          </w:p>
        </w:tc>
        <w:tc>
          <w:tcPr>
            <w:tcW w:w="2460"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LC</w:t>
            </w:r>
            <w:r w:rsidRPr="00677D1F">
              <w:rPr>
                <w:rFonts w:ascii="宋体" w:eastAsia="宋体" w:hAnsi="宋体" w:cs="宋体" w:hint="eastAsia"/>
                <w:b/>
                <w:color w:val="000000"/>
                <w:kern w:val="0"/>
                <w:sz w:val="18"/>
                <w:szCs w:val="18"/>
                <w:vertAlign w:val="subscript"/>
              </w:rPr>
              <w:t>50</w:t>
            </w:r>
            <w:r w:rsidRPr="00677D1F">
              <w:rPr>
                <w:rFonts w:ascii="宋体" w:eastAsia="宋体" w:hAnsi="宋体" w:cs="宋体" w:hint="eastAsia"/>
                <w:b/>
                <w:color w:val="000000"/>
                <w:kern w:val="0"/>
                <w:sz w:val="18"/>
                <w:szCs w:val="18"/>
              </w:rPr>
              <w:t>（小鼠吸入，4小时）</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（mg/L）</w:t>
            </w:r>
          </w:p>
        </w:tc>
      </w:tr>
      <w:tr w:rsidR="00D228BE" w:rsidRPr="00677D1F">
        <w:trPr>
          <w:trHeight w:val="340"/>
          <w:jc w:val="center"/>
        </w:trPr>
        <w:tc>
          <w:tcPr>
            <w:tcW w:w="1376" w:type="dxa"/>
            <w:vMerge w:val="restart"/>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有毒物质</w:t>
            </w:r>
          </w:p>
        </w:tc>
        <w:tc>
          <w:tcPr>
            <w:tcW w:w="85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212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c>
          <w:tcPr>
            <w:tcW w:w="226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246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＜0.01</w:t>
            </w:r>
          </w:p>
        </w:tc>
      </w:tr>
      <w:tr w:rsidR="00D228BE" w:rsidRPr="00677D1F">
        <w:trPr>
          <w:trHeight w:val="340"/>
          <w:jc w:val="center"/>
        </w:trPr>
        <w:tc>
          <w:tcPr>
            <w:tcW w:w="1376"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85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212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＜25</w:t>
            </w:r>
          </w:p>
        </w:tc>
        <w:tc>
          <w:tcPr>
            <w:tcW w:w="226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＜50</w:t>
            </w:r>
          </w:p>
        </w:tc>
        <w:tc>
          <w:tcPr>
            <w:tcW w:w="246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0.1＜LD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＜0.5</w:t>
            </w:r>
          </w:p>
        </w:tc>
      </w:tr>
      <w:tr w:rsidR="00D228BE" w:rsidRPr="00677D1F">
        <w:trPr>
          <w:trHeight w:val="340"/>
          <w:jc w:val="center"/>
        </w:trPr>
        <w:tc>
          <w:tcPr>
            <w:tcW w:w="1376"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85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212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25＜LD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＜200</w:t>
            </w:r>
          </w:p>
        </w:tc>
        <w:tc>
          <w:tcPr>
            <w:tcW w:w="226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50＜LD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＜400</w:t>
            </w:r>
          </w:p>
        </w:tc>
        <w:tc>
          <w:tcPr>
            <w:tcW w:w="246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0.5＜LD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＜2</w:t>
            </w:r>
          </w:p>
        </w:tc>
      </w:tr>
      <w:tr w:rsidR="00D228BE" w:rsidRPr="00677D1F">
        <w:trPr>
          <w:trHeight w:val="340"/>
          <w:jc w:val="center"/>
        </w:trPr>
        <w:tc>
          <w:tcPr>
            <w:tcW w:w="1376" w:type="dxa"/>
            <w:vMerge w:val="restart"/>
            <w:vAlign w:val="center"/>
          </w:tcPr>
          <w:p w:rsidR="00D228BE" w:rsidRPr="00677D1F" w:rsidRDefault="00332EB6" w:rsidP="00677D1F">
            <w:pPr>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易燃物质</w:t>
            </w:r>
          </w:p>
        </w:tc>
        <w:tc>
          <w:tcPr>
            <w:tcW w:w="85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w:t>
            </w:r>
          </w:p>
        </w:tc>
        <w:tc>
          <w:tcPr>
            <w:tcW w:w="6846" w:type="dxa"/>
            <w:gridSpan w:val="3"/>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可燃气体——在常温下以气态存在并与空气混合形成可燃混合物；其沸点（常压下）是20℃或20℃以下的物质</w:t>
            </w:r>
          </w:p>
        </w:tc>
      </w:tr>
      <w:tr w:rsidR="00D228BE" w:rsidRPr="00677D1F">
        <w:trPr>
          <w:trHeight w:val="340"/>
          <w:jc w:val="center"/>
        </w:trPr>
        <w:tc>
          <w:tcPr>
            <w:tcW w:w="1376"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85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w:t>
            </w:r>
          </w:p>
        </w:tc>
        <w:tc>
          <w:tcPr>
            <w:tcW w:w="6846" w:type="dxa"/>
            <w:gridSpan w:val="3"/>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易燃液体——闪点低于21℃，沸点高于20℃的物质</w:t>
            </w:r>
          </w:p>
        </w:tc>
      </w:tr>
      <w:tr w:rsidR="00D228BE" w:rsidRPr="00677D1F">
        <w:trPr>
          <w:trHeight w:val="340"/>
          <w:jc w:val="center"/>
        </w:trPr>
        <w:tc>
          <w:tcPr>
            <w:tcW w:w="1376"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85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w:t>
            </w:r>
          </w:p>
        </w:tc>
        <w:tc>
          <w:tcPr>
            <w:tcW w:w="6846" w:type="dxa"/>
            <w:gridSpan w:val="3"/>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可燃液体——闪点低于55℃，压力下保持液态，在实际操作条件下（如高温高压）可以引起重大事故的物质</w:t>
            </w:r>
          </w:p>
        </w:tc>
      </w:tr>
      <w:tr w:rsidR="00D228BE" w:rsidRPr="00677D1F">
        <w:trPr>
          <w:trHeight w:val="340"/>
          <w:jc w:val="center"/>
        </w:trPr>
        <w:tc>
          <w:tcPr>
            <w:tcW w:w="2226"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爆炸性物质</w:t>
            </w:r>
          </w:p>
        </w:tc>
        <w:tc>
          <w:tcPr>
            <w:tcW w:w="6846" w:type="dxa"/>
            <w:gridSpan w:val="3"/>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在火焰影响下可以爆炸，或者对冲击、摩擦比硝基苯更为敏感的物质</w:t>
            </w:r>
          </w:p>
        </w:tc>
      </w:tr>
    </w:tbl>
    <w:p w:rsidR="00D228BE" w:rsidRPr="00677D1F" w:rsidRDefault="00332EB6" w:rsidP="00677D1F">
      <w:pPr>
        <w:widowControl/>
        <w:ind w:firstLineChars="200" w:firstLine="360"/>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注：（1）有毒物质判定标准序号为1、2的物质，属于剧毒物质；符合有毒物质判定标准序号3的属于一般毒物。（2）凡符合表中易燃物质和爆炸性物质标准的物质，均视为火灾、爆炸危险物质。</w:t>
      </w:r>
    </w:p>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（2）主要危险物质的特性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根据工程分析，项目的主要原料、燃料、中间产品、产品的危险特性如表8.2-2所示。</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表8.2-2  主要危险有害物质的特性</w:t>
      </w:r>
    </w:p>
    <w:tbl>
      <w:tblPr>
        <w:tblStyle w:val="aa"/>
        <w:tblW w:w="9072" w:type="dxa"/>
        <w:jc w:val="center"/>
        <w:tblLayout w:type="fixed"/>
        <w:tblLook w:val="04A0" w:firstRow="1" w:lastRow="0" w:firstColumn="1" w:lastColumn="0" w:noHBand="0" w:noVBand="1"/>
      </w:tblPr>
      <w:tblGrid>
        <w:gridCol w:w="662"/>
        <w:gridCol w:w="979"/>
        <w:gridCol w:w="979"/>
        <w:gridCol w:w="759"/>
        <w:gridCol w:w="833"/>
        <w:gridCol w:w="1275"/>
        <w:gridCol w:w="1134"/>
        <w:gridCol w:w="1489"/>
        <w:gridCol w:w="962"/>
      </w:tblGrid>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序号</w:t>
            </w:r>
          </w:p>
        </w:tc>
        <w:tc>
          <w:tcPr>
            <w:tcW w:w="979"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名称</w:t>
            </w:r>
          </w:p>
        </w:tc>
        <w:tc>
          <w:tcPr>
            <w:tcW w:w="979"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类别</w:t>
            </w:r>
          </w:p>
        </w:tc>
        <w:tc>
          <w:tcPr>
            <w:tcW w:w="759"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闪点</w:t>
            </w:r>
          </w:p>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沸点</w:t>
            </w:r>
          </w:p>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w:t>
            </w:r>
          </w:p>
        </w:tc>
        <w:tc>
          <w:tcPr>
            <w:tcW w:w="1275"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爆炸极限</w:t>
            </w:r>
          </w:p>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（V%）</w:t>
            </w:r>
          </w:p>
        </w:tc>
        <w:tc>
          <w:tcPr>
            <w:tcW w:w="1134"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LD</w:t>
            </w:r>
            <w:r w:rsidRPr="00677D1F">
              <w:rPr>
                <w:rFonts w:asciiTheme="minorEastAsia" w:hAnsiTheme="minorEastAsia" w:cs="宋体" w:hint="eastAsia"/>
                <w:b/>
                <w:color w:val="000000"/>
                <w:kern w:val="0"/>
                <w:sz w:val="18"/>
                <w:szCs w:val="18"/>
                <w:vertAlign w:val="subscript"/>
              </w:rPr>
              <w:t>50</w:t>
            </w:r>
          </w:p>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（mg/kg）</w:t>
            </w:r>
          </w:p>
        </w:tc>
        <w:tc>
          <w:tcPr>
            <w:tcW w:w="1489"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vertAlign w:val="subscript"/>
              </w:rPr>
            </w:pPr>
            <w:r w:rsidRPr="00677D1F">
              <w:rPr>
                <w:rFonts w:asciiTheme="minorEastAsia" w:hAnsiTheme="minorEastAsia" w:cs="宋体" w:hint="eastAsia"/>
                <w:b/>
                <w:color w:val="000000"/>
                <w:kern w:val="0"/>
                <w:sz w:val="18"/>
                <w:szCs w:val="18"/>
              </w:rPr>
              <w:t>LC</w:t>
            </w:r>
            <w:r w:rsidRPr="00677D1F">
              <w:rPr>
                <w:rFonts w:asciiTheme="minorEastAsia" w:hAnsiTheme="minorEastAsia" w:cs="宋体" w:hint="eastAsia"/>
                <w:b/>
                <w:color w:val="000000"/>
                <w:kern w:val="0"/>
                <w:sz w:val="18"/>
                <w:szCs w:val="18"/>
                <w:vertAlign w:val="subscript"/>
              </w:rPr>
              <w:t>50</w:t>
            </w:r>
          </w:p>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（mg/m</w:t>
            </w:r>
            <w:r w:rsidRPr="00677D1F">
              <w:rPr>
                <w:rFonts w:asciiTheme="minorEastAsia" w:hAnsiTheme="minorEastAsia" w:cs="宋体" w:hint="eastAsia"/>
                <w:b/>
                <w:color w:val="000000"/>
                <w:kern w:val="0"/>
                <w:sz w:val="18"/>
                <w:szCs w:val="18"/>
                <w:vertAlign w:val="superscript"/>
              </w:rPr>
              <w:t>3</w:t>
            </w:r>
            <w:r w:rsidRPr="00677D1F">
              <w:rPr>
                <w:rFonts w:asciiTheme="minorEastAsia" w:hAnsiTheme="minorEastAsia" w:cs="宋体" w:hint="eastAsia"/>
                <w:b/>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b/>
                <w:color w:val="000000"/>
                <w:kern w:val="0"/>
                <w:sz w:val="18"/>
                <w:szCs w:val="18"/>
              </w:rPr>
            </w:pPr>
            <w:r w:rsidRPr="00677D1F">
              <w:rPr>
                <w:rFonts w:asciiTheme="minorEastAsia" w:hAnsiTheme="minorEastAsia" w:cs="宋体" w:hint="eastAsia"/>
                <w:b/>
                <w:color w:val="000000"/>
                <w:kern w:val="0"/>
                <w:sz w:val="18"/>
                <w:szCs w:val="18"/>
              </w:rPr>
              <w:t>有毒等级</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lastRenderedPageBreak/>
              <w:t>1</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氢氧化钠</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固体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1390</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无资料</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2</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氢气</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易燃气体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＜-50</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-252.8</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4.1～74.1</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氯气</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高毒气体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-34.5</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H</w:t>
            </w:r>
            <w:r w:rsidRPr="00677D1F">
              <w:rPr>
                <w:rFonts w:asciiTheme="minorEastAsia" w:hAnsiTheme="minorEastAsia" w:cs="宋体" w:hint="eastAsia"/>
                <w:color w:val="000000"/>
                <w:kern w:val="0"/>
                <w:sz w:val="18"/>
                <w:szCs w:val="18"/>
                <w:vertAlign w:val="subscript"/>
              </w:rPr>
              <w:t>2</w:t>
            </w:r>
            <w:r w:rsidRPr="00677D1F">
              <w:rPr>
                <w:rFonts w:asciiTheme="minorEastAsia" w:hAnsiTheme="minorEastAsia" w:cs="宋体" w:hint="eastAsia"/>
                <w:color w:val="000000"/>
                <w:kern w:val="0"/>
                <w:sz w:val="18"/>
                <w:szCs w:val="18"/>
              </w:rPr>
              <w:t>/Cl</w:t>
            </w:r>
            <w:r w:rsidRPr="00677D1F">
              <w:rPr>
                <w:rFonts w:asciiTheme="minorEastAsia" w:hAnsiTheme="minorEastAsia" w:cs="宋体" w:hint="eastAsia"/>
                <w:color w:val="000000"/>
                <w:kern w:val="0"/>
                <w:sz w:val="18"/>
                <w:szCs w:val="18"/>
                <w:vertAlign w:val="subscript"/>
              </w:rPr>
              <w:t>2</w:t>
            </w:r>
            <w:r w:rsidRPr="00677D1F">
              <w:rPr>
                <w:rFonts w:asciiTheme="minorEastAsia" w:hAnsiTheme="minorEastAsia" w:cs="宋体" w:hint="eastAsia"/>
                <w:color w:val="000000"/>
                <w:kern w:val="0"/>
                <w:sz w:val="18"/>
                <w:szCs w:val="18"/>
              </w:rPr>
              <w:t>≥4.0%</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850</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4</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甲烷</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易燃气体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-188</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-161</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5.3～15</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5</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一氧化碳</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易燃气体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＜-50</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-191.4</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12.5～72.4</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2069</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6</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四氯化钛</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液体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136.4</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400</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2</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7</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盐酸</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液体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108.6</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900mg/kg</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（兔经口）</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3124ppm，1h</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8</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氩气</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惰性气体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-185.7</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9</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氯化钠</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固体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1413</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10</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硫酸</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液体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330</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80mg/kg</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510/2h</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11</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氯化氢</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毒性气体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-85</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400mg/kg</w:t>
            </w:r>
          </w:p>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（兔经口）</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4600/1h</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3</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12</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氯化镁</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固体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1412</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13</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氯化钙</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固体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1935</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r w:rsidR="00D228BE" w:rsidRPr="00677D1F">
        <w:trPr>
          <w:trHeight w:val="340"/>
          <w:jc w:val="center"/>
        </w:trPr>
        <w:tc>
          <w:tcPr>
            <w:tcW w:w="6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14</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氯化钾</w:t>
            </w:r>
          </w:p>
        </w:tc>
        <w:tc>
          <w:tcPr>
            <w:tcW w:w="97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固体</w:t>
            </w:r>
          </w:p>
        </w:tc>
        <w:tc>
          <w:tcPr>
            <w:tcW w:w="75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833"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1420</w:t>
            </w:r>
          </w:p>
        </w:tc>
        <w:tc>
          <w:tcPr>
            <w:tcW w:w="1275"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134"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1489"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c>
          <w:tcPr>
            <w:tcW w:w="962" w:type="dxa"/>
            <w:vAlign w:val="center"/>
          </w:tcPr>
          <w:p w:rsidR="00D228BE" w:rsidRPr="00677D1F" w:rsidRDefault="00332EB6" w:rsidP="00677D1F">
            <w:pPr>
              <w:widowControl/>
              <w:contextualSpacing/>
              <w:jc w:val="center"/>
              <w:rPr>
                <w:rFonts w:asciiTheme="minorEastAsia" w:hAnsiTheme="minorEastAsia" w:cs="宋体"/>
                <w:color w:val="000000"/>
                <w:kern w:val="0"/>
                <w:sz w:val="18"/>
                <w:szCs w:val="18"/>
              </w:rPr>
            </w:pPr>
            <w:r w:rsidRPr="00677D1F">
              <w:rPr>
                <w:rFonts w:asciiTheme="minorEastAsia" w:hAnsiTheme="minorEastAsia" w:cs="宋体" w:hint="eastAsia"/>
                <w:color w:val="000000"/>
                <w:kern w:val="0"/>
                <w:sz w:val="18"/>
                <w:szCs w:val="18"/>
              </w:rPr>
              <w:t>/</w:t>
            </w:r>
          </w:p>
        </w:tc>
      </w:tr>
    </w:tbl>
    <w:p w:rsidR="00D228BE" w:rsidRPr="00677D1F" w:rsidRDefault="00D228BE" w:rsidP="00677D1F">
      <w:pPr>
        <w:widowControl/>
        <w:spacing w:line="240" w:lineRule="exact"/>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主要化学品的物理、化学及毒理学性质见表8.2-3。</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表8.2-3（1）  氩气物理化学、毒理学性质</w:t>
      </w:r>
    </w:p>
    <w:tbl>
      <w:tblPr>
        <w:tblStyle w:val="aa"/>
        <w:tblW w:w="9072" w:type="dxa"/>
        <w:jc w:val="center"/>
        <w:tblLayout w:type="fixed"/>
        <w:tblLook w:val="04A0" w:firstRow="1" w:lastRow="0" w:firstColumn="1" w:lastColumn="0" w:noHBand="0" w:noVBand="1"/>
      </w:tblPr>
      <w:tblGrid>
        <w:gridCol w:w="524"/>
        <w:gridCol w:w="1830"/>
        <w:gridCol w:w="1129"/>
        <w:gridCol w:w="280"/>
        <w:gridCol w:w="1874"/>
        <w:gridCol w:w="576"/>
        <w:gridCol w:w="201"/>
        <w:gridCol w:w="503"/>
        <w:gridCol w:w="1066"/>
        <w:gridCol w:w="1089"/>
      </w:tblGrid>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识</w:t>
            </w:r>
          </w:p>
        </w:tc>
        <w:tc>
          <w:tcPr>
            <w:tcW w:w="5890" w:type="dxa"/>
            <w:gridSpan w:val="6"/>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中文名：氩[液化的]、氩[压缩的]</w:t>
            </w:r>
          </w:p>
        </w:tc>
        <w:tc>
          <w:tcPr>
            <w:tcW w:w="2658" w:type="dxa"/>
            <w:gridSpan w:val="3"/>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危险货物编号：22011、22012</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5890" w:type="dxa"/>
            <w:gridSpan w:val="6"/>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英文名：argon，refrigeratedliquid</w:t>
            </w:r>
          </w:p>
        </w:tc>
        <w:tc>
          <w:tcPr>
            <w:tcW w:w="265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UN编号：1951</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323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分子式：Ar</w:t>
            </w:r>
          </w:p>
        </w:tc>
        <w:tc>
          <w:tcPr>
            <w:tcW w:w="2651"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分子量：39.95</w:t>
            </w:r>
          </w:p>
        </w:tc>
        <w:tc>
          <w:tcPr>
            <w:tcW w:w="265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CAS号：7440-37-1</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化</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质</w:t>
            </w: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外观与性状</w:t>
            </w:r>
          </w:p>
        </w:tc>
        <w:tc>
          <w:tcPr>
            <w:tcW w:w="6718" w:type="dxa"/>
            <w:gridSpan w:val="8"/>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无色无臭的惰性液化气体。</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熔点（℃）</w:t>
            </w:r>
          </w:p>
        </w:tc>
        <w:tc>
          <w:tcPr>
            <w:tcW w:w="112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-189.2</w:t>
            </w:r>
          </w:p>
        </w:tc>
        <w:tc>
          <w:tcPr>
            <w:tcW w:w="2154"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相对密度（水=1）</w:t>
            </w:r>
          </w:p>
        </w:tc>
        <w:tc>
          <w:tcPr>
            <w:tcW w:w="576"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1.40</w:t>
            </w:r>
          </w:p>
        </w:tc>
        <w:tc>
          <w:tcPr>
            <w:tcW w:w="1770"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相对密度（空气=1）</w:t>
            </w:r>
          </w:p>
        </w:tc>
        <w:tc>
          <w:tcPr>
            <w:tcW w:w="108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1.38</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沸点（℃）</w:t>
            </w:r>
          </w:p>
        </w:tc>
        <w:tc>
          <w:tcPr>
            <w:tcW w:w="1129"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-185.7</w:t>
            </w:r>
          </w:p>
        </w:tc>
        <w:tc>
          <w:tcPr>
            <w:tcW w:w="2730"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饱和蒸气压（kPa）</w:t>
            </w:r>
          </w:p>
        </w:tc>
        <w:tc>
          <w:tcPr>
            <w:tcW w:w="2859" w:type="dxa"/>
            <w:gridSpan w:val="4"/>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202.64/-179℃</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溶解性</w:t>
            </w:r>
          </w:p>
        </w:tc>
        <w:tc>
          <w:tcPr>
            <w:tcW w:w="3283"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微溶于水</w:t>
            </w:r>
          </w:p>
        </w:tc>
        <w:tc>
          <w:tcPr>
            <w:tcW w:w="1280"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临界温度（℃）</w:t>
            </w:r>
          </w:p>
        </w:tc>
        <w:tc>
          <w:tcPr>
            <w:tcW w:w="215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-122.3</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及</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健</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康</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害</w:t>
            </w: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侵入途径</w:t>
            </w:r>
          </w:p>
        </w:tc>
        <w:tc>
          <w:tcPr>
            <w:tcW w:w="6718" w:type="dxa"/>
            <w:gridSpan w:val="8"/>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毒性</w:t>
            </w:r>
          </w:p>
        </w:tc>
        <w:tc>
          <w:tcPr>
            <w:tcW w:w="6718" w:type="dxa"/>
            <w:gridSpan w:val="8"/>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            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健康危害</w:t>
            </w:r>
          </w:p>
        </w:tc>
        <w:tc>
          <w:tcPr>
            <w:tcW w:w="6718" w:type="dxa"/>
            <w:gridSpan w:val="8"/>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普通大气压下无毒。高浓度时，使氧分压降低而发生窒息。氩浓度达50%以上，引起严重症状；75%以上时，可在数分钟内死亡。当空气中氩浓度增高时，先出现呼吸加速，注意力不集中，共济失调。继之，疲倦乏力、烦躁不安、恶心、呕吐、昏迷、抽搐，以致死亡。液态氩可致皮肤冻伤；眼部接触可引起炎症。</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急救方法</w:t>
            </w:r>
          </w:p>
        </w:tc>
        <w:tc>
          <w:tcPr>
            <w:tcW w:w="6718" w:type="dxa"/>
            <w:gridSpan w:val="8"/>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皮肤接触：若有冻伤，就医治疗。眼睛接触：提起眼睑，用流动清水或生理盐水冲洗。就医。吸入：迅速脱离现场至空气新鲜处。保持呼吸道通畅。如呼吸困难，给输氧。呼吸停止，立进行人工呼吸。就医。</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燃</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爆</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炸</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危</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险</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燃烧性</w:t>
            </w:r>
          </w:p>
        </w:tc>
        <w:tc>
          <w:tcPr>
            <w:tcW w:w="1409"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不燃</w:t>
            </w:r>
          </w:p>
        </w:tc>
        <w:tc>
          <w:tcPr>
            <w:tcW w:w="187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燃烧分解物</w:t>
            </w:r>
          </w:p>
        </w:tc>
        <w:tc>
          <w:tcPr>
            <w:tcW w:w="3435" w:type="dxa"/>
            <w:gridSpan w:val="5"/>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闪点（℃）</w:t>
            </w:r>
          </w:p>
        </w:tc>
        <w:tc>
          <w:tcPr>
            <w:tcW w:w="1409"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87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爆炸上限（v%）</w:t>
            </w:r>
          </w:p>
        </w:tc>
        <w:tc>
          <w:tcPr>
            <w:tcW w:w="3435" w:type="dxa"/>
            <w:gridSpan w:val="5"/>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引燃温度（℃）</w:t>
            </w:r>
          </w:p>
        </w:tc>
        <w:tc>
          <w:tcPr>
            <w:tcW w:w="1409"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874"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爆炸下限（v%）</w:t>
            </w:r>
          </w:p>
        </w:tc>
        <w:tc>
          <w:tcPr>
            <w:tcW w:w="3435" w:type="dxa"/>
            <w:gridSpan w:val="5"/>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危险特性</w:t>
            </w:r>
          </w:p>
        </w:tc>
        <w:tc>
          <w:tcPr>
            <w:tcW w:w="6718" w:type="dxa"/>
            <w:gridSpan w:val="8"/>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若遇高热，容器内压增大，有开裂和爆炸事故的危险。</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储运条件与泄漏处理</w:t>
            </w:r>
          </w:p>
        </w:tc>
        <w:tc>
          <w:tcPr>
            <w:tcW w:w="6718" w:type="dxa"/>
            <w:gridSpan w:val="8"/>
            <w:vAlign w:val="center"/>
          </w:tcPr>
          <w:p w:rsidR="00D228BE" w:rsidRPr="00677D1F" w:rsidRDefault="00332EB6" w:rsidP="00677D1F">
            <w:pPr>
              <w:widowControl/>
              <w:contextualSpacing/>
              <w:jc w:val="left"/>
              <w:rPr>
                <w:rFonts w:ascii="宋体" w:eastAsia="宋体" w:hAnsi="宋体" w:cs="宋体"/>
                <w:kern w:val="0"/>
                <w:sz w:val="18"/>
                <w:szCs w:val="18"/>
              </w:rPr>
            </w:pPr>
            <w:r w:rsidRPr="00677D1F">
              <w:rPr>
                <w:rFonts w:ascii="宋体" w:eastAsia="宋体" w:hAnsi="宋体" w:cs="宋体" w:hint="eastAsia"/>
                <w:b/>
                <w:bCs/>
                <w:color w:val="000000"/>
                <w:kern w:val="0"/>
                <w:sz w:val="18"/>
                <w:szCs w:val="18"/>
              </w:rPr>
              <w:t>储运条件</w:t>
            </w:r>
            <w:r w:rsidRPr="00677D1F">
              <w:rPr>
                <w:rFonts w:ascii="宋体" w:eastAsia="宋体" w:hAnsi="宋体" w:cs="宋体" w:hint="eastAsia"/>
                <w:color w:val="000000"/>
                <w:kern w:val="0"/>
                <w:sz w:val="18"/>
                <w:szCs w:val="18"/>
              </w:rPr>
              <w:t>：储存于阴凉、通风的仓间内，仓内温度不宜超过30℃。防止阳光直射。应与易燃或可燃物分开存放。验收时应注意品名，注意验瓶日期，先进仓先发用。搬运时应轻装轻卸，防止钢瓶及附件损坏。</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b/>
                <w:bCs/>
                <w:color w:val="000000"/>
                <w:kern w:val="0"/>
                <w:sz w:val="18"/>
                <w:szCs w:val="18"/>
              </w:rPr>
              <w:t>泄漏处理</w:t>
            </w:r>
            <w:r w:rsidRPr="00677D1F">
              <w:rPr>
                <w:rFonts w:ascii="宋体" w:eastAsia="宋体" w:hAnsi="宋体" w:cs="宋体" w:hint="eastAsia"/>
                <w:color w:val="000000"/>
                <w:kern w:val="0"/>
                <w:sz w:val="18"/>
                <w:szCs w:val="18"/>
              </w:rPr>
              <w:t>：迅速撤离泄漏污染区人员至上风处，并进行隔离，严格限制出入。建议应急处理人员戴自给正压式呼吸器，穿一般作业工作服。尽可能切断泄漏源。合理通风，加速扩散。如有可能，即时使用。漏气容器要妥善处理，修复、检验后再用。</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3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灭火方法</w:t>
            </w:r>
          </w:p>
        </w:tc>
        <w:tc>
          <w:tcPr>
            <w:tcW w:w="6718" w:type="dxa"/>
            <w:gridSpan w:val="8"/>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本品不燃。切断气源。喷水冷却容器，可能的话将容器从火场移至空旷处。</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表8.2-3（2）  氯气物理化学、毒理学性质</w:t>
      </w:r>
    </w:p>
    <w:tbl>
      <w:tblPr>
        <w:tblStyle w:val="aa"/>
        <w:tblW w:w="9072" w:type="dxa"/>
        <w:jc w:val="center"/>
        <w:tblLayout w:type="fixed"/>
        <w:tblLook w:val="04A0" w:firstRow="1" w:lastRow="0" w:firstColumn="1" w:lastColumn="0" w:noHBand="0" w:noVBand="1"/>
      </w:tblPr>
      <w:tblGrid>
        <w:gridCol w:w="1419"/>
        <w:gridCol w:w="7653"/>
      </w:tblGrid>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65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23002（液化的）</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653"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氯气是一种黄绿色气体，有窒息性气味。《常见毒物危害程度分级表》HGJ43-91中属高度危害的化学物质。分子式Cl</w:t>
            </w:r>
            <w:r w:rsidRPr="00677D1F">
              <w:rPr>
                <w:rFonts w:ascii="宋体" w:eastAsia="宋体" w:hAnsi="宋体" w:cs="宋体" w:hint="eastAsia"/>
                <w:color w:val="000000"/>
                <w:kern w:val="0"/>
                <w:sz w:val="18"/>
                <w:szCs w:val="18"/>
                <w:vertAlign w:val="subscript"/>
              </w:rPr>
              <w:t>2</w:t>
            </w:r>
            <w:r w:rsidRPr="00677D1F">
              <w:rPr>
                <w:rFonts w:ascii="宋体" w:eastAsia="宋体" w:hAnsi="宋体" w:cs="宋体" w:hint="eastAsia"/>
                <w:color w:val="000000"/>
                <w:kern w:val="0"/>
                <w:sz w:val="18"/>
                <w:szCs w:val="18"/>
              </w:rPr>
              <w:t>。分子量70.91。相对密度1.47（0℃369.77kPa）。熔点-101℃。沸点-34.5℃。蒸气密度2.49。蒸气压506.62kPa（5atm10.3℃）。溶于水和易溶于碱液。遇水生成次氯酸和盐酸，次氯酸再分解为盐酸新生态氯、氧和氯酸。</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主要危害</w:t>
            </w:r>
          </w:p>
        </w:tc>
        <w:tc>
          <w:tcPr>
            <w:tcW w:w="7653"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本品助燃、高毒、具刺激性。并对环境有严重危害。</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653"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消防人员必须穿戴防毒面具与全身防护服。需关闭钢瓶阀门，切断气流，以消杀火势，用水保持火场容器冷却，并用水喷淋保护去关闭阀门的人员。</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653" w:type="dxa"/>
            <w:vAlign w:val="center"/>
          </w:tcPr>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处理泄漏物必须穿戴防毒面具和手套。发现漏气应立即关闭漏气阀门，如无法修</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复，应将漏气钢瓶搬出仓库，在空旷地方浸入石灰乳中以防止中毒事故。对残余</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废气用排风机排送至水洗塔或与塔相连的通风橱内。</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653"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主要经呼吸道侵入，损害上呼吸道；空气中氯浓度较高时也侵入深部呼吸道。</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毒理学简介</w:t>
            </w:r>
          </w:p>
        </w:tc>
        <w:tc>
          <w:tcPr>
            <w:tcW w:w="7653" w:type="dxa"/>
            <w:vAlign w:val="center"/>
          </w:tcPr>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人吸入LCL</w:t>
            </w:r>
            <w:r w:rsidRPr="00677D1F">
              <w:rPr>
                <w:rFonts w:ascii="宋体" w:eastAsia="宋体" w:hAnsi="宋体" w:cs="宋体" w:hint="eastAsia"/>
                <w:color w:val="000000"/>
                <w:kern w:val="0"/>
                <w:sz w:val="18"/>
                <w:szCs w:val="18"/>
                <w:vertAlign w:val="subscript"/>
              </w:rPr>
              <w:t>0</w:t>
            </w:r>
            <w:r w:rsidRPr="00677D1F">
              <w:rPr>
                <w:rFonts w:ascii="宋体" w:eastAsia="宋体" w:hAnsi="宋体" w:cs="宋体" w:hint="eastAsia"/>
                <w:color w:val="000000"/>
                <w:kern w:val="0"/>
                <w:sz w:val="18"/>
                <w:szCs w:val="18"/>
              </w:rPr>
              <w:t>：500ppm/5M。</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大鼠吸入LC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：293ppm/1H。小鼠吸入LC50：137ppm/1H。</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氯气吸入后，主要作用于气管、支气管、细支气管和肺泡，导致相应的病变，部分氯气又可由呼吸道呼出。人体对氯的嗅阈为0.06mg/m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；90mg/m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，可致剧咳；120～180mg/m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，30～60min可引起中毒性肺炎和肺水肿；300mg/m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时，可造成致命损害；3000mg/m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时，危及生命；高达30000mg/m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时，一般滤过性防毒面具也无保护作用。</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毒机理：氯气吸入后与粘膜和呼吸道的水作用形成氯化氢和新生态氧。氯化氢可使上呼吸道粘膜炎性水肿、充血和坏死；新生态氧对组织具有强烈的氧化作用，并可形成具细胞原浆毒作用的臭氧。氯浓度过高或接触时间较久，常可致深部呼吸道病变，使细支气管及肺泡受损，发生细支气管炎、肺炎及中毒性肺水肿。由于刺激作用使局部平滑肌痉挛而加剧通气障碍，加重缺氧状态；高浓度氯吸入后，还可刺激迷走神经引起反射性的心跳停止。</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w:t>
            </w:r>
          </w:p>
        </w:tc>
        <w:tc>
          <w:tcPr>
            <w:tcW w:w="7653" w:type="dxa"/>
            <w:vAlign w:val="center"/>
          </w:tcPr>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急性中毒主要为呼吸系统损害的表现。</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a.起病及病情变化一般均较迅速。</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b.可发生咽喉炎、支气管炎、肺炎或肺水肿，表现为咽痛、呛咳、咯少量痰、气急、胸闷或咯粉红色泡沫痰、呼吸困难等症状，肺部可无明显阳性体征或有干、湿性罗音。有时伴有恶心、呕吐等症状。</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c.重症者尚可出现急性呼吸窘迫综合征，有进行性呼吸频速和窘迫、心动过速，顽固性低氧血症，用一般氧疗无效。</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d.少数患者有哮喘样发作，出现喘息，肺部有哮喘音。</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e.极高浓度时可引起声门痉挛或水肿、支气管痉挛或反射性呼吸中枢抑制而致迅</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速窒息死亡。</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f.并发症主要有肺部继发感染、心肌损害及气胸、纵隔气肿等。</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lastRenderedPageBreak/>
              <w:t>g.X线检查：可无异常，或有两侧肺纹理增强、点状或片状边界模糊阴影或云雾</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状、蝶翼状阴影。</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h.血气分析：病情较重者动脉血氧分压明显降低。</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i.心电图检查：中毒后由于缺氧、肺动脉高压以及植物神经功能障碍等，可导致心肌损害及心律失常。</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眼损害：氯可引起急性结膜炎，高浓度氯气或液氯可引起眼灼伤。</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皮肤损害：液氯或高浓度氯气可引起皮肤暴露部位急性皮炎或灼伤。</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处理</w:t>
            </w:r>
          </w:p>
        </w:tc>
        <w:tc>
          <w:tcPr>
            <w:tcW w:w="7653" w:type="dxa"/>
            <w:vAlign w:val="center"/>
          </w:tcPr>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吸入气体者立即脱离现场至空气新鲜处，保持安静及保暖。眼或皮肤接触液氯时立</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即用清水彻底冲洗。</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吸入后有症状者至少观察12小时，对症处理。吸入量较多者应卧床休息，吸氧，给舒喘灵气雾剂、喘乐宁（Ventolin）或5%碳酸氢钠加地塞米松等雾化吸入。</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急性中毒时需合理氧疗；早期、适量、短程应用肾上腺糖皮质激素；维持呼吸道通畅；防治肺水肿及继发感染，参见&lt;急性刺激性气体中毒性肺水肿的治疗&gt;；其他对症处理。</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眼及皮肤灼伤按酸灼伤处理，参见&lt;化学性眼灼伤的治疗&gt;和&lt;化学性皮肤灼伤的治疗&gt;。</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653"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标志：有毒气体。包装方法：钢瓶装。储运条件：储存于阴凉、干燥、通风良好的不燃性结构的库房，最好专库专储。远离热源和火源。防止日光直射。液氯是剧毒气体，应经常保持通风。与可燃物、有机物或其他易氧化物质隔离。特别须注意与乙炔、氨、氢气、烃类、乙醚、松节油、金属粉末等隔绝。搬运时要戴好钢瓶的安全帽及防震橡胶圈，避免滚动和撞击，防止容器受损。平时用肥皂水检查阀门有否漏气，库房内有否氯气。</w:t>
            </w:r>
          </w:p>
        </w:tc>
      </w:tr>
      <w:tr w:rsidR="00D228BE" w:rsidRPr="00677D1F">
        <w:trPr>
          <w:trHeight w:val="340"/>
          <w:jc w:val="center"/>
        </w:trPr>
        <w:tc>
          <w:tcPr>
            <w:tcW w:w="1419"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环境危害</w:t>
            </w:r>
          </w:p>
        </w:tc>
        <w:tc>
          <w:tcPr>
            <w:tcW w:w="7653" w:type="dxa"/>
            <w:vAlign w:val="center"/>
          </w:tcPr>
          <w:p w:rsidR="00D228BE" w:rsidRPr="00677D1F" w:rsidRDefault="00332EB6" w:rsidP="00677D1F">
            <w:pPr>
              <w:widowControl/>
              <w:contextualSpacing/>
              <w:jc w:val="left"/>
              <w:rPr>
                <w:rFonts w:ascii="宋体" w:eastAsia="宋体" w:hAnsi="宋体" w:cs="宋体"/>
                <w:kern w:val="0"/>
                <w:sz w:val="18"/>
                <w:szCs w:val="18"/>
              </w:rPr>
            </w:pPr>
            <w:r w:rsidRPr="00677D1F">
              <w:rPr>
                <w:rFonts w:ascii="宋体" w:eastAsia="宋体" w:hAnsi="宋体" w:cs="宋体" w:hint="eastAsia"/>
                <w:color w:val="000000"/>
                <w:kern w:val="0"/>
                <w:sz w:val="18"/>
                <w:szCs w:val="18"/>
              </w:rPr>
              <w:t>对空气和水体造成严重污染。《工业企业设计卫生标准》（GBZ1-2010）规定：车间</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空气中氯化氢气体最高允许浓度为1mg/m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表8.2-3（3）  氮气物理化学、毒理学性质</w:t>
      </w:r>
    </w:p>
    <w:tbl>
      <w:tblPr>
        <w:tblStyle w:val="aa"/>
        <w:tblW w:w="9072" w:type="dxa"/>
        <w:jc w:val="center"/>
        <w:tblLayout w:type="fixed"/>
        <w:tblLook w:val="04A0" w:firstRow="1" w:lastRow="0" w:firstColumn="1" w:lastColumn="0" w:noHBand="0" w:noVBand="1"/>
      </w:tblPr>
      <w:tblGrid>
        <w:gridCol w:w="1092"/>
        <w:gridCol w:w="7980"/>
      </w:tblGrid>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98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22005</w:t>
            </w:r>
            <w:r w:rsidRPr="00677D1F">
              <w:rPr>
                <w:rFonts w:ascii="宋体" w:eastAsia="宋体" w:hAnsi="宋体" w:cs="宋体" w:hint="eastAsia"/>
                <w:color w:val="000000"/>
                <w:kern w:val="0"/>
                <w:sz w:val="18"/>
                <w:szCs w:val="18"/>
              </w:rPr>
              <w:t xml:space="preserve"> </w:t>
            </w:r>
            <w:r w:rsidRPr="00677D1F">
              <w:rPr>
                <w:rFonts w:ascii="宋体" w:eastAsia="宋体" w:hAnsi="宋体" w:cs="宋体"/>
                <w:color w:val="000000"/>
                <w:kern w:val="0"/>
                <w:sz w:val="18"/>
                <w:szCs w:val="18"/>
              </w:rPr>
              <w:t>UNNO.1066</w:t>
            </w:r>
          </w:p>
        </w:tc>
      </w:tr>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980"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分子式N</w:t>
            </w:r>
            <w:r w:rsidRPr="00677D1F">
              <w:rPr>
                <w:rFonts w:ascii="宋体" w:eastAsia="宋体" w:hAnsi="宋体" w:cs="宋体" w:hint="eastAsia"/>
                <w:color w:val="000000"/>
                <w:kern w:val="0"/>
                <w:sz w:val="18"/>
                <w:szCs w:val="18"/>
                <w:vertAlign w:val="subscript"/>
              </w:rPr>
              <w:t>2</w:t>
            </w:r>
            <w:r w:rsidRPr="00677D1F">
              <w:rPr>
                <w:rFonts w:ascii="宋体" w:eastAsia="宋体" w:hAnsi="宋体" w:cs="宋体" w:hint="eastAsia"/>
                <w:color w:val="000000"/>
                <w:kern w:val="0"/>
                <w:sz w:val="18"/>
                <w:szCs w:val="18"/>
              </w:rPr>
              <w:t>，无色无臭气体，分子量28.01，蒸汽压1026.42kPa（-173℃），熔点-209.8℃，沸点：-195.6℃，微溶于水、乙醇，相对密度（水=1）0.81（-196℃）；相对密度（空气=1）0.97，化学性质稳定，用于合成氨，制硝酸，用作物质保护剂、冷冻剂。若遇高热，容器内压增大，有开裂和爆炸的危险。</w:t>
            </w:r>
          </w:p>
        </w:tc>
      </w:tr>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主要危害</w:t>
            </w:r>
          </w:p>
        </w:tc>
        <w:tc>
          <w:tcPr>
            <w:tcW w:w="7980"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呼吸道吸入</w:t>
            </w:r>
          </w:p>
        </w:tc>
      </w:tr>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980"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空气中氮气含量过高，使吸入气氧分压下降，引起缺氧窒息。吸入氮气浓度不太高时，患者最初感胸闷、气短、疲软无力；继而有烦躁不安、极度兴奋、乱跑、叫喊、神情恍惚、步态不稳，称之为“氮酩酊”，可进入昏睡或昏迷状态。吸入高浓度，患者可迅速出现昏迷、呼吸心跳停止而致死亡。潜水员深潜时，可发生氮的麻醉作用；若从高压环境下过快转入常压环境，体内会形成氮气气泡，压迫神经、血管或造成微血管阻塞，发生“减压病”。</w:t>
            </w:r>
          </w:p>
        </w:tc>
      </w:tr>
      <w:tr w:rsidR="00D228BE" w:rsidRPr="00677D1F">
        <w:trPr>
          <w:trHeight w:val="69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临床表现及处理</w:t>
            </w:r>
          </w:p>
        </w:tc>
        <w:tc>
          <w:tcPr>
            <w:tcW w:w="7980"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吸入：迅速脱离现场至空气新鲜处。保持呼吸道通畅。如呼吸困难，给输氧。呼吸心跳停止时，立即进行人工呼吸和胸外心脏按压术。就医。</w:t>
            </w:r>
          </w:p>
        </w:tc>
      </w:tr>
      <w:tr w:rsidR="00D228BE" w:rsidRPr="00677D1F">
        <w:trPr>
          <w:trHeight w:val="69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980"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本品不燃。用雾状水保持火场中容器冷却。</w:t>
            </w:r>
          </w:p>
        </w:tc>
      </w:tr>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980"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包装标志：不燃气体。包装方法：钢瓶。储运条件：阴凉场所，保存在通风良好的室</w:t>
            </w:r>
          </w:p>
        </w:tc>
      </w:tr>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环境危害</w:t>
            </w:r>
          </w:p>
        </w:tc>
        <w:tc>
          <w:tcPr>
            <w:tcW w:w="7980"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迅速撤离泄漏污染区人员至上风处，并进行隔离，严格限制出入。建议应急处理人员戴自给正压式呼吸器，穿一般作业工作服。尽可能切断泄漏源。合理通风，加速扩散。漏气容器要妥善处理，修复、检验后再用。</w:t>
            </w:r>
          </w:p>
        </w:tc>
      </w:tr>
      <w:tr w:rsidR="00D228BE" w:rsidRPr="00677D1F">
        <w:trPr>
          <w:trHeight w:val="340"/>
          <w:jc w:val="center"/>
        </w:trPr>
        <w:tc>
          <w:tcPr>
            <w:tcW w:w="1092"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980" w:type="dxa"/>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标准美国车间卫生标准窒息性气体</w:t>
            </w:r>
          </w:p>
        </w:tc>
      </w:tr>
    </w:tbl>
    <w:p w:rsidR="00D228BE" w:rsidRPr="00677D1F" w:rsidRDefault="00D228BE" w:rsidP="00677D1F">
      <w:pPr>
        <w:widowControl/>
        <w:spacing w:line="240" w:lineRule="exact"/>
        <w:contextualSpacing/>
        <w:rPr>
          <w:rFonts w:ascii="黑体" w:eastAsia="黑体" w:hAnsi="黑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表8.2-3（4）  氯化氢物理化学、毒理学性质</w:t>
      </w:r>
    </w:p>
    <w:tbl>
      <w:tblPr>
        <w:tblStyle w:val="aa"/>
        <w:tblW w:w="9072" w:type="dxa"/>
        <w:jc w:val="center"/>
        <w:tblLayout w:type="fixed"/>
        <w:tblLook w:val="04A0" w:firstRow="1" w:lastRow="0" w:firstColumn="1" w:lastColumn="0" w:noHBand="0" w:noVBand="1"/>
      </w:tblPr>
      <w:tblGrid>
        <w:gridCol w:w="1092"/>
        <w:gridCol w:w="7980"/>
      </w:tblGrid>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危规编号</w:t>
            </w:r>
          </w:p>
        </w:tc>
        <w:tc>
          <w:tcPr>
            <w:tcW w:w="798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22022  UNNO.1050</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外观与性状：无色有刺激性气味的气体。熔点（℃）：-114.2。沸点（℃）：-85.0。相对密度（水=1）：1.19。相对蒸气密度（空气=1）：1.27。饱和蒸气压（kPa）：4225.6（20℃）。临界温度（℃）：51.4。临界压力（MPa）：8.26。溶解性：易溶于水。主要用途：制染料、香料、药物、各种氯化物及腐蚀抑制剂。</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危险特性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无水氯化氢无腐蚀性，但遇水时有强腐蚀性。能与一些活性金属粉末发生反应，放出氢气。遇氰化物能产生剧毒的氰化氢气体。</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主要经呼吸道吸收。</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简介</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：4600mg/m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，1小时（大鼠吸入）。</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临床表现及处理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对眼和呼吸道粘膜有强烈的刺激作用。急性中毒：出现头痛、头昏、恶心、眼痛、咳嗽、痰中带血、声音嘶哑、呼吸困难、胸闷、胸痛等。重者发生肺炎、肺水肿、肺不张。眼角膜可见溃疡或混浊。皮肤直接接触可出现大量粟粒样红色小丘疹而呈潮红痛热。慢性影响：长期较高浓度接触，可引起慢性支气管炎、胃肠功能障碍及牙齿酸蚀症。</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皮肤接触：立即脱去污染的衣着，用大量流动清水冲洗至少15分钟。就医。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眼睛接触：立即提起眼睑，用大量流动清水或生理盐水彻底冲洗至少15分钟。就医。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保持呼吸道通畅。如呼吸困难，给输氧。如呼吸停止，立即进行人工呼吸。就医。医生须知：氯化氢气体所致急性气管炎时，可用4％碳酸氢钠溶液雾化吸入。必要时给氧。如刺激症状明显，咳嗽频繁，并有气急、胸闷等症状，可以0.5％异丙基肾上腺素1ml及地塞米松2mg雾化吸入。</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本品不燃。但与其它物品接触引起火灾时，消防人员须穿戴全身防护服，关闭火场中钢瓶的阀门，减弱火势，并用水喷淋保护去关闭阀门的人员。喷水冷却容器，可能的话将容器从火场移至空旷处。</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迅速撤离泄漏污染区人员至上风处，并立即进行隔离，小泄漏时隔离150m，大泄漏时隔离300m，严格限制出入。建议应急处理人员戴自给正压式呼吸器，穿化学防护服。从上风处进入现场。尽可能切断泄漏源。合理通风，加速扩散。喷氨水或其它稀碱液中和。构筑围堤或挖坑收容产生的大量废水。如有可能，将残余气或漏出气用排风机送至水洗塔或与塔相连的通风橱内。漏气容器要妥善处理，修复、检验后再用。</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包装分类：III包装标志：5，20包装方法：钢质气瓶</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存注意事项：氯化氢为不燃有毒液化气体。储存于阴凉、通风的仓库内。仓库内温度不宜超过30℃，远离火种、热源，防止阳光直射，采用防爆照明。应与碱类、金属粉末、易燃或可燃物等分开存放。储区应备有泄漏应急处理设备和消防器材。验收时要注意品名，注意生产日期，先生产的先发用。</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运输注意事项：委托有危险化学品运输质资的运输单位运输。钢瓶应卧倒平放，保持车辆平衡，钢瓶阀门朝向一致，并采取防止钢瓶滚动的措施。按规定路线行驶，勿在居民区和人口稠密区停留。</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接触机会</w:t>
            </w:r>
          </w:p>
        </w:tc>
        <w:tc>
          <w:tcPr>
            <w:tcW w:w="798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本品用于制造氯化钡、氯化铵等，在冶金、制造染料，皮革的鞣制及染色、制药以及有关化工生产和使用过程中的工人均可接触。</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98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中国MAC15mg/m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；美国ACGIH氯化氢TLV-C7.5mg/m</w:t>
            </w:r>
            <w:r w:rsidRPr="00677D1F">
              <w:rPr>
                <w:rFonts w:ascii="宋体" w:eastAsia="宋体" w:hAnsi="宋体" w:cs="宋体" w:hint="eastAsia"/>
                <w:color w:val="000000"/>
                <w:kern w:val="0"/>
                <w:sz w:val="18"/>
                <w:szCs w:val="18"/>
                <w:vertAlign w:val="superscript"/>
              </w:rPr>
              <w:t>3</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表8.2-3（5）  CO物理化学、毒理学性质</w:t>
      </w:r>
    </w:p>
    <w:tbl>
      <w:tblPr>
        <w:tblStyle w:val="aa"/>
        <w:tblW w:w="9072" w:type="dxa"/>
        <w:jc w:val="center"/>
        <w:tblLayout w:type="fixed"/>
        <w:tblLook w:val="04A0" w:firstRow="1" w:lastRow="0" w:firstColumn="1" w:lastColumn="0" w:noHBand="0" w:noVBand="1"/>
      </w:tblPr>
      <w:tblGrid>
        <w:gridCol w:w="1092"/>
        <w:gridCol w:w="7980"/>
      </w:tblGrid>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98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21005。UNNO.1016</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无色、无嗅、无味的气体。分子式C-O。分子量28.01。相对密度0.793（液体）。熔点-205.0℃。沸点-191.5℃。自燃点608.89℃。与空气混合物爆炸限12～75%。在水中的溶解度低，但易被氨水吸收。在空气中燃烧呈蓝色火焰。遇热、明火易燃烧爆炸。在400～700℃间分解为碳和二氧化碳。</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危险特性</w:t>
            </w:r>
          </w:p>
        </w:tc>
        <w:tc>
          <w:tcPr>
            <w:tcW w:w="7980" w:type="dxa"/>
            <w:vAlign w:val="center"/>
          </w:tcPr>
          <w:p w:rsidR="00D228BE" w:rsidRPr="00677D1F" w:rsidRDefault="00D228BE" w:rsidP="00677D1F">
            <w:pPr>
              <w:widowControl/>
              <w:contextualSpacing/>
              <w:rPr>
                <w:rFonts w:ascii="宋体" w:eastAsia="宋体" w:hAnsi="宋体" w:cs="宋体"/>
                <w:color w:val="000000"/>
                <w:kern w:val="0"/>
                <w:sz w:val="18"/>
                <w:szCs w:val="18"/>
              </w:rPr>
            </w:pP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侵入途径</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经呼吸道吸收。</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简介</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人吸入TCL</w:t>
            </w:r>
            <w:r w:rsidRPr="00677D1F">
              <w:rPr>
                <w:rFonts w:ascii="宋体" w:eastAsia="宋体" w:hAnsi="宋体" w:cs="宋体" w:hint="eastAsia"/>
                <w:color w:val="000000"/>
                <w:kern w:val="0"/>
                <w:sz w:val="18"/>
                <w:szCs w:val="18"/>
                <w:vertAlign w:val="subscript"/>
              </w:rPr>
              <w:t>0</w:t>
            </w:r>
            <w:r w:rsidRPr="00677D1F">
              <w:rPr>
                <w:rFonts w:ascii="宋体" w:eastAsia="宋体" w:hAnsi="宋体" w:cs="宋体" w:hint="eastAsia"/>
                <w:color w:val="000000"/>
                <w:kern w:val="0"/>
                <w:sz w:val="18"/>
                <w:szCs w:val="18"/>
              </w:rPr>
              <w:t>：600mg/m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/10M，LCL</w:t>
            </w:r>
            <w:r w:rsidRPr="00677D1F">
              <w:rPr>
                <w:rFonts w:ascii="宋体" w:eastAsia="宋体" w:hAnsi="宋体" w:cs="宋体" w:hint="eastAsia"/>
                <w:color w:val="000000"/>
                <w:kern w:val="0"/>
                <w:sz w:val="18"/>
                <w:szCs w:val="18"/>
                <w:vertAlign w:val="subscript"/>
              </w:rPr>
              <w:t>0</w:t>
            </w:r>
            <w:r w:rsidRPr="00677D1F">
              <w:rPr>
                <w:rFonts w:ascii="宋体" w:eastAsia="宋体" w:hAnsi="宋体" w:cs="宋体" w:hint="eastAsia"/>
                <w:color w:val="000000"/>
                <w:kern w:val="0"/>
                <w:sz w:val="18"/>
                <w:szCs w:val="18"/>
              </w:rPr>
              <w:t>：5000ppm/5M。人（男性）吸入LCLo：4000ppm/30M；TCL</w:t>
            </w:r>
            <w:r w:rsidRPr="00677D1F">
              <w:rPr>
                <w:rFonts w:ascii="宋体" w:eastAsia="宋体" w:hAnsi="宋体" w:cs="宋体" w:hint="eastAsia"/>
                <w:color w:val="000000"/>
                <w:kern w:val="0"/>
                <w:sz w:val="18"/>
                <w:szCs w:val="18"/>
                <w:vertAlign w:val="subscript"/>
              </w:rPr>
              <w:t>0</w:t>
            </w:r>
            <w:r w:rsidRPr="00677D1F">
              <w:rPr>
                <w:rFonts w:ascii="宋体" w:eastAsia="宋体" w:hAnsi="宋体" w:cs="宋体" w:hint="eastAsia"/>
                <w:color w:val="000000"/>
                <w:kern w:val="0"/>
                <w:sz w:val="18"/>
                <w:szCs w:val="18"/>
              </w:rPr>
              <w:t>：650ppm/45M。</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大鼠吸入LC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：1807ppm/4H。小鼠吸入LC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：2444ppm/4H。</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CO经呼吸道吸入。吸入的CO通过肺泡进入血液，立即与血红蛋白结合形成碳氧血红蛋白（HbCO）。空气中CO分压越高，HbCO浓度也越高。吸收后的CO绝大部分以不变的形式由呼吸道排出。在正常大气压下，CO半排出期为128～409分钟，平均为320分钟。停止接触后，如提高吸入气体的氧分压，可缩短CO的半排出期。</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进入血液的CO与血红蛋白及其它某些含铁蛋白质（如肌球蛋白、二价铁的细胞色素）形成可逆结合。它与血红蛋白具有很强亲和力，即CO与血红蛋白的亲和力比氧与Hb的亲和力约大300倍，致使血携氧能力下降，同时HbCO的解离速度却比氧合血红蛋白的解离慢3600倍，且HbCO的存在影响氧合血红蛋白的解离，阻碍了氧的释放，导致低氧血症，引起组织缺氧。中枢神经系统对缺氧最敏感，因此首先受累。缺氧引起水肿、颅内压增高。同时，缺氧和脑水肿，造成脑血液循环障碍，而血管吻合支较少和血管结构不健全的苍白球可出现软化、坏死、或白质广泛性脱髓鞘病变，产生帕金森氏综合征和一系列精神症状。部分重症CO中毒患者，在昏迷苏醒后，经过2天至2月的假愈期，又出现一系列神经-精神障碍，称之为迟发性脑病。</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急性CO中毒是吸入高浓度CO后引起以中枢神经系统损害为主的全身性疾病。急性CO中毒起病急、潜伏期短。轻、中度中毒主要表现为头痛、头昏、心悸、恶心、呕吐、四肢乏力、意识模糊，甚至昏迷，但昏迷持续时间短，经脱离现场进行抢救，可较快苏醒、一般无明显并发症。血HbCO浓度在10％至50％。部分患者显示脑电图异常。重度中毒者意识障碍程度达深昏迷或去大脑皮质状态。往往出现牙关紧闭、强直性全身痉挛、大小便失禁。部分患者可并发脑水肿、肺水肿、严重的心肌损害、休克、呼吸衰竭、上消化道出血、皮肤水泡或成片的皮肤红肿、肌肉肿胀坏死、肝、肾损害等。血液HbCO浓度可高于50％。多数患者脑电图异常。</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急性CO中毒迟发脑病是指急性中毒意识障碍恢复后，经过2～60天假愈期，又出现神经精神症状。常见临床表现有以下几种：</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a.精神障碍：定向力丧失、计算力显著下降、记忆力减退、反应迟钝、生活不能自理，部分患者可发展为痴呆综合征。或有幻觉、错觉、语无伦次、行为失常、兴奋冲动、打人毁物等表现。</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b.锥体外系症状：表现呆板面容，肌张力增高、动作缓慢、步态碎小、双上肢失去伴随运动，小书写症与静止性震颤，出现帕金森综合征。</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c.锥体系神经损害：表现轻偏瘫、假性球麻痹、病理反射阳性或小便失禁。</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d.大脑皮层局灶性功能障碍：如失语、失明、失写、失算等，或出现继发性癫痫。头颅CT检查可发现脑部有病理性密度减低区。脑电图检查可发现中度或高度异常。</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根据吸入较高浓度CO的接触史和急性发生的中枢神经损害的症状和体征，结合血中HbCO及时测定的结果，现场卫生学调查及空气中CO浓度测定资料，排除其它病因后，可诊断为急性CO中毒。</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轻度急性CO中毒需与感冒、高血压、食物中毒等鉴别，中度及重度中毒者应注意与其他病因如糖尿病、脑血管意外、安眠药中毒等引起的昏迷鉴别，对迟发脑病需与其他有类似症状的疾患进行鉴别诊断。</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迅速将患者移离中毒现场至通风处，松开衣领，注意保暖，密切观察意识状态。</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血HbCO系CO中毒唯一特异的化验指标，但只有及时测定才对诊断更有参考意义。脱离中毒环境8小时以上患者，血中HbCO多在10％以下。双波长分光光度法有较高的灵敏度及准确度，快速简便。</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及时有效给氧是急性CO中毒最重要的治疗原则。应用高压氧疗法，可加速患者血中HbCO的清除，迅速纠正组织缺氧。方法是用2～2.5个大气压活瓣式面罩吸入纯氧60分钟，每日1次，轻度中毒一般5～7次，中度中毒10～20次，重度中毒20～30次。（详见--附：高压氧治疗急性一氧化碳中毒及其迟发脑病）对症及支持疗法：根据病情采用解除脑水肿、改善脑血循环的治疗药物，维持呼吸循环功能及镇痉等。参见&lt;急性化学物中毒性脑病的治疗&gt;。</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对迟发脑病患者，治疗方法包括高压氧、糖皮质激素、血管扩张剂、神经细胞营养药及抗帕金森氏病药物等。</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对中、重度中毒患者昏迷清醒后，应卧床休息两周，在观察两个月期间，暂时脱离CO作业。</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消防措施</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关闭钢瓶阀门，切断气流来消杀火势。</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处理泄漏物必须穿戴防毒面具与手套。对残余废气或钢瓶泄漏出气要用排风机排送至空旷地方。</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包装标志：有毒气体。包装方法：钢瓶装。储运条件：严防钢瓶碰撞。储存于阴凉、通风良好的库房，并远离火种、热源和容易着火的地方。</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98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车间空气卫生标准：中国MAC 30mg/m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；美国ACGIHTLV-TWA 29mg/m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（25ppm）</w:t>
            </w: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表8.2-3（6）  氢气物理化学、毒理学性质</w:t>
      </w:r>
    </w:p>
    <w:tbl>
      <w:tblPr>
        <w:tblStyle w:val="aa"/>
        <w:tblW w:w="9072" w:type="dxa"/>
        <w:jc w:val="center"/>
        <w:tblLayout w:type="fixed"/>
        <w:tblLook w:val="04A0" w:firstRow="1" w:lastRow="0" w:firstColumn="1" w:lastColumn="0" w:noHBand="0" w:noVBand="1"/>
      </w:tblPr>
      <w:tblGrid>
        <w:gridCol w:w="1092"/>
        <w:gridCol w:w="7980"/>
      </w:tblGrid>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98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21001UNNO.1049（压缩的）</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分子式：H</w:t>
            </w:r>
            <w:r w:rsidRPr="00677D1F">
              <w:rPr>
                <w:rFonts w:ascii="宋体" w:eastAsia="宋体" w:hAnsi="宋体" w:cs="宋体" w:hint="eastAsia"/>
                <w:color w:val="000000"/>
                <w:kern w:val="0"/>
                <w:sz w:val="18"/>
                <w:szCs w:val="18"/>
                <w:vertAlign w:val="subscript"/>
              </w:rPr>
              <w:t>2</w:t>
            </w:r>
            <w:r w:rsidRPr="00677D1F">
              <w:rPr>
                <w:rFonts w:ascii="宋体" w:eastAsia="宋体" w:hAnsi="宋体" w:cs="宋体" w:hint="eastAsia"/>
                <w:color w:val="000000"/>
                <w:kern w:val="0"/>
                <w:sz w:val="18"/>
                <w:szCs w:val="18"/>
              </w:rPr>
              <w:t>，无色无味气体，分子量：2.01，蒸汽压：13.33kPa/-257.9℃，闪点：＜-50℃，</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熔点：-259.2℃沸点：-252.8℃，不溶于水，不溶于乙醇、乙醚，相对密度（水</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=1）0.07（-252℃）；相对密度（空气=1）0.07，用于合成氨和甲醇等，石油精制，有机物</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氢化及火箭燃料。</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危险特性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与空气混合能形成爆炸性混合物，遇热或明火即会发生爆炸。气体比空气轻，在室内使用和储存时，漏气上升滞留屋顶不易排出，遇火星会引起爆炸。氢气与氟、氯、溴等卤素会剧烈反应。</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燃烧（分解）产物：水。</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经呼吸道侵入。</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简介</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本品在生理学上是惰性气体，仅在高浓度时，由于空气中氧分压降低才引起窒息。在很高的分压下，氢气可呈现出麻醉作用。</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临床表现及处理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吸入：迅速脱离现场至空气新鲜处。保持呼吸道通畅。如呼吸困难，给输氧。呼吸心</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跳停止时，立即进行人工呼吸和胸外心脏按压术。就医。</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切断气源。若不能切断气源，则不允许熄灭泄漏处的火焰。喷水冷却容器，可能的话</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将容器从火场移至空旷处。灭火剂：雾状水、泡沫、二氧化碳、干粉。</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迅速撤离泄漏污染区人员至上风处，并进行隔离，严格限制出入。切断火源。建议应急处理人员戴自给正压式呼吸器，穿防静电工作服。尽可能切断泄漏源。合理通风，加速扩散。如有可能，将漏出气用排风机送至空旷地方或装设适当喷头烧掉。漏气容器要妥善处理，修复、检验后再用。</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存注意事项：储存于阴凉、通风的库房。远离火种、热源。库温不超过30℃，相对湿度不超过80％。应与氧化剂、卤素分开存放，切忌混储。采用防爆型照明、通风设施。禁止使用易产生火花的机械设备和工具。储区应备有泄漏应急处理设备。</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卤素等混装混运。夏季应早晚运输，防止日光曝晒。中途停留时应远离火种、热源。公路运输时要按规定路线行驶，勿在居民区和人口稠密区停留。铁路运输时要禁止溜放。</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98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前苏联（1975）车间卫生标准5mg/m</w:t>
            </w:r>
            <w:r w:rsidRPr="00677D1F">
              <w:rPr>
                <w:rFonts w:ascii="宋体" w:eastAsia="宋体" w:hAnsi="宋体" w:cs="宋体" w:hint="eastAsia"/>
                <w:color w:val="000000"/>
                <w:kern w:val="0"/>
                <w:sz w:val="18"/>
                <w:szCs w:val="18"/>
                <w:vertAlign w:val="superscript"/>
              </w:rPr>
              <w:t>3</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表8.2-3（7）  氢氧化钠物理化学、毒理学性质</w:t>
      </w:r>
    </w:p>
    <w:tbl>
      <w:tblPr>
        <w:tblStyle w:val="aa"/>
        <w:tblW w:w="9072" w:type="dxa"/>
        <w:jc w:val="center"/>
        <w:tblLayout w:type="fixed"/>
        <w:tblLook w:val="04A0" w:firstRow="1" w:lastRow="0" w:firstColumn="1" w:lastColumn="0" w:noHBand="0" w:noVBand="1"/>
      </w:tblPr>
      <w:tblGrid>
        <w:gridCol w:w="1092"/>
        <w:gridCol w:w="7980"/>
      </w:tblGrid>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98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82001。UNNo.1823（固态），1824（溶液）。</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理化特性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学名氢氧化钠，白色圆状颗粒，易潮解，有刺激性气味，分子量40.01，沸点1390℃，熔点318.4℃，pH14（5%水溶液）。易溶于水、乙醇、甘油，不溶于丙酮。强腐蚀性。</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危险特性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本品不会燃烧，遇水和水蒸气大量放热，形成腐蚀性溶液。与酸发生中和反应并放热。具有强腐蚀性。</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由呼吸道、消化道、皮肤侵入。</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简介</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小鼠腹腔内LD50：40mg/kg。兔经口LDLo：500mg/kg。对蛋白质有溶解作用，腐蚀性强。对皮肤和粘膜有强烈的刺激和腐蚀作用。用0.02%溶液滴入兔眼，可引起角膜上皮损伤。</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吸入氢氧化钠的粉尘或烟雾时，可引起化学性上呼吸道炎。</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皮肤接触可引起灼伤。</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口服后，口腔、食管、胃部烧灼痛，腹绞痛、呕吐血性胃内容物，血性腹泻。有时发生声哑、吞咽困难、休克、消化道穿孔。后期可发生胃肠道狭窄。</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氢氧化钠溅入眼内，可发生结膜炎、结膜水肿、结膜和角膜坏死。严重者可致失明。</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皮肤接触：立即用水冲洗至少15分钟。若有灼伤，就医治疗。</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眼睛接触：立即提起眼睑，用流动清水或生理盐水冲洗至少15分钟。或用3%硼酸溶液冲洗。就医。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吸入：迅速脱离现场至空气新鲜处。必要时进行人工呼吸。就医。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食入：患者清醒时立即漱口，口服稀释的醋或柠檬汁，就医。</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用水、砂土扑救，但须防止物品遇水产生飞溅，造成灼伤。</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处理泄漏物须穿戴防护眼镜与手套。扫起，慢慢倒至大量水中，地面用水冲洗，经稀释的污水放入废水系统。</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包装标志：腐蚀品。包装方法：（II）类。固碱可装入钢桶中严封，塑料袋、编织袋外成组包装；或塑料瓶外木箱。液碱散装储运。</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储运条件：防止容器破损。储存于干燥的地方，防止受潮。与酸类、铝、锡、铅、锌及其合金、爆炸物、有机过氧化物、铵盐及易燃物隔离储运。操作人员必须穿戴防护用品。</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980" w:type="dxa"/>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车间空气卫生标准：中国MAC苛性碱 .5mg/m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 xml:space="preserve">（以NaOH计）；美国ACGIHTLVC </w:t>
            </w:r>
            <w:r w:rsidRPr="00677D1F">
              <w:rPr>
                <w:rFonts w:ascii="宋体" w:eastAsia="宋体" w:hAnsi="宋体" w:cs="宋体"/>
                <w:color w:val="000000"/>
                <w:kern w:val="0"/>
                <w:sz w:val="18"/>
                <w:szCs w:val="18"/>
              </w:rPr>
              <w:t>mg/m</w:t>
            </w:r>
            <w:r w:rsidRPr="00677D1F">
              <w:rPr>
                <w:rFonts w:ascii="宋体" w:eastAsia="宋体" w:hAnsi="宋体" w:cs="宋体"/>
                <w:color w:val="000000"/>
                <w:kern w:val="0"/>
                <w:sz w:val="18"/>
                <w:szCs w:val="18"/>
                <w:vertAlign w:val="superscript"/>
              </w:rPr>
              <w:t>3</w:t>
            </w:r>
          </w:p>
        </w:tc>
      </w:tr>
    </w:tbl>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表8.2-3（8）  次氯酸钠物理化学、毒理学性质</w:t>
      </w:r>
    </w:p>
    <w:tbl>
      <w:tblPr>
        <w:tblStyle w:val="aa"/>
        <w:tblW w:w="9072" w:type="dxa"/>
        <w:jc w:val="center"/>
        <w:tblLayout w:type="fixed"/>
        <w:tblLook w:val="04A0" w:firstRow="1" w:lastRow="0" w:firstColumn="1" w:lastColumn="0" w:noHBand="0" w:noVBand="1"/>
      </w:tblPr>
      <w:tblGrid>
        <w:gridCol w:w="1092"/>
        <w:gridCol w:w="7980"/>
      </w:tblGrid>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98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83501</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微黄色溶液，有似氯气的气味。相对密度（水=1）1.10，溶于水，不稳定，沸点102.2℃，</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危险标记：20（腐蚀品）</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危险特性</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受高热分解产生有毒的腐蚀性气体。有腐蚀性。</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吸入、食入、经皮吸收。</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简介</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：8500mg/kg（小鼠经口）</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健康危害</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次氯酸钠放出的游离氯可引起中毒，亦可引起皮肤病。已知本品有致敏作用。用次</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氯酸钠漂白液洗手的工人，手掌大量出汗，指甲变薄，毛发脱落。</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处理</w:t>
            </w:r>
          </w:p>
        </w:tc>
        <w:tc>
          <w:tcPr>
            <w:tcW w:w="7980" w:type="dxa"/>
            <w:vAlign w:val="center"/>
          </w:tcPr>
          <w:p w:rsidR="00D228BE" w:rsidRPr="00677D1F" w:rsidRDefault="00D228BE" w:rsidP="00677D1F">
            <w:pPr>
              <w:widowControl/>
              <w:contextualSpacing/>
              <w:rPr>
                <w:rFonts w:ascii="宋体" w:eastAsia="宋体" w:hAnsi="宋体" w:cs="宋体"/>
                <w:color w:val="000000"/>
                <w:kern w:val="0"/>
                <w:sz w:val="18"/>
                <w:szCs w:val="18"/>
              </w:rPr>
            </w:pP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有害燃烧产物：氯化物。</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灭火方法：采用雾状水、二氧化碳、砂土灭火。</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防护措施</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工程控制：生产过程密闭，全面通风。提供安全淋浴和洗眼设备。</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呼吸系统防护：高浓度环境中，应该佩戴直接式防毒面具（半面罩）。</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眼睛防护：戴化学安全防护眼镜。</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身体防护：穿防腐工作服。</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手防护：戴橡胶手套。</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其他防护：工作现场禁止吸烟、进食和饮水。工作完毕，淋浴更衣。注意个人清洁卫生。</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泄漏处理</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迅速撤离泄漏污染区人员至安全区，并进行隔离，严格限制出入。建议应急处理人员戴自给正压式呼吸器，穿防酸碱工作服。不要直接接触泄漏物。尽可能切断泄漏源。小量泄漏：用砂土、蛭石或其它惰性材料吸收。大量泄漏：构筑围堤或挖坑收容。用泡沫覆盖，降低蒸气灾害。用泵转移至槽车或专用收集器内，回收或运至废物处理场所处置。</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皮肤接触：脱去污染的衣着，用大量流动清水冲洗。</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眼睛接触：提起眼睑，用流动清水或生理盐水冲洗。就医。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吸入：迅速脱离现场至空气新鲜处。保持呼吸道通畅。如呼吸困难，给输氧。如呼吸停止，立即进行人工呼吸。就医。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食入：饮足量温水，催吐。就医。</w:t>
            </w:r>
          </w:p>
        </w:tc>
      </w:tr>
      <w:tr w:rsidR="00D228BE" w:rsidRPr="00677D1F">
        <w:trPr>
          <w:trHeight w:val="340"/>
          <w:jc w:val="center"/>
        </w:trPr>
        <w:tc>
          <w:tcPr>
            <w:tcW w:w="1092"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980"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方法：耐酸坛或陶瓷瓶外普通木箱或半花格木箱；玻璃瓶或塑料桶（罐）外普通木箱或半花格木箱；磨砂口玻璃瓶或螺纹口玻璃瓶外普通木箱；螺纹口玻璃瓶、铁盖压口玻璃瓶、塑料瓶或金属桶（罐）外普通木箱；螺纹口玻璃瓶、塑料瓶或镀锡薄钢板桶（罐）外满底板花格箱、纤维板箱或胶合板箱。</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运输注意事项：起运时包装要完整，装载应稳妥。运输过程中要确保容器不泄漏、不倒塌、不坠落、不损坏。严禁与碱类、食用化学品等混装混运。运输时运输车辆应配备泄漏应急处理设备。运输途中应防曝晒、雨淋，防高温。公路运输时要按规定路线行驶，勿在居民区和人口稠密区停留。</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储存注意事项：储存于阴凉、通风的库房。远离火种、热源。库温不宜超过30℃。应与酸类分开存放，切忌混储。储区应备有泄漏应急处理设备和合适的收容材料。</w:t>
            </w: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表8.2-3（9）  盐酸物理化学、毒理学性质</w:t>
      </w:r>
    </w:p>
    <w:tbl>
      <w:tblPr>
        <w:tblStyle w:val="aa"/>
        <w:tblW w:w="9072" w:type="dxa"/>
        <w:jc w:val="center"/>
        <w:tblLayout w:type="fixed"/>
        <w:tblLook w:val="04A0" w:firstRow="1" w:lastRow="0" w:firstColumn="1" w:lastColumn="0" w:noHBand="0" w:noVBand="1"/>
      </w:tblPr>
      <w:tblGrid>
        <w:gridCol w:w="524"/>
        <w:gridCol w:w="1843"/>
        <w:gridCol w:w="1417"/>
        <w:gridCol w:w="625"/>
        <w:gridCol w:w="85"/>
        <w:gridCol w:w="709"/>
        <w:gridCol w:w="1194"/>
        <w:gridCol w:w="275"/>
        <w:gridCol w:w="2400"/>
      </w:tblGrid>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识</w:t>
            </w:r>
          </w:p>
        </w:tc>
        <w:tc>
          <w:tcPr>
            <w:tcW w:w="3885"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英文名：Hydrochloricacid</w:t>
            </w:r>
          </w:p>
        </w:tc>
        <w:tc>
          <w:tcPr>
            <w:tcW w:w="198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分子式：HCl</w:t>
            </w:r>
          </w:p>
        </w:tc>
        <w:tc>
          <w:tcPr>
            <w:tcW w:w="267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分子量：36.5</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5873" w:type="dxa"/>
            <w:gridSpan w:val="6"/>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危险货物编号：81013</w:t>
            </w:r>
          </w:p>
        </w:tc>
        <w:tc>
          <w:tcPr>
            <w:tcW w:w="267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UN编号：1789</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3260"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RTECS号：MW4025000</w:t>
            </w:r>
          </w:p>
        </w:tc>
        <w:tc>
          <w:tcPr>
            <w:tcW w:w="2613" w:type="dxa"/>
            <w:gridSpan w:val="4"/>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IMDG规则页码：8174</w:t>
            </w:r>
          </w:p>
        </w:tc>
        <w:tc>
          <w:tcPr>
            <w:tcW w:w="267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CAS号：7647-01-0</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化</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质</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外观与性状</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无色或微黄色发烟液体，有刺鼻的酸味。</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主要用途</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重要的无机化工原料，广泛用于染料、医药、食品、印染、皮革、冶金等行业。</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熔点（℃）</w:t>
            </w:r>
          </w:p>
        </w:tc>
        <w:tc>
          <w:tcPr>
            <w:tcW w:w="2127"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-114.8℃/纯</w:t>
            </w:r>
          </w:p>
        </w:tc>
        <w:tc>
          <w:tcPr>
            <w:tcW w:w="217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相对密度（空气=1）</w:t>
            </w:r>
          </w:p>
        </w:tc>
        <w:tc>
          <w:tcPr>
            <w:tcW w:w="240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1.26</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沸点（℃）</w:t>
            </w:r>
          </w:p>
        </w:tc>
        <w:tc>
          <w:tcPr>
            <w:tcW w:w="2127"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108.6℃/20%</w:t>
            </w:r>
          </w:p>
        </w:tc>
        <w:tc>
          <w:tcPr>
            <w:tcW w:w="217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相对密度（水）=1</w:t>
            </w:r>
          </w:p>
        </w:tc>
        <w:tc>
          <w:tcPr>
            <w:tcW w:w="240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1.20</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临界温度（℃</w:t>
            </w:r>
          </w:p>
        </w:tc>
        <w:tc>
          <w:tcPr>
            <w:tcW w:w="2127"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51.4</w:t>
            </w:r>
          </w:p>
        </w:tc>
        <w:tc>
          <w:tcPr>
            <w:tcW w:w="217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临界压力（MPa）</w:t>
            </w:r>
          </w:p>
        </w:tc>
        <w:tc>
          <w:tcPr>
            <w:tcW w:w="240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82.1</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饱和蒸气压（kPa）</w:t>
            </w:r>
          </w:p>
        </w:tc>
        <w:tc>
          <w:tcPr>
            <w:tcW w:w="2127"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30.66kPa（21℃）</w:t>
            </w:r>
          </w:p>
        </w:tc>
        <w:tc>
          <w:tcPr>
            <w:tcW w:w="217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燃烧热（kJ/mol）</w:t>
            </w:r>
          </w:p>
        </w:tc>
        <w:tc>
          <w:tcPr>
            <w:tcW w:w="240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溶解性</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溶解性：与水混溶，溶于碱液。</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及</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健</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康</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w:t>
            </w:r>
          </w:p>
          <w:p w:rsidR="00D228BE" w:rsidRPr="00677D1F" w:rsidRDefault="00332EB6" w:rsidP="00677D1F">
            <w:pPr>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害</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接触限值</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中国MAC 15mg/m</w:t>
            </w:r>
            <w:r w:rsidRPr="00677D1F">
              <w:rPr>
                <w:rFonts w:ascii="宋体" w:eastAsia="宋体" w:hAnsi="宋体" w:cs="宋体" w:hint="eastAsia"/>
                <w:color w:val="000000"/>
                <w:kern w:val="0"/>
                <w:sz w:val="18"/>
                <w:szCs w:val="18"/>
                <w:vertAlign w:val="superscript"/>
              </w:rPr>
              <w:t>3</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侵入途径</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吸入、食入</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毒性</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毒性：LD</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900mg/kg（兔经口）LC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3124ppm，1小时（大鼠吸入）</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健康危害</w:t>
            </w:r>
          </w:p>
        </w:tc>
        <w:tc>
          <w:tcPr>
            <w:tcW w:w="6705" w:type="dxa"/>
            <w:gridSpan w:val="7"/>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接触其蒸气或烟雾，引起眼结膜炎，鼻及口腔粘膜有烧灼感，鼻衄、齿龈出血、气管炎；刺激皮肤发生皮炎，慢性支气管炎等病变。误服盐酸中毒，可引起消化道灼伤、溃疡形成，有可能胃穿孔、腹膜炎等。眼：刺激、流泪。有腐蚀作用。</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本品烟雾吸入后即刻引起上呼吸道粘膜刺激症状，出现呛咳、流泪、咳嗽、胸闷、呼吸加快；检查可见鼻腔及咽喉粘膜充血及水肿，并有浆液性分泌物；肺部可闻及干性或湿性罗音。吸入高浓度烟雾可引起肺水肿，出现紫绀，呼吸及脉搏加快，咳嗽加重，咳血性泡沫痰；两肺可闻湿罗音，体温升高或正常，血压下降。胸</w:t>
            </w:r>
            <w:r w:rsidRPr="00677D1F">
              <w:rPr>
                <w:rFonts w:ascii="宋体" w:eastAsia="宋体" w:hAnsi="宋体" w:cs="宋体" w:hint="eastAsia"/>
                <w:color w:val="000000"/>
                <w:kern w:val="0"/>
                <w:sz w:val="18"/>
                <w:szCs w:val="18"/>
              </w:rPr>
              <w:lastRenderedPageBreak/>
              <w:t>部Ｘ线检查可见肺水肿影象。高浓度吸入时，有时尚可引起喉痉挛或水肿，甚至导致窒息，很快死亡，其原因是由于喉痉挛或支气管痉挛，或反射性呼吸中枢抑制。</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误服：误服盐酸后，口腔、咽部、胸骨后和腹部发生剧烈的灼热性疼痛。嘴唇，口腔和咽部可见有灼伤，甚至形成溃疡。呕吐物中有大量褐色物及食道及胃粘膜的碎片；严重者可发生胃穿孔、腹膜炎、声音嘶哑和吞咽困难，以及便秘、腹泻等。</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皮肤：皮肤受氯化氢气体或盐酸雾刺激后，可发生皮炎，局部潮红、痒感，或出现红色小丘疹以至水泡；若皮肤接触盐酸液体，则可造成化学性灼伤。</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急救方法</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眼：用大量清水冲洗至少15分钟。就医</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皮肤：用大量清水冲洗。脱去污染的衣服。就医。</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误服：严禁洗胃，也不可催吐，以免加重损伤或引起胃穿孔。可用2.5％氧化镁溶液、牛奶、豆浆、蛋清、花生油等口服。禁用碳酸氢钠洗胃（或口服），以免产生二氧化碳而增加胃穿孔的危险。其他进行对症疗法。</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吸入：转移至新鲜空气处。如呼吸停止，给人工呼吸。如呼吸困难，给氧。立即就医。</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燃</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爆</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炸</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险</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燃烧性</w:t>
            </w:r>
          </w:p>
        </w:tc>
        <w:tc>
          <w:tcPr>
            <w:tcW w:w="1417"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不燃</w:t>
            </w:r>
          </w:p>
        </w:tc>
        <w:tc>
          <w:tcPr>
            <w:tcW w:w="141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燃烧分解物</w:t>
            </w:r>
          </w:p>
        </w:tc>
        <w:tc>
          <w:tcPr>
            <w:tcW w:w="386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氯化氢</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闪点（℃）</w:t>
            </w:r>
          </w:p>
        </w:tc>
        <w:tc>
          <w:tcPr>
            <w:tcW w:w="1417"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41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爆炸上限（v%）</w:t>
            </w:r>
          </w:p>
        </w:tc>
        <w:tc>
          <w:tcPr>
            <w:tcW w:w="386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引燃温度（℃）</w:t>
            </w:r>
          </w:p>
        </w:tc>
        <w:tc>
          <w:tcPr>
            <w:tcW w:w="1417"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41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爆炸下限（v%）</w:t>
            </w:r>
          </w:p>
        </w:tc>
        <w:tc>
          <w:tcPr>
            <w:tcW w:w="386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危险特性</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能与一些活性金属粉末发生反应，放出氢气。遇氰化物能产生剧毒的氰化氢气体。与碱发生中合反应，并放出大量的热。具有强腐蚀性。</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稳定性</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稳定</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聚合危害</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不聚合</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禁忌物</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碱类、胺类、碱金属、易燃或可燃物</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灭火方法</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用水或适合于周围燃烧物质的灭火剂。</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防</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护</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措</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施</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泄漏应急处理</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储运注意事项</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方法：耐酸坛或陶瓷瓶外普通木箱或半花格木箱；玻璃瓶或塑料桶（罐）外普通木箱或半花格木箱；磨砂口玻璃瓶或螺纹口玻璃瓶外普通木箱；螺纹口玻璃瓶、铁盖压口玻璃瓶、塑料瓶或金属桶（罐）外普通木箱。</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注意事项：本品铁路运输时限使用有像胶衬里钢制罐车或特制塑料企业自备罐车装运，装运前需报有关部门批准。铁路运输时应严格按照铁道部《危险货物运输规则》中的危险货物配装表进行配装。起运时包装要完整，装载应稳妥。运输过程中要确保容器不泄漏、不倒塌、不坠落、不损坏。严禁与碱类、胺类、碱金属、易燃物或可燃物、食用化学品等混装混运。运输时运输车辆应配备泄漏应急处理设备。运输途中应防曝晒、雨淋，防高温。公路运输时要按规定路线行驶，勿在居民区和人口稠密区停留。</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防护措施</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呼吸系统防护：可能接触其蒸气或烟雾时，必须佩戴防毒面具或供气式头盔。紧急事态抢救或逃生时，建议佩带自给式呼吸器。</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眼睛防护：戴化学安全防护眼镜。</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防护服：穿工作服（防腐材料制作）。</w:t>
            </w:r>
          </w:p>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手防护：戴橡皮手套。</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其它</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工作后，淋浴更衣。单独存放被毒物污染的衣服，洗后再用。保持良好的卫生习惯。</w:t>
            </w:r>
          </w:p>
        </w:tc>
      </w:tr>
    </w:tbl>
    <w:p w:rsidR="00D228BE" w:rsidRPr="00677D1F" w:rsidRDefault="00D228BE" w:rsidP="00677D1F">
      <w:pPr>
        <w:widowControl/>
        <w:spacing w:line="240" w:lineRule="exact"/>
        <w:contextualSpacing/>
        <w:rPr>
          <w:rFonts w:ascii="黑体" w:eastAsia="黑体" w:hAnsi="黑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表8.2-3（10）  硫酸物理化学、毒理学性质</w:t>
      </w:r>
    </w:p>
    <w:tbl>
      <w:tblPr>
        <w:tblStyle w:val="aa"/>
        <w:tblW w:w="9072" w:type="dxa"/>
        <w:jc w:val="center"/>
        <w:tblLayout w:type="fixed"/>
        <w:tblLook w:val="04A0" w:firstRow="1" w:lastRow="0" w:firstColumn="1" w:lastColumn="0" w:noHBand="0" w:noVBand="1"/>
      </w:tblPr>
      <w:tblGrid>
        <w:gridCol w:w="1367"/>
        <w:gridCol w:w="7705"/>
      </w:tblGrid>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70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81007</w:t>
            </w:r>
            <w:r w:rsidRPr="00677D1F">
              <w:rPr>
                <w:rFonts w:ascii="宋体" w:eastAsia="宋体" w:hAnsi="宋体" w:cs="宋体" w:hint="eastAsia"/>
                <w:color w:val="000000"/>
                <w:kern w:val="0"/>
                <w:sz w:val="18"/>
                <w:szCs w:val="18"/>
              </w:rPr>
              <w:t xml:space="preserve">  </w:t>
            </w:r>
            <w:r w:rsidRPr="00677D1F">
              <w:rPr>
                <w:rFonts w:ascii="宋体" w:eastAsia="宋体" w:hAnsi="宋体" w:cs="宋体"/>
                <w:color w:val="000000"/>
                <w:kern w:val="0"/>
                <w:sz w:val="18"/>
                <w:szCs w:val="18"/>
              </w:rPr>
              <w:t>UN</w:t>
            </w:r>
            <w:r w:rsidRPr="00677D1F">
              <w:rPr>
                <w:rFonts w:ascii="宋体" w:eastAsia="宋体" w:hAnsi="宋体" w:cs="宋体" w:hint="eastAsia"/>
                <w:color w:val="000000"/>
                <w:kern w:val="0"/>
                <w:sz w:val="18"/>
                <w:szCs w:val="18"/>
              </w:rPr>
              <w:t xml:space="preserve"> </w:t>
            </w:r>
            <w:r w:rsidRPr="00677D1F">
              <w:rPr>
                <w:rFonts w:ascii="宋体" w:eastAsia="宋体" w:hAnsi="宋体" w:cs="宋体"/>
                <w:color w:val="000000"/>
                <w:kern w:val="0"/>
                <w:sz w:val="18"/>
                <w:szCs w:val="18"/>
              </w:rPr>
              <w:t>NO.1830</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硫酸纯品为透明、无色、无嗅的油状液体，有杂质颜色变深，甚至发黑。分子式H2SO4。分子量：98.08。其相对密度及凝固点也随其含量变化而不同。相对密度1.841（96～98%）。凝固点10.35℃（100%）、3℃（98%）、-32℃（93%）、-38℃（78%）、-44℃（74%）、-64℃（65%）。沸点290℃。蒸气压0.13kPa（145.8℃）。对水有很大亲和力。从空气和有机物中吸收水分。与水、醇混合产生大量热，体积缩小。用水稀释时因把酸加到稀释水中，以免酸沸溅。加热到340℃分解成三氧化硫和水。</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稀酸能与许多金属反应，放出氢气。浓酸对铅和低碳钢无腐蚀，是一种很强酸性氧化剂。与许多物质接触能燃烧甚至爆炸，能与氧化剂或还原剂反应。</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用水、干粉或二氧化碳灭火。避免直接将水喷入硫酸，以免遇水会放出大量热灼伤皮肤。消防人员必须穿戴全身防护服及其用品，防止灼伤。</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标志：腐蚀品。包装方法：（II）类。玻璃瓶外木箱，酸坛外木格箱或铁罐车运输。储运条件：硫酸应单独储存于通风、阴凉和干燥的地方，并有耐酸地坪。避免日光直射。远离火源。贮槽应有足够的通气孔，四周有“堤坝”围住，以防贮罐泄漏。严禁与铬酸盐、氯酸盐、电石、氟化物、高氯酸盐、雷酸盐、硝酸盐、苦味酸盐、金属粉末、可燃物共储混运。工作人员须穿戴耐酸工作服、橡皮围裙、长统靴、手套及防护眼镜和口罩。仓库附近应装有消防龙头及水管。装运时勿把水直接倒入硫酸，以防酸液爆炸性反应。</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泄漏物处理必须戴好防毒面具与手套，污染地面洒上碳酸钠，用水冲洗，经稀释的污水放入废水系统。</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可经呼吸道、消化道及皮肤迅速吸收。</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毒理学简介</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大鼠经口LD50：2140mg/kg；吸入LC：510mg/m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/2H。小鼠吸入LC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：320mg/m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/2H。</w:t>
            </w:r>
          </w:p>
          <w:p w:rsidR="00D228BE" w:rsidRPr="00677D1F" w:rsidRDefault="00332EB6" w:rsidP="00677D1F">
            <w:pPr>
              <w:widowControl/>
              <w:contextualSpacing/>
              <w:rPr>
                <w:rFonts w:ascii="宋体" w:eastAsia="宋体" w:hAnsi="宋体" w:cs="宋体"/>
                <w:kern w:val="0"/>
                <w:sz w:val="18"/>
                <w:szCs w:val="18"/>
              </w:rPr>
            </w:pPr>
            <w:r w:rsidRPr="00677D1F">
              <w:rPr>
                <w:rFonts w:ascii="宋体" w:eastAsia="宋体" w:hAnsi="宋体" w:cs="宋体" w:hint="eastAsia"/>
                <w:color w:val="000000"/>
                <w:kern w:val="0"/>
                <w:sz w:val="18"/>
                <w:szCs w:val="18"/>
              </w:rPr>
              <w:t>硫酸液体对皮肤、粘膜有刺激和腐蚀作用。雾对粘膜的刺激作用较二氧化硫为强，主要使组织脱水，蛋白质凝固，可造成局部坏死。对呼吸道的毒作用部位因吸入浓度和雾滴大小而不同。</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人的嗅觉阈为1mg/m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。2mg/m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浓度可引起鼻、咽部刺激症状，6～8mg/m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引起剧烈咳嗽。口服浓硫酸1ml可致死。</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临床表现</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急性吸入中毒：吸入酸雾后可引起明显的上呼吸道刺激症状及支气管炎，重者可迅速发生化学性肺炎或肺水肿，高浓度时可引起喉痉挛和水肿而致窒息。伴有结膜炎和咽炎。急性口服中毒：可引起消化道灼伤。立即出现口、咽部、胸骨后及腹部剧烈烧灼痛，唇、口腔、咽部糜烂、溃疡，声音嘶哑，吞咽困难，呕血，呕吐物中可有食道和胃粘膜碎片，便血；严重可发生喉水肿或胃肠道穿孔，肾脏损害。</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皮肤灼伤：皮肤接触浓硫酸后局部刺痛，未作处理者可由潮红转为暗褐色，继而可发生溃疡，界限清楚，周围微肿，疼痛剧烈。</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眼灼伤：贱入眼内可引起结膜炎、结膜水肿、角膜溃疡以至穿孔。</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处理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吸入硫酸雾者立即脱离现场至空气新鲜处，保持安静及保暖。眼或皮肤接触液体时立即先用柔软清洁的布吸去再迅速用清水彻底冲洗。口服者已出现消化道腐蚀症状时忌催吐及洗胃。</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后有症状者对症处理。吸入量较多者应卧床休息、吸氧、给舒喘灵气雾剂或地塞米松等雾化吸入。急性中毒者需合理氧疗；早期、适量、短程应用糖皮质激素；维持呼吸道通畅；防治喉水肿或痉挛；防治肺水肿，参见&lt;化学物所致急性喉水肿的治疗&gt;，&lt;急性刺激性气体中毒性肺水肿的治疗&gt;。</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口服中毒的处理参见&lt;消化道酸碱灼伤的治疗&gt;。</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皮肤灼伤的处理参见&lt;化学性皮肤灼伤的治疗&gt;。</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眼灼伤的处理参见&lt;化学性眼灼伤的治疗&gt;。创面较大时，需用抗生素预防感染。</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标准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车间空气卫生标准：中国MAC硫酸及三氧化硫2mg/m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；美国ACGIH硫酸TLV-TWA1mg/m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，STEL3mg/m</w:t>
            </w:r>
            <w:r w:rsidRPr="00677D1F">
              <w:rPr>
                <w:rFonts w:ascii="宋体" w:eastAsia="宋体" w:hAnsi="宋体" w:cs="宋体" w:hint="eastAsia"/>
                <w:color w:val="000000"/>
                <w:kern w:val="0"/>
                <w:sz w:val="18"/>
                <w:szCs w:val="18"/>
                <w:vertAlign w:val="superscript"/>
              </w:rPr>
              <w:t>3</w:t>
            </w:r>
          </w:p>
        </w:tc>
      </w:tr>
    </w:tbl>
    <w:p w:rsidR="00D228BE" w:rsidRPr="00677D1F" w:rsidRDefault="00D228BE" w:rsidP="00677D1F">
      <w:pPr>
        <w:widowControl/>
        <w:spacing w:line="240" w:lineRule="exact"/>
        <w:contextualSpacing/>
        <w:rPr>
          <w:rFonts w:ascii="宋体" w:eastAsia="宋体" w:hAnsi="宋体" w:cs="宋体"/>
          <w:kern w:val="0"/>
          <w:sz w:val="18"/>
          <w:szCs w:val="18"/>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表8.2-3（11）  硝酸物理化学、毒理学性质</w:t>
      </w:r>
    </w:p>
    <w:tbl>
      <w:tblPr>
        <w:tblStyle w:val="aa"/>
        <w:tblW w:w="9072" w:type="dxa"/>
        <w:jc w:val="center"/>
        <w:tblLayout w:type="fixed"/>
        <w:tblLook w:val="04A0" w:firstRow="1" w:lastRow="0" w:firstColumn="1" w:lastColumn="0" w:noHBand="0" w:noVBand="1"/>
      </w:tblPr>
      <w:tblGrid>
        <w:gridCol w:w="524"/>
        <w:gridCol w:w="1843"/>
        <w:gridCol w:w="1417"/>
        <w:gridCol w:w="625"/>
        <w:gridCol w:w="85"/>
        <w:gridCol w:w="709"/>
        <w:gridCol w:w="1194"/>
        <w:gridCol w:w="275"/>
        <w:gridCol w:w="2400"/>
      </w:tblGrid>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识</w:t>
            </w:r>
          </w:p>
        </w:tc>
        <w:tc>
          <w:tcPr>
            <w:tcW w:w="3885"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英文名：</w:t>
            </w:r>
            <w:r w:rsidRPr="00677D1F">
              <w:rPr>
                <w:rFonts w:ascii="宋体" w:eastAsia="宋体" w:hAnsi="宋体" w:cs="宋体"/>
                <w:color w:val="000000"/>
                <w:kern w:val="0"/>
                <w:sz w:val="18"/>
                <w:szCs w:val="18"/>
              </w:rPr>
              <w:t>Aqua</w:t>
            </w:r>
            <w:r w:rsidRPr="00677D1F">
              <w:rPr>
                <w:rFonts w:ascii="宋体" w:eastAsia="宋体" w:hAnsi="宋体" w:cs="宋体" w:hint="eastAsia"/>
                <w:color w:val="000000"/>
                <w:kern w:val="0"/>
                <w:sz w:val="18"/>
                <w:szCs w:val="18"/>
              </w:rPr>
              <w:t xml:space="preserve"> </w:t>
            </w:r>
            <w:r w:rsidRPr="00677D1F">
              <w:rPr>
                <w:rFonts w:ascii="宋体" w:eastAsia="宋体" w:hAnsi="宋体" w:cs="宋体"/>
                <w:color w:val="000000"/>
                <w:kern w:val="0"/>
                <w:sz w:val="18"/>
                <w:szCs w:val="18"/>
              </w:rPr>
              <w:t>fortis</w:t>
            </w:r>
          </w:p>
        </w:tc>
        <w:tc>
          <w:tcPr>
            <w:tcW w:w="198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分子式：</w:t>
            </w:r>
            <w:r w:rsidRPr="00677D1F">
              <w:rPr>
                <w:rFonts w:ascii="宋体" w:eastAsia="宋体" w:hAnsi="宋体" w:cs="宋体" w:hint="eastAsia"/>
                <w:color w:val="000000"/>
                <w:kern w:val="0"/>
                <w:szCs w:val="21"/>
              </w:rPr>
              <w:t>HNO</w:t>
            </w:r>
            <w:r w:rsidRPr="00677D1F">
              <w:rPr>
                <w:rFonts w:ascii="宋体" w:eastAsia="宋体" w:hAnsi="宋体" w:cs="宋体" w:hint="eastAsia"/>
                <w:color w:val="000000"/>
                <w:kern w:val="0"/>
                <w:szCs w:val="21"/>
                <w:vertAlign w:val="subscript"/>
              </w:rPr>
              <w:t>3</w:t>
            </w:r>
          </w:p>
        </w:tc>
        <w:tc>
          <w:tcPr>
            <w:tcW w:w="267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分子量：</w:t>
            </w:r>
            <w:r w:rsidRPr="00677D1F">
              <w:rPr>
                <w:rFonts w:ascii="宋体" w:eastAsia="宋体" w:hAnsi="宋体" w:cs="宋体"/>
                <w:color w:val="000000"/>
                <w:kern w:val="0"/>
                <w:sz w:val="18"/>
                <w:szCs w:val="18"/>
              </w:rPr>
              <w:t>63.0</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5873" w:type="dxa"/>
            <w:gridSpan w:val="6"/>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危险货物编号：81002</w:t>
            </w:r>
          </w:p>
        </w:tc>
        <w:tc>
          <w:tcPr>
            <w:tcW w:w="267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UN编号：2031</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3260"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RTECS号：-</w:t>
            </w:r>
          </w:p>
        </w:tc>
        <w:tc>
          <w:tcPr>
            <w:tcW w:w="2613" w:type="dxa"/>
            <w:gridSpan w:val="4"/>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IMDG规则页码：8185页，8类。</w:t>
            </w:r>
          </w:p>
        </w:tc>
        <w:tc>
          <w:tcPr>
            <w:tcW w:w="2675" w:type="dxa"/>
            <w:gridSpan w:val="2"/>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CAS号：7697-37-2</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化</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质</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外观与性状</w:t>
            </w:r>
          </w:p>
        </w:tc>
        <w:tc>
          <w:tcPr>
            <w:tcW w:w="6705" w:type="dxa"/>
            <w:gridSpan w:val="7"/>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透明、无色或带黄色有独特的窒息性气味的腐蚀性液体。</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主要用途</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是一种用途极广的重要化工原料之一，广泛地用于化肥、国防、冶金、化纤、化工、染料，制药等工业。</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熔点（℃）</w:t>
            </w:r>
          </w:p>
        </w:tc>
        <w:tc>
          <w:tcPr>
            <w:tcW w:w="2127"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（-41.59）℃；（-37.68）℃（一水物）蒸气密度（空气=1）</w:t>
            </w:r>
          </w:p>
        </w:tc>
        <w:tc>
          <w:tcPr>
            <w:tcW w:w="217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蒸汽密度（空气=1）</w:t>
            </w:r>
          </w:p>
        </w:tc>
        <w:tc>
          <w:tcPr>
            <w:tcW w:w="240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沸点（℃）</w:t>
            </w:r>
          </w:p>
        </w:tc>
        <w:tc>
          <w:tcPr>
            <w:tcW w:w="2127"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83℃；</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120.5℃（68%硝酸）</w:t>
            </w:r>
          </w:p>
        </w:tc>
        <w:tc>
          <w:tcPr>
            <w:tcW w:w="2178"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相对密度（水）=1</w:t>
            </w:r>
          </w:p>
        </w:tc>
        <w:tc>
          <w:tcPr>
            <w:tcW w:w="2400"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1.503（25</w:t>
            </w:r>
            <w:r w:rsidRPr="00677D1F">
              <w:rPr>
                <w:rFonts w:ascii="宋体" w:eastAsia="宋体" w:hAnsi="宋体" w:cs="宋体" w:hint="eastAsia"/>
                <w:color w:val="000000"/>
                <w:kern w:val="0"/>
                <w:sz w:val="18"/>
                <w:szCs w:val="18"/>
              </w:rPr>
              <w:t>℃</w:t>
            </w:r>
            <w:r w:rsidRPr="00677D1F">
              <w:rPr>
                <w:rFonts w:ascii="宋体" w:eastAsia="宋体" w:hAnsi="宋体" w:cs="宋体"/>
                <w:color w:val="000000"/>
                <w:kern w:val="0"/>
                <w:sz w:val="18"/>
                <w:szCs w:val="18"/>
              </w:rPr>
              <w:t>）</w:t>
            </w:r>
            <w:r w:rsidRPr="00677D1F">
              <w:rPr>
                <w:rFonts w:ascii="宋体" w:eastAsia="宋体" w:hAnsi="宋体" w:cs="宋体" w:hint="eastAsia"/>
                <w:color w:val="000000"/>
                <w:kern w:val="0"/>
                <w:sz w:val="18"/>
                <w:szCs w:val="18"/>
              </w:rPr>
              <w:t>；</w:t>
            </w:r>
          </w:p>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1.41（20℃）（68%硝酸）</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及</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健</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康</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w:t>
            </w:r>
          </w:p>
          <w:p w:rsidR="00D228BE" w:rsidRPr="00677D1F" w:rsidRDefault="00332EB6" w:rsidP="00677D1F">
            <w:pPr>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害</w:t>
            </w:r>
          </w:p>
        </w:tc>
        <w:tc>
          <w:tcPr>
            <w:tcW w:w="1843" w:type="dxa"/>
            <w:vAlign w:val="center"/>
          </w:tcPr>
          <w:p w:rsidR="00D228BE" w:rsidRPr="00677D1F" w:rsidRDefault="00332EB6" w:rsidP="00677D1F">
            <w:pPr>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侵入途径</w:t>
            </w:r>
          </w:p>
        </w:tc>
        <w:tc>
          <w:tcPr>
            <w:tcW w:w="6705" w:type="dxa"/>
            <w:gridSpan w:val="7"/>
            <w:vAlign w:val="center"/>
          </w:tcPr>
          <w:p w:rsidR="00D228BE" w:rsidRPr="00677D1F" w:rsidRDefault="00332EB6" w:rsidP="00677D1F">
            <w:pPr>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硝酸液及硝酸蒸气对皮肤和粘膜有强刺激和腐蚀作用。浓硝酸烟雾可释放出五氧化二氮（硝酐）遇水蒸气形成酸雾，可迅速分解而形成二氧化氮，浓硝酸加热时产生硝酸蒸气，也可分解产生二氧化氮，吸入后可引起急性氮氧化物中毒。人在低于12ppm（30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）左右时未见明显的损害。吸入可引起肺炎。大鼠吸入LC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49ppm/4H。</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急救方法</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立即脱离事故现场至空气新鲜处。眼或皮肤污染时立即用大量清水冲洗15分钟以上。口服后立即用清水漱口，有消化道损伤时洗胃需谨慎。</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燃</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烧</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爆</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炸</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险</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性</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燃烧性</w:t>
            </w:r>
          </w:p>
        </w:tc>
        <w:tc>
          <w:tcPr>
            <w:tcW w:w="1417"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不燃</w:t>
            </w:r>
          </w:p>
        </w:tc>
        <w:tc>
          <w:tcPr>
            <w:tcW w:w="141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燃烧分解物</w:t>
            </w:r>
          </w:p>
        </w:tc>
        <w:tc>
          <w:tcPr>
            <w:tcW w:w="386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氯化氢</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闪点（℃）</w:t>
            </w:r>
          </w:p>
        </w:tc>
        <w:tc>
          <w:tcPr>
            <w:tcW w:w="1417"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41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爆炸上限（v%）</w:t>
            </w:r>
          </w:p>
        </w:tc>
        <w:tc>
          <w:tcPr>
            <w:tcW w:w="386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引燃温度（℃）</w:t>
            </w:r>
          </w:p>
        </w:tc>
        <w:tc>
          <w:tcPr>
            <w:tcW w:w="1417"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c>
          <w:tcPr>
            <w:tcW w:w="141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爆炸下限（v%）</w:t>
            </w:r>
          </w:p>
        </w:tc>
        <w:tc>
          <w:tcPr>
            <w:tcW w:w="3869" w:type="dxa"/>
            <w:gridSpan w:val="3"/>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危险特性</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不燃。能与多种物质如金属粉末、电石、硫化氢、松节油等猛烈反应，发生爆炸。与可燃物、还原剂和有机物如木屑、棉花、稻草或废纱头等接触，引起燃烧，并散发出剧毒的棕色烟雾。与硝酸蒸气接触很危险。</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b/>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消防措施</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用水灭火。消防人员必须穿戴全身防护服。</w:t>
            </w:r>
          </w:p>
        </w:tc>
      </w:tr>
      <w:tr w:rsidR="00D228BE" w:rsidRPr="00677D1F">
        <w:trPr>
          <w:trHeight w:val="340"/>
          <w:jc w:val="center"/>
        </w:trPr>
        <w:tc>
          <w:tcPr>
            <w:tcW w:w="524" w:type="dxa"/>
            <w:vMerge w:val="restart"/>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防</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护</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措</w:t>
            </w:r>
          </w:p>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施</w:t>
            </w: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泄漏应急处理</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对泄漏物处理须戴好防毒面具和手套。一旦泄漏立即用水冲洗，如大量溢出，则工作人员均要撤离储库，用水或碳酸钠中和硝酸，稀释的污水pH降至5.5～8.5放入废水系统。</w:t>
            </w:r>
          </w:p>
        </w:tc>
      </w:tr>
      <w:tr w:rsidR="00D228BE" w:rsidRPr="00677D1F">
        <w:trPr>
          <w:trHeight w:val="340"/>
          <w:jc w:val="center"/>
        </w:trPr>
        <w:tc>
          <w:tcPr>
            <w:tcW w:w="524" w:type="dxa"/>
            <w:vMerge/>
            <w:vAlign w:val="center"/>
          </w:tcPr>
          <w:p w:rsidR="00D228BE" w:rsidRPr="00677D1F" w:rsidRDefault="00D228BE" w:rsidP="00677D1F">
            <w:pPr>
              <w:widowControl/>
              <w:contextualSpacing/>
              <w:jc w:val="center"/>
              <w:rPr>
                <w:rFonts w:ascii="宋体" w:eastAsia="宋体" w:hAnsi="宋体" w:cs="宋体"/>
                <w:color w:val="000000"/>
                <w:kern w:val="0"/>
                <w:sz w:val="18"/>
                <w:szCs w:val="18"/>
              </w:rPr>
            </w:pPr>
          </w:p>
        </w:tc>
        <w:tc>
          <w:tcPr>
            <w:tcW w:w="1843"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储运须知</w:t>
            </w:r>
          </w:p>
        </w:tc>
        <w:tc>
          <w:tcPr>
            <w:tcW w:w="6705" w:type="dxa"/>
            <w:gridSpan w:val="7"/>
            <w:vAlign w:val="center"/>
          </w:tcPr>
          <w:p w:rsidR="00D228BE" w:rsidRPr="00677D1F" w:rsidRDefault="00332EB6" w:rsidP="00677D1F">
            <w:pPr>
              <w:widowControl/>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包装标志：腐蚀品。副标志毒害品。包装方法：（Ⅰ）类。玻璃瓶外木箱，内衬不燃材料、耐酸坛外木格箱、铝桶或不锈钢桶装。储运条件：储存处要和其他仓间隔离，良好通风，避光，并远离热源。用耐酸地坪。大量储存地要有围墙或门栏，以防万一漏出时向外扩散。并备有中和剂。储库外要备有消防龙头和氧气防毒面具，以应急救。与氧化剂、金属粉末、电石、硫化氢、碱性物质、松节油、有机酸以及各种可燃物（如木屑、稻草、纸张、废纱头等）、有机物或易氧化物相隔绝。操作人员应穿戴防护服（包括对眼睛、脸、手和臂的防护），要用耐酸材料制成。搬运时要轻装轻卸，防止撞击、震动、斜倒。硝酸是挥发性酸，不宜久储。</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表8.2-3（12）  钛粉物理化学、毒理学性质</w:t>
      </w:r>
    </w:p>
    <w:tbl>
      <w:tblPr>
        <w:tblStyle w:val="aa"/>
        <w:tblW w:w="9072" w:type="dxa"/>
        <w:jc w:val="center"/>
        <w:tblLayout w:type="fixed"/>
        <w:tblLook w:val="04A0" w:firstRow="1" w:lastRow="0" w:firstColumn="1" w:lastColumn="0" w:noHBand="0" w:noVBand="1"/>
      </w:tblPr>
      <w:tblGrid>
        <w:gridCol w:w="1367"/>
        <w:gridCol w:w="7705"/>
      </w:tblGrid>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70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钛粉【含水≥25%】415004  UNNO.1830  钛粒415005  UNNO.2678</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英文名称titanium，CAS号7440-32-6，分子量：47.90，钛为银白色，粉末为深灰色或黑色并发亮，或硬的钢色立方结晶，不溶于水，溶于氢氟酸、硝酸、浓硫酸，相对密度（水=1）4.5，熔点：1720℃，沸点：3530℃，危险特性：金属钛粉尘具有爆炸性，遇热、明火或发生化学反应会燃烧爆炸。其粉体化学活性很高，在空气中能自燃。金属钛不仅能在空气中燃烧，也能在二氧化碳或氮气中燃烧。高温时易与卤素、氧、硫、氮化合。</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燃烧（分解）产物：氧化钛。爆炸下限（%，V/V）：40g/m</w:t>
            </w:r>
            <w:r w:rsidRPr="00677D1F">
              <w:rPr>
                <w:rFonts w:ascii="宋体" w:eastAsia="宋体" w:hAnsi="宋体" w:cs="宋体" w:hint="eastAsia"/>
                <w:color w:val="000000"/>
                <w:kern w:val="0"/>
                <w:sz w:val="18"/>
                <w:szCs w:val="18"/>
                <w:vertAlign w:val="superscript"/>
              </w:rPr>
              <w:t>3</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消防措施</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灭火剂：干粉、干砂。严禁用水、泡沫、二氧化碳扑救。高热或剧烈燃烧时，用水扑救可能会引起爆炸。</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存注意事项：为安全起见，储存时常以不少于25%的水润湿、钝化。储存于阴凉、通风的库房。远离火种、热源。库温不宜超过35℃。保持容器密封，严禁与空气接触。应与氧化剂、酸类、卤素等分开存放，切忌混储。配备相应品种和数量的消防器材。储区应备有合适的材料收容泄漏物。Ⅱ类包装。</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隔离泄漏污染区，限制出入。切断火源。建议应急处理人员戴自吸过滤式防尘口罩，穿消防防护服。不要直接接触泄漏物。小量泄漏：避免扬尘，用洁净的铲子收集于干燥、洁净、有盖的容器中。转移回收。大量泄漏：用塑料布、帆布覆盖，减少飞散。使用无火花工具转移回收。</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吸入、食入。</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毒理学简介</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吸入后对上呼吸道有刺激性，引起咳嗽、胸部紧束感或疼痛。</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1、致癌性：大鼠肌内TDLo：1145mg/kg/77W-I；大鼠肌内TD：360mg/kg/69W-I</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2、生殖毒性：大鼠经口TDLo：158mg/kg.</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简介</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生产过程中所用四氯化钛能使人患有慢性支气管炎、慢性肥厚性鼻炎、咽炎。植物神经系统机能紊乱，腱反射增强、眼睑和手震颤、多汗。接触10%四氯化钛溶液的人出现热灼伤较难愈合。</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处理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皮肤接触：脱去被污染的衣着，用肥皂水和清水彻底冲洗皮肤。</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眼睛接触：提起眼睑，用流动清水或生理盐水冲洗。就医。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吸入：迅速脱离现场至空气新鲜处。保持呼吸道通畅。如呼吸困难，给输氧。如呼吸停止，立即进行人工呼吸。就医。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食入：饮足量温水，催吐，就医。</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防护措施</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呼吸系统防护：可能接触其粉尘时，必须佩戴自吸过滤式防尘口罩。</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眼睛防护：戴安全防护眼镜。</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身体防护：穿透气型防毒服。</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手防护：戴防毒物渗透手套。</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其它：工作现场禁止吸烟、进食和饮水。工作毕，淋浴更衣。注意个人清洁卫生。</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中国（待颁布）饮用水源中有害物质的最高容许浓度0.1mg/L</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表8.2-3（13）  四氯化钛物理化学、毒理学性质</w:t>
      </w:r>
    </w:p>
    <w:tbl>
      <w:tblPr>
        <w:tblStyle w:val="aa"/>
        <w:tblW w:w="9072" w:type="dxa"/>
        <w:jc w:val="center"/>
        <w:tblLayout w:type="fixed"/>
        <w:tblLook w:val="04A0" w:firstRow="1" w:lastRow="0" w:firstColumn="1" w:lastColumn="0" w:noHBand="0" w:noVBand="1"/>
      </w:tblPr>
      <w:tblGrid>
        <w:gridCol w:w="1367"/>
        <w:gridCol w:w="7705"/>
      </w:tblGrid>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70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81051</w:t>
            </w:r>
            <w:r w:rsidRPr="00677D1F">
              <w:rPr>
                <w:rFonts w:ascii="宋体" w:eastAsia="宋体" w:hAnsi="宋体" w:cs="宋体" w:hint="eastAsia"/>
                <w:color w:val="000000"/>
                <w:kern w:val="0"/>
                <w:sz w:val="18"/>
                <w:szCs w:val="18"/>
              </w:rPr>
              <w:t xml:space="preserve">  </w:t>
            </w:r>
            <w:r w:rsidRPr="00677D1F">
              <w:rPr>
                <w:rFonts w:ascii="宋体" w:eastAsia="宋体" w:hAnsi="宋体" w:cs="宋体"/>
                <w:color w:val="000000"/>
                <w:kern w:val="0"/>
                <w:sz w:val="18"/>
                <w:szCs w:val="18"/>
              </w:rPr>
              <w:t>UNNO.2678</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别名：氯化钛，英文名称Titaniumtetrachloride；Titanicchloride，CAS号7550-45-0，分子式：TiCl4分子量：189.71，无色或微黄色液体，有刺激性酸味。在空气中发烟。不溶于水，溶于氢氟酸、硝酸、浓硫酸，相对密度（水=1）1.73，熔点：-25℃沸点：136.4℃，危险特性：受热或遇水分解放热，放出有毒的腐蚀性烟气。溶于冷水、乙醇、稀盐酸</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燃烧（分解）产物：氯化物、氧化钛。</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消防措施</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干粉、砂土。禁止用水。</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储运须知</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储存于高燥清洁的仓间内。远离火种、热源。包装必须密封，切勿受潮。应与氧化剂、碱类、食用化工原料分开存放。不可混储混运。分装和搬运作业要注意个人防护。搬运时要轻装轻卸，防止包装及容器损坏。雨天不宜运输。</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泄漏处理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疏散泄漏污染区人员至安全区，禁止无关人员进入污染区，建议应急处理人员戴正压自给式呼吸器，穿化学防护服。不要直接接触泄漏物，在确保安全情况下堵漏。喷水雾减慢挥发（或扩散），但不要对泄漏物或泄漏点直接喷水。将地面洒上苏打灰，然后用大量水冲洗，经稀释的洗水放入废水系统。如果大量泄漏，最好不用水处理，在技术人员指导下清除。</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吸入、食入。</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毒理学简介</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毒性：属高毒类。急性毒性：LC</w:t>
            </w:r>
            <w:r w:rsidRPr="00677D1F">
              <w:rPr>
                <w:rFonts w:ascii="宋体" w:eastAsia="宋体" w:hAnsi="宋体" w:cs="宋体" w:hint="eastAsia"/>
                <w:color w:val="000000"/>
                <w:kern w:val="0"/>
                <w:sz w:val="18"/>
                <w:szCs w:val="18"/>
                <w:vertAlign w:val="subscript"/>
              </w:rPr>
              <w:t>50</w:t>
            </w:r>
            <w:r w:rsidRPr="00677D1F">
              <w:rPr>
                <w:rFonts w:ascii="宋体" w:eastAsia="宋体" w:hAnsi="宋体" w:cs="宋体" w:hint="eastAsia"/>
                <w:color w:val="000000"/>
                <w:kern w:val="0"/>
                <w:sz w:val="18"/>
                <w:szCs w:val="18"/>
              </w:rPr>
              <w:t>400mg/m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（大鼠吸入）</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处理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皮肤接触：尽快用软纸或棉花等擦去毒物，然后用水彻底冲洗。若有灼伤，就医治疗。</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眼睛接触：立即提起眼睑，用流动清水冲洗10分钟或用2%碳酸氢钠溶液冲洗。就医。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吸入：迅速脱离现场至空气新鲜处。保持呼吸道通畅。呼吸困难时给输氧。给予2-4%碳酸氢钠溶液雾化吸入。就医。</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食入：患者清醒时立即漱口，给饮牛奶或蛋清。立即就医。</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防护措施</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呼吸系统防护：可能接触其蒸气时，应该佩带防毒口罩。必要时佩带防毒面具。</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眼睛防护：戴化学安全防护眼镜。</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防护服：穿工作服（防腐材料制作）。</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手防护：戴橡皮手套。</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其它：工作后，淋浴更衣。单独存放被毒物污染的衣服，洗后再用。保持良好的卫生习惯。</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健康危害</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皮肤直接接触液态四氯化钛可引起不同程度的灼伤。其烟尘对呼吸道粘膜有强烈刺激作用。轻度中毒有喘息性支气管炎，严重者出现呼吸困难、呼吸脉搏加快、体温升高、咳嗽等，可发展成肺水肿。</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标准</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前苏联：车间空气中有害物质的最高容许浓度1mg/m</w:t>
            </w:r>
            <w:r w:rsidRPr="00677D1F">
              <w:rPr>
                <w:rFonts w:ascii="宋体" w:eastAsia="宋体" w:hAnsi="宋体" w:cs="宋体" w:hint="eastAsia"/>
                <w:color w:val="000000"/>
                <w:kern w:val="0"/>
                <w:sz w:val="18"/>
                <w:szCs w:val="18"/>
                <w:vertAlign w:val="superscript"/>
              </w:rPr>
              <w:t>3</w:t>
            </w:r>
          </w:p>
        </w:tc>
      </w:tr>
    </w:tbl>
    <w:p w:rsidR="00D228BE" w:rsidRPr="00677D1F" w:rsidRDefault="00D228BE" w:rsidP="00677D1F">
      <w:pPr>
        <w:widowControl/>
        <w:spacing w:line="240" w:lineRule="exact"/>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表8.2-3（14）  天然气物理化学、毒理学性质</w:t>
      </w:r>
    </w:p>
    <w:tbl>
      <w:tblPr>
        <w:tblStyle w:val="aa"/>
        <w:tblW w:w="9072" w:type="dxa"/>
        <w:jc w:val="center"/>
        <w:tblLayout w:type="fixed"/>
        <w:tblLook w:val="04A0" w:firstRow="1" w:lastRow="0" w:firstColumn="1" w:lastColumn="0" w:noHBand="0" w:noVBand="1"/>
      </w:tblPr>
      <w:tblGrid>
        <w:gridCol w:w="1367"/>
        <w:gridCol w:w="7705"/>
      </w:tblGrid>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危规编号</w:t>
            </w:r>
          </w:p>
        </w:tc>
        <w:tc>
          <w:tcPr>
            <w:tcW w:w="7705" w:type="dxa"/>
            <w:vAlign w:val="center"/>
          </w:tcPr>
          <w:p w:rsidR="00D228BE" w:rsidRPr="00677D1F" w:rsidRDefault="00332EB6" w:rsidP="00677D1F">
            <w:pPr>
              <w:widowControl/>
              <w:contextualSpacing/>
              <w:jc w:val="center"/>
              <w:rPr>
                <w:rFonts w:ascii="宋体" w:eastAsia="宋体" w:hAnsi="宋体" w:cs="宋体"/>
                <w:color w:val="000000"/>
                <w:kern w:val="0"/>
                <w:sz w:val="18"/>
                <w:szCs w:val="18"/>
              </w:rPr>
            </w:pPr>
            <w:r w:rsidRPr="00677D1F">
              <w:rPr>
                <w:rFonts w:ascii="宋体" w:eastAsia="宋体" w:hAnsi="宋体" w:cs="宋体"/>
                <w:color w:val="000000"/>
                <w:kern w:val="0"/>
                <w:sz w:val="18"/>
                <w:szCs w:val="18"/>
              </w:rPr>
              <w:t>21007</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理化特性</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天然气（naturalgas）又称油田气、石油气、石油伴生气。开采石油时，只有气体称为天然气；石油和石油气，这个石油气称为油田气或称石油伴生气。天然气的化学组成及其理化特性因地而异，主要成分是甲烷，还含有少量乙烷、丁烷、戊烷、二氧化碳、一氧化碳、硫化氢等。无硫化氢时为无色无臭易燃易爆气体，密度多在0.6～0.8g/cm3，比空气轻。通常将含甲烷高于90%的称为干气，含甲烷低于90%的称为湿气。极易燃。蒸气能与空气形成爆炸性混合物，在室温下的爆炸极限为5％～14％。</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介质特性主要成份是液态甲烷，是一种无色、无味的液化气体，化学性质比较稳定，但与空气或氧气混合后，能形成爆鸣性气体。按HG20660《压力容器中化学介质毒性危害和爆炸危险程度分类》的有关规定，液化天然气为爆炸危险类介质。</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分子量16.043</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熔点-182.6℃（101.325kPa）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沸点-161.5℃（101.325kPa）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液体密度422.62kg/m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（-161.52℃，101.325kPa）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气体密度0.7163kg/m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（100kPa，270K）</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相对密度0.555（空气=l，0℃，101.325kPa）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比容1.4795m</w:t>
            </w:r>
            <w:r w:rsidRPr="00677D1F">
              <w:rPr>
                <w:rFonts w:ascii="宋体" w:eastAsia="宋体" w:hAnsi="宋体" w:cs="宋体" w:hint="eastAsia"/>
                <w:color w:val="000000"/>
                <w:kern w:val="0"/>
                <w:sz w:val="18"/>
                <w:szCs w:val="18"/>
                <w:vertAlign w:val="superscript"/>
              </w:rPr>
              <w:t>3</w:t>
            </w:r>
            <w:r w:rsidRPr="00677D1F">
              <w:rPr>
                <w:rFonts w:ascii="宋体" w:eastAsia="宋体" w:hAnsi="宋体" w:cs="宋体" w:hint="eastAsia"/>
                <w:color w:val="000000"/>
                <w:kern w:val="0"/>
                <w:sz w:val="18"/>
                <w:szCs w:val="18"/>
              </w:rPr>
              <w:t>/kg（21.1℃，101.325kPa）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lastRenderedPageBreak/>
              <w:t>气液容积比630L/L（15℃，100kPa）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临界温度-82.1℃</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临界压力4640kPa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临界密度162.5kg/m</w:t>
            </w:r>
            <w:r w:rsidRPr="00677D1F">
              <w:rPr>
                <w:rFonts w:ascii="宋体" w:eastAsia="宋体" w:hAnsi="宋体" w:cs="宋体" w:hint="eastAsia"/>
                <w:color w:val="000000"/>
                <w:kern w:val="0"/>
                <w:sz w:val="18"/>
                <w:szCs w:val="18"/>
                <w:vertAlign w:val="superscript"/>
              </w:rPr>
              <w:t>3</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熔化热58.42kJ/kg（-182.5℃）</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气化热509.88kJ/kg（111.66K）</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比热容CP=2215.24J/（kg•K）（100kPa，290K）</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比热比CP/Cv=1.305（气体，26.8℃，101.325kPa）</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蒸气压16.2kPa（-180℃）437kPa（-140℃）2620kPa（-100℃）</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其它空气中可燃范围（20℃，101.325kPa）：5%～15%</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闪点：-188℃在空气中最易引燃浓度：7.8%产生最大爆炸压力的浓度：9.8%</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lastRenderedPageBreak/>
              <w:t>消防措施</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可用水、二氧化碳等灭火。</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职业接触</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开采石油；用作燃料；制造炭黑、合成氨、合成石油、甲醇和其他许多有机化合物的原料。</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毒性</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天然气的毒性因其化学组成不同而异。原料天然气含硫化氢，毒性随硫化氢浓度增加而增高。净化天然气（已经脱硫处理）如家用天然气主要为甲烷的毒性。通风不良时燃气，毒性主要来自一氧化碳。</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侵入途径</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经呼吸道。</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临床病史</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天然气急性中毒临床表现多样化，或呈甲烷中毒表现或呈硫化氢中毒表现或两者兼有，但主要为中枢神经系统和心血管系统的临床表现。轻者头痛、头晕、胸闷、恶心、呕吐、乏力，重者昏迷、紫绀、咳嗽、胸痛、呼吸急促、呼吸困难、抽搐、心律失常，部分病例出现精神症状。有脑水肿、肺水肿、心肌炎、肺炎等并发症。心电图检查可出现心动过速或过缓心房颤动ST-T改变左室高电压。X线检查可有肺部纹理增粗增多、单侧或双侧边缘不清的肺部点、片状阴影。实验室检查有一时性白细胞数和血红蛋白量增加，血浆二氧化碳结合力下降，非蛋白氮轻度升高，血钾升高。约16.5%中重中毒者留有后遗症，主要表现为神经系统症状头痛、头昏、乏力、多梦、失眠、反应迟钝、记忆力下降，个别有阵发性肌颤、失语、偏瘫，经过适当治疗可以恢复正常，即使严重的后遗症也呈可逆性。长期接触天然气，主要表现为类神经症，头晕、头痛、失眠、记忆力减退、恶心、乏力、食欲不振等。</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治疗</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1.脱离中毒现场，呼吸新鲜空气或给氧，注意保暖。</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2.对症处理。</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3.防治并发症。</w:t>
            </w:r>
          </w:p>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4.治疗后遗症。</w:t>
            </w:r>
          </w:p>
        </w:tc>
      </w:tr>
      <w:tr w:rsidR="00D228BE" w:rsidRPr="00677D1F">
        <w:trPr>
          <w:trHeight w:val="340"/>
          <w:jc w:val="center"/>
        </w:trPr>
        <w:tc>
          <w:tcPr>
            <w:tcW w:w="1367" w:type="dxa"/>
            <w:vAlign w:val="center"/>
          </w:tcPr>
          <w:p w:rsidR="00D228BE" w:rsidRPr="00677D1F" w:rsidRDefault="00332EB6" w:rsidP="00677D1F">
            <w:pPr>
              <w:widowControl/>
              <w:contextualSpacing/>
              <w:jc w:val="center"/>
              <w:rPr>
                <w:rFonts w:ascii="宋体" w:eastAsia="宋体" w:hAnsi="宋体" w:cs="宋体"/>
                <w:b/>
                <w:color w:val="000000"/>
                <w:kern w:val="0"/>
                <w:sz w:val="18"/>
                <w:szCs w:val="18"/>
              </w:rPr>
            </w:pPr>
            <w:r w:rsidRPr="00677D1F">
              <w:rPr>
                <w:rFonts w:ascii="宋体" w:eastAsia="宋体" w:hAnsi="宋体" w:cs="宋体" w:hint="eastAsia"/>
                <w:b/>
                <w:color w:val="000000"/>
                <w:kern w:val="0"/>
                <w:sz w:val="18"/>
                <w:szCs w:val="18"/>
              </w:rPr>
              <w:t>预防</w:t>
            </w:r>
          </w:p>
        </w:tc>
        <w:tc>
          <w:tcPr>
            <w:tcW w:w="7705" w:type="dxa"/>
            <w:vAlign w:val="center"/>
          </w:tcPr>
          <w:p w:rsidR="00D228BE" w:rsidRPr="00677D1F" w:rsidRDefault="00332EB6" w:rsidP="00677D1F">
            <w:pPr>
              <w:widowControl/>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开采天然气时，要加强生产设备的密闭化和通风排毒，建立安全检查制度，严格遵守操作规程及安全制度。以日常天然气作燃料时，应注意管道及设备密闭性，防止漏气。</w:t>
            </w:r>
          </w:p>
        </w:tc>
      </w:tr>
    </w:tbl>
    <w:p w:rsidR="00D228BE" w:rsidRPr="00677D1F" w:rsidRDefault="00D228BE" w:rsidP="00677D1F">
      <w:pPr>
        <w:widowControl/>
        <w:spacing w:line="240" w:lineRule="exact"/>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 xml:space="preserve"> （3）判定结果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根据表8.2-1的判定标准和表8.2-2中本项目涉及到物质危险特性及8.2-3，选定本项目风险物质主要为：氢气、氯气、甲烷、氯化氢、硫酸、盐酸、四氯化钛和一氧化碳。</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8.2.1.2</w:t>
      </w:r>
      <w:r w:rsidRPr="00677D1F">
        <w:rPr>
          <w:rFonts w:ascii="宋体" w:eastAsia="宋体" w:hAnsi="宋体" w:cs="宋体" w:hint="eastAsia"/>
          <w:b/>
          <w:bCs/>
          <w:color w:val="000000"/>
          <w:kern w:val="0"/>
          <w:sz w:val="24"/>
          <w:szCs w:val="24"/>
        </w:rPr>
        <w:t>重大危险源判定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）重大危险源辨识方法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经过危险物质识别和生产过程分析，根据《建设项目环境风险评价技术导则》（</w:t>
      </w:r>
      <w:r w:rsidRPr="00677D1F">
        <w:rPr>
          <w:rFonts w:asciiTheme="minorEastAsia" w:hAnsiTheme="minorEastAsia" w:cs="宋体"/>
          <w:color w:val="000000"/>
          <w:kern w:val="0"/>
          <w:sz w:val="24"/>
          <w:szCs w:val="24"/>
        </w:rPr>
        <w:t>HJ/T</w:t>
      </w:r>
      <w:r w:rsidRPr="00677D1F">
        <w:rPr>
          <w:rFonts w:asciiTheme="minorEastAsia" w:hAnsiTheme="minorEastAsia" w:cs="宋体" w:hint="eastAsia"/>
          <w:color w:val="000000"/>
          <w:kern w:val="0"/>
          <w:sz w:val="24"/>
          <w:szCs w:val="24"/>
        </w:rPr>
        <w:t xml:space="preserve"> </w:t>
      </w:r>
      <w:r w:rsidRPr="00677D1F">
        <w:rPr>
          <w:rFonts w:asciiTheme="minorEastAsia" w:hAnsiTheme="minorEastAsia" w:cs="宋体"/>
          <w:color w:val="000000"/>
          <w:kern w:val="0"/>
          <w:sz w:val="24"/>
          <w:szCs w:val="24"/>
        </w:rPr>
        <w:t>169-20</w:t>
      </w:r>
      <w:r w:rsidRPr="00677D1F">
        <w:rPr>
          <w:rFonts w:asciiTheme="minorEastAsia" w:hAnsiTheme="minorEastAsia" w:cs="宋体" w:hint="eastAsia"/>
          <w:color w:val="000000"/>
          <w:kern w:val="0"/>
          <w:sz w:val="24"/>
          <w:szCs w:val="24"/>
        </w:rPr>
        <w:t>188</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以及《危险化学品重大危险源辩识》（</w:t>
      </w:r>
      <w:r w:rsidRPr="00677D1F">
        <w:rPr>
          <w:rFonts w:asciiTheme="minorEastAsia" w:hAnsiTheme="minorEastAsia" w:cs="宋体"/>
          <w:color w:val="000000"/>
          <w:kern w:val="0"/>
          <w:sz w:val="24"/>
          <w:szCs w:val="24"/>
        </w:rPr>
        <w:t>GB18218-2009</w:t>
      </w:r>
      <w:r w:rsidRPr="00677D1F">
        <w:rPr>
          <w:rFonts w:asciiTheme="minorEastAsia" w:hAnsiTheme="minorEastAsia" w:cs="宋体" w:hint="eastAsia"/>
          <w:color w:val="000000"/>
          <w:kern w:val="0"/>
          <w:sz w:val="24"/>
          <w:szCs w:val="24"/>
        </w:rPr>
        <w:t>）有关危险物质的定义和临界量来判断。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（2）重大危险源判断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根据本项目生产工艺和平面布置，根据对本工程生产场所及贮存区危</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险源识别，本工程主要危险源见表8.2-4。通过重大危险源识别中危险物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质临界量的分析见表8.2-5，本项目有重大危险源。</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表8.2-4  本项目化学危险物质的存在量及贮存量表（单位：t）</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8.2.1.3</w:t>
      </w:r>
      <w:r w:rsidRPr="00677D1F">
        <w:rPr>
          <w:rFonts w:ascii="宋体" w:eastAsia="宋体" w:hAnsi="宋体" w:cs="宋体" w:hint="eastAsia"/>
          <w:b/>
          <w:bCs/>
          <w:color w:val="000000"/>
          <w:kern w:val="0"/>
          <w:sz w:val="24"/>
          <w:szCs w:val="24"/>
        </w:rPr>
        <w:t>评价等级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根据《建设项目环境风险评价技术导则》（</w:t>
      </w:r>
      <w:r w:rsidRPr="00677D1F">
        <w:rPr>
          <w:rFonts w:asciiTheme="minorEastAsia" w:hAnsiTheme="minorEastAsia" w:cs="宋体"/>
          <w:color w:val="000000"/>
          <w:kern w:val="0"/>
          <w:sz w:val="24"/>
          <w:szCs w:val="24"/>
        </w:rPr>
        <w:t>HJ/T169-2004</w:t>
      </w:r>
      <w:r w:rsidRPr="00677D1F">
        <w:rPr>
          <w:rFonts w:asciiTheme="minorEastAsia" w:hAnsiTheme="minorEastAsia" w:cs="宋体" w:hint="eastAsia"/>
          <w:color w:val="000000"/>
          <w:kern w:val="0"/>
          <w:sz w:val="24"/>
          <w:szCs w:val="24"/>
        </w:rPr>
        <w:t>）中关于风险评价等级的划分方法（见表</w:t>
      </w:r>
      <w:r w:rsidRPr="00677D1F">
        <w:rPr>
          <w:rFonts w:asciiTheme="minorEastAsia" w:hAnsiTheme="minorEastAsia" w:cs="宋体"/>
          <w:color w:val="000000"/>
          <w:kern w:val="0"/>
          <w:sz w:val="24"/>
          <w:szCs w:val="24"/>
        </w:rPr>
        <w:t>8.2-6</w:t>
      </w:r>
      <w:r w:rsidRPr="00677D1F">
        <w:rPr>
          <w:rFonts w:asciiTheme="minorEastAsia" w:hAnsiTheme="minorEastAsia" w:cs="宋体" w:hint="eastAsia"/>
          <w:color w:val="000000"/>
          <w:kern w:val="0"/>
          <w:sz w:val="24"/>
          <w:szCs w:val="24"/>
        </w:rPr>
        <w:t>），本项目存在重大危险源，所以环境风险评价等级为一级。</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8.2-</w:t>
      </w:r>
      <w:r w:rsidRPr="00677D1F">
        <w:rPr>
          <w:rFonts w:ascii="黑体" w:eastAsia="黑体" w:hAnsi="黑体" w:cs="宋体" w:hint="eastAsia"/>
          <w:b/>
          <w:color w:val="000000"/>
          <w:kern w:val="0"/>
          <w:szCs w:val="21"/>
        </w:rPr>
        <w:t>5  评价工作级别划分方法</w:t>
      </w:r>
    </w:p>
    <w:tbl>
      <w:tblPr>
        <w:tblStyle w:val="aa"/>
        <w:tblW w:w="9072" w:type="dxa"/>
        <w:jc w:val="center"/>
        <w:tblLayout w:type="fixed"/>
        <w:tblLook w:val="04A0" w:firstRow="1" w:lastRow="0" w:firstColumn="1" w:lastColumn="0" w:noHBand="0" w:noVBand="1"/>
      </w:tblPr>
      <w:tblGrid>
        <w:gridCol w:w="1772"/>
        <w:gridCol w:w="1987"/>
        <w:gridCol w:w="1771"/>
        <w:gridCol w:w="1771"/>
        <w:gridCol w:w="1771"/>
      </w:tblGrid>
      <w:tr w:rsidR="00D228BE" w:rsidRPr="00677D1F">
        <w:trPr>
          <w:jc w:val="center"/>
        </w:trPr>
        <w:tc>
          <w:tcPr>
            <w:tcW w:w="177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环境风险潜势</w:t>
            </w:r>
          </w:p>
        </w:tc>
        <w:tc>
          <w:tcPr>
            <w:tcW w:w="1987" w:type="dxa"/>
            <w:vAlign w:val="center"/>
          </w:tcPr>
          <w:p w:rsidR="00D228BE" w:rsidRPr="00677D1F" w:rsidRDefault="00332EB6" w:rsidP="00677D1F">
            <w:pPr>
              <w:widowControl/>
              <w:contextualSpacing/>
              <w:jc w:val="center"/>
              <w:rPr>
                <w:rFonts w:ascii="宋体" w:eastAsia="宋体" w:hAnsi="宋体" w:cs="宋体"/>
                <w:color w:val="000000"/>
                <w:kern w:val="0"/>
                <w:szCs w:val="21"/>
                <w:vertAlign w:val="superscript"/>
              </w:rPr>
            </w:pPr>
            <w:r w:rsidRPr="00677D1F">
              <w:rPr>
                <w:rFonts w:ascii="宋体" w:eastAsia="宋体" w:hAnsi="宋体" w:cs="宋体" w:hint="eastAsia"/>
                <w:color w:val="000000"/>
                <w:kern w:val="0"/>
                <w:szCs w:val="21"/>
              </w:rPr>
              <w:t>Ⅳ、Ⅳ</w:t>
            </w:r>
            <w:r w:rsidRPr="00677D1F">
              <w:rPr>
                <w:rFonts w:ascii="宋体" w:eastAsia="宋体" w:hAnsi="宋体" w:cs="宋体" w:hint="eastAsia"/>
                <w:color w:val="000000"/>
                <w:kern w:val="0"/>
                <w:szCs w:val="21"/>
                <w:vertAlign w:val="superscript"/>
              </w:rPr>
              <w:t>+</w:t>
            </w:r>
          </w:p>
        </w:tc>
        <w:tc>
          <w:tcPr>
            <w:tcW w:w="1771"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c>
          <w:tcPr>
            <w:tcW w:w="1771"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Ⅱ</w:t>
            </w:r>
          </w:p>
        </w:tc>
        <w:tc>
          <w:tcPr>
            <w:tcW w:w="1771"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Ⅰ</w:t>
            </w:r>
          </w:p>
        </w:tc>
      </w:tr>
      <w:tr w:rsidR="00D228BE" w:rsidRPr="00677D1F">
        <w:trPr>
          <w:jc w:val="center"/>
        </w:trPr>
        <w:tc>
          <w:tcPr>
            <w:tcW w:w="1772"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评价工作等级</w:t>
            </w:r>
          </w:p>
        </w:tc>
        <w:tc>
          <w:tcPr>
            <w:tcW w:w="1987"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一</w:t>
            </w:r>
          </w:p>
        </w:tc>
        <w:tc>
          <w:tcPr>
            <w:tcW w:w="1771"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二</w:t>
            </w:r>
          </w:p>
        </w:tc>
        <w:tc>
          <w:tcPr>
            <w:tcW w:w="1771"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三</w:t>
            </w:r>
          </w:p>
        </w:tc>
        <w:tc>
          <w:tcPr>
            <w:tcW w:w="1771" w:type="dxa"/>
            <w:vAlign w:val="center"/>
          </w:tcPr>
          <w:p w:rsidR="00D228BE" w:rsidRPr="00677D1F" w:rsidRDefault="00332EB6" w:rsidP="00677D1F">
            <w:pPr>
              <w:widowControl/>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简单分析</w:t>
            </w:r>
          </w:p>
        </w:tc>
      </w:tr>
      <w:tr w:rsidR="00D228BE" w:rsidRPr="00677D1F">
        <w:trPr>
          <w:jc w:val="center"/>
        </w:trPr>
        <w:tc>
          <w:tcPr>
            <w:tcW w:w="1772" w:type="dxa"/>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987" w:type="dxa"/>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771" w:type="dxa"/>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771" w:type="dxa"/>
            <w:vAlign w:val="center"/>
          </w:tcPr>
          <w:p w:rsidR="00D228BE" w:rsidRPr="00677D1F" w:rsidRDefault="00D228BE" w:rsidP="00677D1F">
            <w:pPr>
              <w:widowControl/>
              <w:contextualSpacing/>
              <w:jc w:val="center"/>
              <w:rPr>
                <w:rFonts w:ascii="宋体" w:eastAsia="宋体" w:hAnsi="宋体" w:cs="宋体"/>
                <w:color w:val="000000"/>
                <w:kern w:val="0"/>
                <w:szCs w:val="21"/>
              </w:rPr>
            </w:pPr>
          </w:p>
        </w:tc>
        <w:tc>
          <w:tcPr>
            <w:tcW w:w="1771" w:type="dxa"/>
            <w:vAlign w:val="center"/>
          </w:tcPr>
          <w:p w:rsidR="00D228BE" w:rsidRPr="00677D1F" w:rsidRDefault="00D228BE" w:rsidP="00677D1F">
            <w:pPr>
              <w:widowControl/>
              <w:contextualSpacing/>
              <w:jc w:val="center"/>
              <w:rPr>
                <w:rFonts w:ascii="宋体" w:eastAsia="宋体" w:hAnsi="宋体" w:cs="宋体"/>
                <w:color w:val="000000"/>
                <w:kern w:val="0"/>
                <w:szCs w:val="21"/>
              </w:rPr>
            </w:pP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建设项目环境风险潜势划分</w:t>
      </w:r>
    </w:p>
    <w:tbl>
      <w:tblPr>
        <w:tblStyle w:val="aa"/>
        <w:tblW w:w="9072" w:type="dxa"/>
        <w:jc w:val="center"/>
        <w:tblLayout w:type="fixed"/>
        <w:tblLook w:val="04A0" w:firstRow="1" w:lastRow="0" w:firstColumn="1" w:lastColumn="0" w:noHBand="0" w:noVBand="1"/>
      </w:tblPr>
      <w:tblGrid>
        <w:gridCol w:w="2632"/>
        <w:gridCol w:w="1610"/>
        <w:gridCol w:w="1610"/>
        <w:gridCol w:w="1610"/>
        <w:gridCol w:w="1610"/>
      </w:tblGrid>
      <w:tr w:rsidR="00D228BE" w:rsidRPr="00677D1F">
        <w:trPr>
          <w:trHeight w:val="340"/>
          <w:jc w:val="center"/>
        </w:trPr>
        <w:tc>
          <w:tcPr>
            <w:tcW w:w="2632" w:type="dxa"/>
            <w:vMerge w:val="restart"/>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环境敏感程度（E）</w:t>
            </w:r>
          </w:p>
        </w:tc>
        <w:tc>
          <w:tcPr>
            <w:tcW w:w="6440" w:type="dxa"/>
            <w:gridSpan w:val="4"/>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危险物质及工艺系统危害性（P）</w:t>
            </w:r>
          </w:p>
        </w:tc>
      </w:tr>
      <w:tr w:rsidR="00D228BE" w:rsidRPr="00677D1F">
        <w:trPr>
          <w:trHeight w:val="340"/>
          <w:jc w:val="center"/>
        </w:trPr>
        <w:tc>
          <w:tcPr>
            <w:tcW w:w="2632" w:type="dxa"/>
            <w:vMerge/>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极高危害（P1）</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高度危害（P2）</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中度危害（P3）</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轻度危害（P4）</w:t>
            </w:r>
          </w:p>
        </w:tc>
      </w:tr>
      <w:tr w:rsidR="00D228BE" w:rsidRPr="00677D1F">
        <w:trPr>
          <w:trHeight w:val="340"/>
          <w:jc w:val="center"/>
        </w:trPr>
        <w:tc>
          <w:tcPr>
            <w:tcW w:w="263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环境高度敏感区（E1）</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Ⅳ</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Ⅳ</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r>
      <w:tr w:rsidR="00D228BE" w:rsidRPr="00677D1F">
        <w:trPr>
          <w:trHeight w:val="340"/>
          <w:jc w:val="center"/>
        </w:trPr>
        <w:tc>
          <w:tcPr>
            <w:tcW w:w="263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环境中度敏感区（E2）</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Ⅳ</w:t>
            </w:r>
            <w:r w:rsidRPr="00677D1F">
              <w:rPr>
                <w:rFonts w:ascii="宋体" w:eastAsia="宋体" w:hAnsi="宋体" w:cs="宋体" w:hint="eastAsia"/>
                <w:color w:val="000000"/>
                <w:kern w:val="0"/>
                <w:szCs w:val="21"/>
                <w:vertAlign w:val="superscript"/>
              </w:rPr>
              <w:t>+</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Ⅱ</w:t>
            </w:r>
          </w:p>
        </w:tc>
      </w:tr>
      <w:tr w:rsidR="00D228BE" w:rsidRPr="00677D1F">
        <w:trPr>
          <w:trHeight w:val="340"/>
          <w:jc w:val="center"/>
        </w:trPr>
        <w:tc>
          <w:tcPr>
            <w:tcW w:w="2632"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环境低度敏感区（E3）</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Ⅲ</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Ⅱ</w:t>
            </w:r>
          </w:p>
        </w:tc>
        <w:tc>
          <w:tcPr>
            <w:tcW w:w="161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Ⅰ</w:t>
            </w: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widowControl/>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危险物质及工艺系统危险性（P）分级</w:t>
      </w:r>
    </w:p>
    <w:p w:rsidR="00D228BE" w:rsidRPr="00677D1F" w:rsidRDefault="00D228BE" w:rsidP="00677D1F">
      <w:pPr>
        <w:widowControl/>
        <w:contextualSpacing/>
        <w:rPr>
          <w:rFonts w:ascii="宋体" w:eastAsia="宋体" w:hAnsi="宋体" w:cs="宋体"/>
          <w:color w:val="000000"/>
          <w:kern w:val="0"/>
          <w:sz w:val="24"/>
          <w:szCs w:val="24"/>
        </w:rPr>
      </w:pPr>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本项目因为存在多种危险物质，危险物质数量与临界量比值（Q）计算公式如下：</w:t>
      </w:r>
    </w:p>
    <w:p w:rsidR="00D228BE" w:rsidRPr="00677D1F" w:rsidRDefault="00332EB6" w:rsidP="00677D1F">
      <w:pPr>
        <w:widowControl/>
        <w:spacing w:line="360" w:lineRule="auto"/>
        <w:contextualSpacing/>
        <w:rPr>
          <w:rFonts w:ascii="宋体" w:eastAsia="宋体" w:hAnsi="宋体" w:cs="宋体"/>
          <w:color w:val="000000"/>
          <w:kern w:val="0"/>
          <w:sz w:val="24"/>
          <w:szCs w:val="24"/>
        </w:rPr>
      </w:pPr>
      <m:oMathPara>
        <m:oMath>
          <m:r>
            <w:rPr>
              <w:rFonts w:ascii="Cambria Math" w:eastAsia="宋体" w:hAnsi="Cambria Math" w:cs="宋体"/>
              <w:color w:val="000000"/>
              <w:kern w:val="0"/>
              <w:sz w:val="24"/>
              <w:szCs w:val="24"/>
            </w:rPr>
            <m:t>Q</m:t>
          </m:r>
          <m:r>
            <m:rPr>
              <m:sty m:val="p"/>
            </m:rPr>
            <w:rPr>
              <w:rFonts w:ascii="Cambria Math" w:eastAsia="宋体" w:hAnsi="Cambria Math" w:cs="宋体"/>
              <w:color w:val="000000"/>
              <w:kern w:val="0"/>
              <w:sz w:val="24"/>
              <w:szCs w:val="24"/>
            </w:rPr>
            <m:t>=</m:t>
          </m:r>
          <m:f>
            <m:fPr>
              <m:ctrlPr>
                <w:rPr>
                  <w:rFonts w:ascii="Cambria Math" w:eastAsia="宋体" w:hAnsi="Cambria Math" w:cs="宋体"/>
                  <w:i/>
                  <w:color w:val="000000"/>
                  <w:kern w:val="0"/>
                  <w:sz w:val="24"/>
                  <w:szCs w:val="24"/>
                </w:rPr>
              </m:ctrlPr>
            </m:fPr>
            <m:num>
              <m:sSub>
                <m:sSubPr>
                  <m:ctrlPr>
                    <w:rPr>
                      <w:rFonts w:ascii="Cambria Math" w:eastAsia="宋体" w:hAnsi="Cambria Math" w:cs="宋体"/>
                      <w:i/>
                      <w:color w:val="000000"/>
                      <w:kern w:val="0"/>
                      <w:sz w:val="24"/>
                      <w:szCs w:val="24"/>
                    </w:rPr>
                  </m:ctrlPr>
                </m:sSubPr>
                <m:e>
                  <m:r>
                    <w:rPr>
                      <w:rFonts w:ascii="Cambria Math" w:eastAsia="宋体" w:hAnsi="Cambria Math" w:cs="宋体"/>
                      <w:color w:val="000000"/>
                      <w:kern w:val="0"/>
                      <w:sz w:val="24"/>
                      <w:szCs w:val="24"/>
                    </w:rPr>
                    <m:t>q</m:t>
                  </m:r>
                </m:e>
                <m:sub>
                  <m:r>
                    <w:rPr>
                      <w:rFonts w:ascii="Cambria Math" w:eastAsia="宋体" w:hAnsi="Cambria Math" w:cs="宋体"/>
                      <w:color w:val="000000"/>
                      <w:kern w:val="0"/>
                      <w:sz w:val="24"/>
                      <w:szCs w:val="24"/>
                    </w:rPr>
                    <m:t>1</m:t>
                  </m:r>
                </m:sub>
              </m:sSub>
            </m:num>
            <m:den>
              <m:sSub>
                <m:sSubPr>
                  <m:ctrlPr>
                    <w:rPr>
                      <w:rFonts w:ascii="Cambria Math" w:eastAsia="宋体" w:hAnsi="Cambria Math" w:cs="宋体"/>
                      <w:i/>
                      <w:color w:val="000000"/>
                      <w:kern w:val="0"/>
                      <w:sz w:val="24"/>
                      <w:szCs w:val="24"/>
                    </w:rPr>
                  </m:ctrlPr>
                </m:sSubPr>
                <m:e>
                  <m:r>
                    <w:rPr>
                      <w:rFonts w:ascii="Cambria Math" w:eastAsia="宋体" w:hAnsi="Cambria Math" w:cs="宋体"/>
                      <w:color w:val="000000"/>
                      <w:kern w:val="0"/>
                      <w:sz w:val="24"/>
                      <w:szCs w:val="24"/>
                    </w:rPr>
                    <m:t>Q</m:t>
                  </m:r>
                </m:e>
                <m:sub>
                  <m:r>
                    <w:rPr>
                      <w:rFonts w:ascii="Cambria Math" w:eastAsia="宋体" w:hAnsi="Cambria Math" w:cs="宋体"/>
                      <w:color w:val="000000"/>
                      <w:kern w:val="0"/>
                      <w:sz w:val="24"/>
                      <w:szCs w:val="24"/>
                    </w:rPr>
                    <m:t>1</m:t>
                  </m:r>
                </m:sub>
              </m:sSub>
            </m:den>
          </m:f>
          <m:r>
            <w:rPr>
              <w:rFonts w:ascii="Cambria Math" w:eastAsia="宋体" w:hAnsi="Cambria Math" w:cs="宋体"/>
              <w:color w:val="000000"/>
              <w:kern w:val="0"/>
              <w:sz w:val="24"/>
              <w:szCs w:val="24"/>
            </w:rPr>
            <m:t>+</m:t>
          </m:r>
          <m:f>
            <m:fPr>
              <m:ctrlPr>
                <w:rPr>
                  <w:rFonts w:ascii="Cambria Math" w:eastAsia="宋体" w:hAnsi="Cambria Math" w:cs="宋体"/>
                  <w:i/>
                  <w:color w:val="000000"/>
                  <w:kern w:val="0"/>
                  <w:sz w:val="24"/>
                  <w:szCs w:val="24"/>
                </w:rPr>
              </m:ctrlPr>
            </m:fPr>
            <m:num>
              <m:sSub>
                <m:sSubPr>
                  <m:ctrlPr>
                    <w:rPr>
                      <w:rFonts w:ascii="Cambria Math" w:eastAsia="宋体" w:hAnsi="Cambria Math" w:cs="宋体"/>
                      <w:i/>
                      <w:color w:val="000000"/>
                      <w:kern w:val="0"/>
                      <w:sz w:val="24"/>
                      <w:szCs w:val="24"/>
                    </w:rPr>
                  </m:ctrlPr>
                </m:sSubPr>
                <m:e>
                  <m:r>
                    <w:rPr>
                      <w:rFonts w:ascii="Cambria Math" w:eastAsia="宋体" w:hAnsi="Cambria Math" w:cs="宋体"/>
                      <w:color w:val="000000"/>
                      <w:kern w:val="0"/>
                      <w:sz w:val="24"/>
                      <w:szCs w:val="24"/>
                    </w:rPr>
                    <m:t>q</m:t>
                  </m:r>
                </m:e>
                <m:sub>
                  <m:r>
                    <w:rPr>
                      <w:rFonts w:ascii="Cambria Math" w:eastAsia="宋体" w:hAnsi="Cambria Math" w:cs="宋体"/>
                      <w:color w:val="000000"/>
                      <w:kern w:val="0"/>
                      <w:sz w:val="24"/>
                      <w:szCs w:val="24"/>
                    </w:rPr>
                    <m:t>2</m:t>
                  </m:r>
                </m:sub>
              </m:sSub>
            </m:num>
            <m:den>
              <m:sSub>
                <m:sSubPr>
                  <m:ctrlPr>
                    <w:rPr>
                      <w:rFonts w:ascii="Cambria Math" w:eastAsia="宋体" w:hAnsi="Cambria Math" w:cs="宋体"/>
                      <w:i/>
                      <w:color w:val="000000"/>
                      <w:kern w:val="0"/>
                      <w:sz w:val="24"/>
                      <w:szCs w:val="24"/>
                    </w:rPr>
                  </m:ctrlPr>
                </m:sSubPr>
                <m:e>
                  <m:r>
                    <w:rPr>
                      <w:rFonts w:ascii="Cambria Math" w:eastAsia="宋体" w:hAnsi="Cambria Math" w:cs="宋体"/>
                      <w:color w:val="000000"/>
                      <w:kern w:val="0"/>
                      <w:sz w:val="24"/>
                      <w:szCs w:val="24"/>
                    </w:rPr>
                    <m:t>Q</m:t>
                  </m:r>
                </m:e>
                <m:sub>
                  <m:r>
                    <w:rPr>
                      <w:rFonts w:ascii="Cambria Math" w:eastAsia="宋体" w:hAnsi="Cambria Math" w:cs="宋体"/>
                      <w:color w:val="000000"/>
                      <w:kern w:val="0"/>
                      <w:sz w:val="24"/>
                      <w:szCs w:val="24"/>
                    </w:rPr>
                    <m:t>2</m:t>
                  </m:r>
                </m:sub>
              </m:sSub>
            </m:den>
          </m:f>
          <m:r>
            <w:rPr>
              <w:rFonts w:ascii="Cambria Math" w:eastAsia="宋体" w:hAnsi="Cambria Math" w:cs="宋体"/>
              <w:color w:val="000000"/>
              <w:kern w:val="0"/>
              <w:sz w:val="24"/>
              <w:szCs w:val="24"/>
            </w:rPr>
            <m:t>+…</m:t>
          </m:r>
          <m:f>
            <m:fPr>
              <m:ctrlPr>
                <w:rPr>
                  <w:rFonts w:ascii="Cambria Math" w:eastAsia="宋体" w:hAnsi="Cambria Math" w:cs="宋体"/>
                  <w:i/>
                  <w:color w:val="000000"/>
                  <w:kern w:val="0"/>
                  <w:sz w:val="24"/>
                  <w:szCs w:val="24"/>
                </w:rPr>
              </m:ctrlPr>
            </m:fPr>
            <m:num>
              <m:sSub>
                <m:sSubPr>
                  <m:ctrlPr>
                    <w:rPr>
                      <w:rFonts w:ascii="Cambria Math" w:eastAsia="宋体" w:hAnsi="Cambria Math" w:cs="宋体"/>
                      <w:i/>
                      <w:color w:val="000000"/>
                      <w:kern w:val="0"/>
                      <w:sz w:val="24"/>
                      <w:szCs w:val="24"/>
                    </w:rPr>
                  </m:ctrlPr>
                </m:sSubPr>
                <m:e>
                  <m:r>
                    <w:rPr>
                      <w:rFonts w:ascii="Cambria Math" w:eastAsia="宋体" w:hAnsi="Cambria Math" w:cs="宋体"/>
                      <w:color w:val="000000"/>
                      <w:kern w:val="0"/>
                      <w:sz w:val="24"/>
                      <w:szCs w:val="24"/>
                    </w:rPr>
                    <m:t>q</m:t>
                  </m:r>
                </m:e>
                <m:sub>
                  <m:r>
                    <w:rPr>
                      <w:rFonts w:ascii="Cambria Math" w:eastAsia="宋体" w:hAnsi="Cambria Math" w:cs="宋体"/>
                      <w:color w:val="000000"/>
                      <w:kern w:val="0"/>
                      <w:sz w:val="24"/>
                      <w:szCs w:val="24"/>
                    </w:rPr>
                    <m:t>n</m:t>
                  </m:r>
                </m:sub>
              </m:sSub>
            </m:num>
            <m:den>
              <m:sSub>
                <m:sSubPr>
                  <m:ctrlPr>
                    <w:rPr>
                      <w:rFonts w:ascii="Cambria Math" w:eastAsia="宋体" w:hAnsi="Cambria Math" w:cs="宋体"/>
                      <w:i/>
                      <w:color w:val="000000"/>
                      <w:kern w:val="0"/>
                      <w:sz w:val="24"/>
                      <w:szCs w:val="24"/>
                    </w:rPr>
                  </m:ctrlPr>
                </m:sSubPr>
                <m:e>
                  <m:r>
                    <w:rPr>
                      <w:rFonts w:ascii="Cambria Math" w:eastAsia="宋体" w:hAnsi="Cambria Math" w:cs="宋体"/>
                      <w:color w:val="000000"/>
                      <w:kern w:val="0"/>
                      <w:sz w:val="24"/>
                      <w:szCs w:val="24"/>
                    </w:rPr>
                    <m:t>Q</m:t>
                  </m:r>
                </m:e>
                <m:sub>
                  <m:r>
                    <w:rPr>
                      <w:rFonts w:ascii="Cambria Math" w:eastAsia="宋体" w:hAnsi="Cambria Math" w:cs="宋体"/>
                      <w:color w:val="000000"/>
                      <w:kern w:val="0"/>
                      <w:sz w:val="24"/>
                      <w:szCs w:val="24"/>
                    </w:rPr>
                    <m:t>n</m:t>
                  </m:r>
                </m:sub>
              </m:sSub>
            </m:den>
          </m:f>
        </m:oMath>
      </m:oMathPara>
    </w:p>
    <w:p w:rsidR="00D228BE" w:rsidRPr="00677D1F" w:rsidRDefault="00332EB6" w:rsidP="00677D1F">
      <w:pPr>
        <w:widowControl/>
        <w:spacing w:line="360" w:lineRule="auto"/>
        <w:ind w:firstLineChars="200" w:firstLine="48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式中：q</w:t>
      </w:r>
      <w:r w:rsidRPr="00677D1F">
        <w:rPr>
          <w:rFonts w:ascii="宋体" w:eastAsia="宋体" w:hAnsi="宋体" w:cs="宋体" w:hint="eastAsia"/>
          <w:color w:val="000000"/>
          <w:kern w:val="0"/>
          <w:sz w:val="24"/>
          <w:szCs w:val="24"/>
          <w:vertAlign w:val="subscript"/>
        </w:rPr>
        <w:t>1</w:t>
      </w:r>
      <w:r w:rsidRPr="00677D1F">
        <w:rPr>
          <w:rFonts w:ascii="宋体" w:eastAsia="宋体" w:hAnsi="宋体" w:cs="宋体" w:hint="eastAsia"/>
          <w:color w:val="000000"/>
          <w:kern w:val="0"/>
          <w:sz w:val="24"/>
          <w:szCs w:val="24"/>
        </w:rPr>
        <w:t>，q</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……，q</w:t>
      </w:r>
      <w:r w:rsidRPr="00677D1F">
        <w:rPr>
          <w:rFonts w:ascii="宋体" w:eastAsia="宋体" w:hAnsi="宋体" w:cs="宋体" w:hint="eastAsia"/>
          <w:color w:val="000000"/>
          <w:kern w:val="0"/>
          <w:sz w:val="24"/>
          <w:szCs w:val="24"/>
          <w:vertAlign w:val="subscript"/>
        </w:rPr>
        <w:t>n</w:t>
      </w:r>
      <w:r w:rsidRPr="00677D1F">
        <w:rPr>
          <w:rFonts w:ascii="宋体" w:eastAsia="宋体" w:hAnsi="宋体" w:cs="宋体" w:hint="eastAsia"/>
          <w:color w:val="000000"/>
          <w:kern w:val="0"/>
          <w:sz w:val="24"/>
          <w:szCs w:val="24"/>
        </w:rPr>
        <w:t>——每种危险物质的最大存在总量，t；</w:t>
      </w:r>
    </w:p>
    <w:p w:rsidR="00D228BE" w:rsidRPr="00677D1F" w:rsidRDefault="00332EB6" w:rsidP="00677D1F">
      <w:pPr>
        <w:widowControl/>
        <w:spacing w:line="360" w:lineRule="auto"/>
        <w:ind w:firstLineChars="500" w:firstLine="1200"/>
        <w:contextualSpacing/>
        <w:rPr>
          <w:rFonts w:ascii="宋体" w:eastAsia="宋体" w:hAnsi="宋体" w:cs="宋体"/>
          <w:color w:val="000000"/>
          <w:kern w:val="0"/>
          <w:sz w:val="24"/>
          <w:szCs w:val="24"/>
        </w:rPr>
      </w:pPr>
      <w:r w:rsidRPr="00677D1F">
        <w:rPr>
          <w:rFonts w:ascii="宋体" w:eastAsia="宋体" w:hAnsi="宋体" w:cs="宋体" w:hint="eastAsia"/>
          <w:color w:val="000000"/>
          <w:kern w:val="0"/>
          <w:sz w:val="24"/>
          <w:szCs w:val="24"/>
        </w:rPr>
        <w:t>Q</w:t>
      </w:r>
      <w:r w:rsidRPr="00677D1F">
        <w:rPr>
          <w:rFonts w:ascii="宋体" w:eastAsia="宋体" w:hAnsi="宋体" w:cs="宋体" w:hint="eastAsia"/>
          <w:color w:val="000000"/>
          <w:kern w:val="0"/>
          <w:sz w:val="24"/>
          <w:szCs w:val="24"/>
          <w:vertAlign w:val="subscript"/>
        </w:rPr>
        <w:t>1</w:t>
      </w:r>
      <w:r w:rsidRPr="00677D1F">
        <w:rPr>
          <w:rFonts w:ascii="宋体" w:eastAsia="宋体" w:hAnsi="宋体" w:cs="宋体" w:hint="eastAsia"/>
          <w:color w:val="000000"/>
          <w:kern w:val="0"/>
          <w:sz w:val="24"/>
          <w:szCs w:val="24"/>
        </w:rPr>
        <w:t>，Q</w:t>
      </w:r>
      <w:r w:rsidRPr="00677D1F">
        <w:rPr>
          <w:rFonts w:ascii="宋体" w:eastAsia="宋体" w:hAnsi="宋体" w:cs="宋体" w:hint="eastAsia"/>
          <w:color w:val="000000"/>
          <w:kern w:val="0"/>
          <w:sz w:val="24"/>
          <w:szCs w:val="24"/>
          <w:vertAlign w:val="subscript"/>
        </w:rPr>
        <w:t>2</w:t>
      </w:r>
      <w:r w:rsidRPr="00677D1F">
        <w:rPr>
          <w:rFonts w:ascii="宋体" w:eastAsia="宋体" w:hAnsi="宋体" w:cs="宋体" w:hint="eastAsia"/>
          <w:color w:val="000000"/>
          <w:kern w:val="0"/>
          <w:sz w:val="24"/>
          <w:szCs w:val="24"/>
        </w:rPr>
        <w:t>，…，Q</w:t>
      </w:r>
      <w:r w:rsidRPr="00677D1F">
        <w:rPr>
          <w:rFonts w:ascii="宋体" w:eastAsia="宋体" w:hAnsi="宋体" w:cs="宋体" w:hint="eastAsia"/>
          <w:color w:val="000000"/>
          <w:kern w:val="0"/>
          <w:sz w:val="24"/>
          <w:szCs w:val="24"/>
          <w:vertAlign w:val="subscript"/>
        </w:rPr>
        <w:t>n</w:t>
      </w:r>
      <w:r w:rsidRPr="00677D1F">
        <w:rPr>
          <w:rFonts w:ascii="宋体" w:eastAsia="宋体" w:hAnsi="宋体" w:cs="宋体" w:hint="eastAsia"/>
          <w:color w:val="000000"/>
          <w:kern w:val="0"/>
          <w:sz w:val="24"/>
          <w:szCs w:val="24"/>
        </w:rPr>
        <w:t>——每种危险物质的临界量，t。</w:t>
      </w:r>
    </w:p>
    <w:p w:rsidR="00D228BE" w:rsidRPr="00677D1F" w:rsidRDefault="00D228BE" w:rsidP="00677D1F">
      <w:pPr>
        <w:widowControl/>
        <w:spacing w:line="360" w:lineRule="auto"/>
        <w:ind w:firstLineChars="200" w:firstLine="480"/>
        <w:contextualSpacing/>
        <w:rPr>
          <w:rFonts w:ascii="宋体" w:eastAsia="宋体" w:hAnsi="宋体" w:cs="宋体"/>
          <w:color w:val="000000"/>
          <w:kern w:val="0"/>
          <w:sz w:val="24"/>
          <w:szCs w:val="24"/>
        </w:rPr>
      </w:pPr>
    </w:p>
    <w:p w:rsidR="00390272" w:rsidRPr="00677D1F" w:rsidRDefault="00390272" w:rsidP="00677D1F">
      <w:pPr>
        <w:pStyle w:val="3"/>
        <w:ind w:firstLine="482"/>
        <w:contextualSpacing/>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行业及生产工艺（M）</w:t>
      </w:r>
    </w:p>
    <w:tbl>
      <w:tblPr>
        <w:tblStyle w:val="aa"/>
        <w:tblW w:w="9072" w:type="dxa"/>
        <w:jc w:val="center"/>
        <w:tblLayout w:type="fixed"/>
        <w:tblLook w:val="04A0" w:firstRow="1" w:lastRow="0" w:firstColumn="1" w:lastColumn="0" w:noHBand="0" w:noVBand="1"/>
      </w:tblPr>
      <w:tblGrid>
        <w:gridCol w:w="1801"/>
        <w:gridCol w:w="5953"/>
        <w:gridCol w:w="1318"/>
      </w:tblGrid>
      <w:tr w:rsidR="00D228BE" w:rsidRPr="00677D1F">
        <w:trPr>
          <w:trHeight w:val="340"/>
          <w:jc w:val="center"/>
        </w:trPr>
        <w:tc>
          <w:tcPr>
            <w:tcW w:w="1801"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行业</w:t>
            </w:r>
          </w:p>
        </w:tc>
        <w:tc>
          <w:tcPr>
            <w:tcW w:w="5953"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评估依据</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分值</w:t>
            </w:r>
          </w:p>
        </w:tc>
      </w:tr>
      <w:tr w:rsidR="00D228BE" w:rsidRPr="00677D1F">
        <w:trPr>
          <w:trHeight w:val="340"/>
          <w:jc w:val="center"/>
        </w:trPr>
        <w:tc>
          <w:tcPr>
            <w:tcW w:w="1801" w:type="dxa"/>
            <w:vMerge w:val="restart"/>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石化、化工、医药、轻工、化纤、有色冶炼等</w:t>
            </w:r>
          </w:p>
        </w:tc>
        <w:tc>
          <w:tcPr>
            <w:tcW w:w="5953"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涉及光气及光气工艺、</w:t>
            </w:r>
            <w:r w:rsidRPr="00677D1F">
              <w:rPr>
                <w:rFonts w:ascii="宋体" w:eastAsia="宋体" w:hAnsi="宋体" w:cs="宋体" w:hint="eastAsia"/>
                <w:b/>
                <w:color w:val="000000"/>
                <w:kern w:val="0"/>
                <w:sz w:val="18"/>
                <w:szCs w:val="18"/>
              </w:rPr>
              <w:t>电解工艺（氯碱）</w:t>
            </w:r>
            <w:r w:rsidRPr="00677D1F">
              <w:rPr>
                <w:rFonts w:ascii="宋体" w:eastAsia="宋体" w:hAnsi="宋体" w:cs="宋体" w:hint="eastAsia"/>
                <w:color w:val="000000"/>
                <w:kern w:val="0"/>
                <w:sz w:val="18"/>
                <w:szCs w:val="18"/>
              </w:rPr>
              <w:t>、</w:t>
            </w:r>
            <w:r w:rsidRPr="00677D1F">
              <w:rPr>
                <w:rFonts w:ascii="宋体" w:eastAsia="宋体" w:hAnsi="宋体" w:cs="宋体" w:hint="eastAsia"/>
                <w:b/>
                <w:color w:val="000000"/>
                <w:kern w:val="0"/>
                <w:sz w:val="18"/>
                <w:szCs w:val="18"/>
              </w:rPr>
              <w:t>氯化工艺</w:t>
            </w:r>
            <w:r w:rsidRPr="00677D1F">
              <w:rPr>
                <w:rFonts w:ascii="宋体" w:eastAsia="宋体" w:hAnsi="宋体" w:cs="宋体" w:hint="eastAsia"/>
                <w:color w:val="000000"/>
                <w:kern w:val="0"/>
                <w:sz w:val="18"/>
                <w:szCs w:val="18"/>
              </w:rPr>
              <w:t>、硝化工艺、合成氨工艺、裂解（裂化）工艺、氟化工艺、加氢工艺、重氮化工艺、氧化工艺、过氧化工艺、胺基化工艺、磺化工艺、聚合工艺、烷基化工艺、新型煤化工工艺、电石生产工艺、偶氮化工艺</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10/套</w:t>
            </w:r>
          </w:p>
        </w:tc>
      </w:tr>
      <w:tr w:rsidR="00D228BE" w:rsidRPr="00677D1F">
        <w:trPr>
          <w:trHeight w:val="340"/>
          <w:jc w:val="center"/>
        </w:trPr>
        <w:tc>
          <w:tcPr>
            <w:tcW w:w="1801" w:type="dxa"/>
            <w:vMerge/>
            <w:vAlign w:val="center"/>
          </w:tcPr>
          <w:p w:rsidR="00D228BE" w:rsidRPr="00677D1F" w:rsidRDefault="00D228BE" w:rsidP="00677D1F">
            <w:pPr>
              <w:widowControl/>
              <w:spacing w:line="240" w:lineRule="exact"/>
              <w:contextualSpacing/>
              <w:rPr>
                <w:rFonts w:ascii="宋体" w:eastAsia="宋体" w:hAnsi="宋体" w:cs="宋体"/>
                <w:color w:val="000000"/>
                <w:kern w:val="0"/>
                <w:sz w:val="18"/>
                <w:szCs w:val="18"/>
              </w:rPr>
            </w:pPr>
          </w:p>
        </w:tc>
        <w:tc>
          <w:tcPr>
            <w:tcW w:w="5953"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无机酸制酸工艺、焦化工艺</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5/套</w:t>
            </w:r>
          </w:p>
        </w:tc>
      </w:tr>
      <w:tr w:rsidR="00D228BE" w:rsidRPr="00677D1F">
        <w:trPr>
          <w:trHeight w:val="340"/>
          <w:jc w:val="center"/>
        </w:trPr>
        <w:tc>
          <w:tcPr>
            <w:tcW w:w="1801" w:type="dxa"/>
            <w:vMerge/>
            <w:vAlign w:val="center"/>
          </w:tcPr>
          <w:p w:rsidR="00D228BE" w:rsidRPr="00677D1F" w:rsidRDefault="00D228BE" w:rsidP="00677D1F">
            <w:pPr>
              <w:widowControl/>
              <w:spacing w:line="240" w:lineRule="exact"/>
              <w:contextualSpacing/>
              <w:rPr>
                <w:rFonts w:ascii="宋体" w:eastAsia="宋体" w:hAnsi="宋体" w:cs="宋体"/>
                <w:color w:val="000000"/>
                <w:kern w:val="0"/>
                <w:sz w:val="18"/>
                <w:szCs w:val="18"/>
              </w:rPr>
            </w:pPr>
          </w:p>
        </w:tc>
        <w:tc>
          <w:tcPr>
            <w:tcW w:w="5953"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其他高温或高压，且涉及危险物质的工艺过程</w:t>
            </w:r>
            <w:r w:rsidRPr="00677D1F">
              <w:rPr>
                <w:rFonts w:ascii="宋体" w:eastAsia="宋体" w:hAnsi="宋体" w:cs="宋体" w:hint="eastAsia"/>
                <w:color w:val="000000"/>
                <w:kern w:val="0"/>
                <w:sz w:val="18"/>
                <w:szCs w:val="18"/>
                <w:vertAlign w:val="superscript"/>
              </w:rPr>
              <w:t>a</w:t>
            </w:r>
            <w:r w:rsidRPr="00677D1F">
              <w:rPr>
                <w:rFonts w:ascii="宋体" w:eastAsia="宋体" w:hAnsi="宋体" w:cs="宋体" w:hint="eastAsia"/>
                <w:color w:val="000000"/>
                <w:kern w:val="0"/>
                <w:sz w:val="18"/>
                <w:szCs w:val="18"/>
              </w:rPr>
              <w:t>、</w:t>
            </w:r>
            <w:r w:rsidRPr="00677D1F">
              <w:rPr>
                <w:rFonts w:ascii="宋体" w:eastAsia="宋体" w:hAnsi="宋体" w:cs="宋体" w:hint="eastAsia"/>
                <w:b/>
                <w:color w:val="000000"/>
                <w:kern w:val="0"/>
                <w:sz w:val="18"/>
                <w:szCs w:val="18"/>
              </w:rPr>
              <w:t>危险物质贮存罐区</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5/套（罐区）</w:t>
            </w:r>
          </w:p>
        </w:tc>
      </w:tr>
      <w:tr w:rsidR="00D228BE" w:rsidRPr="00677D1F">
        <w:trPr>
          <w:trHeight w:val="340"/>
          <w:jc w:val="center"/>
        </w:trPr>
        <w:tc>
          <w:tcPr>
            <w:tcW w:w="1801"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管道、港口/码头等</w:t>
            </w:r>
          </w:p>
        </w:tc>
        <w:tc>
          <w:tcPr>
            <w:tcW w:w="5953"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涉及危险物质管道运输项目、港口/码头等</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w:t>
            </w:r>
          </w:p>
        </w:tc>
      </w:tr>
      <w:tr w:rsidR="00D228BE" w:rsidRPr="00677D1F">
        <w:trPr>
          <w:trHeight w:val="340"/>
          <w:jc w:val="center"/>
        </w:trPr>
        <w:tc>
          <w:tcPr>
            <w:tcW w:w="1801"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石油天然气</w:t>
            </w:r>
          </w:p>
        </w:tc>
        <w:tc>
          <w:tcPr>
            <w:tcW w:w="5953"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石油、天然气、页岩气开采（含净化），气库（不含加气站的气库），油库（不含加气站的油库）、油气管线</w:t>
            </w:r>
            <w:r w:rsidRPr="00677D1F">
              <w:rPr>
                <w:rFonts w:ascii="宋体" w:eastAsia="宋体" w:hAnsi="宋体" w:cs="宋体" w:hint="eastAsia"/>
                <w:color w:val="000000"/>
                <w:kern w:val="0"/>
                <w:sz w:val="18"/>
                <w:szCs w:val="18"/>
                <w:vertAlign w:val="superscript"/>
              </w:rPr>
              <w:t>b</w:t>
            </w:r>
            <w:r w:rsidRPr="00677D1F">
              <w:rPr>
                <w:rFonts w:ascii="宋体" w:eastAsia="宋体" w:hAnsi="宋体" w:cs="宋体" w:hint="eastAsia"/>
                <w:color w:val="000000"/>
                <w:kern w:val="0"/>
                <w:sz w:val="18"/>
                <w:szCs w:val="18"/>
              </w:rPr>
              <w:t>（不含城镇燃气管线）</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10</w:t>
            </w:r>
          </w:p>
        </w:tc>
      </w:tr>
      <w:tr w:rsidR="00D228BE" w:rsidRPr="00677D1F">
        <w:trPr>
          <w:trHeight w:val="340"/>
          <w:jc w:val="center"/>
        </w:trPr>
        <w:tc>
          <w:tcPr>
            <w:tcW w:w="1801"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其他</w:t>
            </w:r>
          </w:p>
        </w:tc>
        <w:tc>
          <w:tcPr>
            <w:tcW w:w="5953" w:type="dxa"/>
            <w:vAlign w:val="center"/>
          </w:tcPr>
          <w:p w:rsidR="00D228BE" w:rsidRPr="00677D1F" w:rsidRDefault="00332EB6" w:rsidP="00677D1F">
            <w:pPr>
              <w:widowControl/>
              <w:spacing w:line="240" w:lineRule="exact"/>
              <w:contextualSpacing/>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涉及危险物质使用、贮存的项目</w:t>
            </w:r>
          </w:p>
        </w:tc>
        <w:tc>
          <w:tcPr>
            <w:tcW w:w="1318"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rPr>
              <w:t>5</w:t>
            </w:r>
          </w:p>
        </w:tc>
      </w:tr>
      <w:tr w:rsidR="00D228BE" w:rsidRPr="00677D1F">
        <w:trPr>
          <w:trHeight w:val="340"/>
          <w:jc w:val="center"/>
        </w:trPr>
        <w:tc>
          <w:tcPr>
            <w:tcW w:w="9072" w:type="dxa"/>
            <w:gridSpan w:val="3"/>
            <w:vAlign w:val="center"/>
          </w:tcPr>
          <w:p w:rsidR="00D228BE" w:rsidRPr="00677D1F" w:rsidRDefault="00332EB6" w:rsidP="00677D1F">
            <w:pPr>
              <w:widowControl/>
              <w:spacing w:line="240" w:lineRule="exact"/>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vertAlign w:val="superscript"/>
              </w:rPr>
              <w:t>a</w:t>
            </w:r>
            <w:r w:rsidRPr="00677D1F">
              <w:rPr>
                <w:rFonts w:ascii="宋体" w:eastAsia="宋体" w:hAnsi="宋体" w:cs="宋体" w:hint="eastAsia"/>
                <w:color w:val="000000"/>
                <w:kern w:val="0"/>
                <w:sz w:val="18"/>
                <w:szCs w:val="18"/>
              </w:rPr>
              <w:t>高温指工艺温度≥300℃，高压指压力容器的设计压力（P）≥10.0MPa；</w:t>
            </w:r>
          </w:p>
          <w:p w:rsidR="00D228BE" w:rsidRPr="00677D1F" w:rsidRDefault="00332EB6" w:rsidP="00677D1F">
            <w:pPr>
              <w:widowControl/>
              <w:spacing w:line="240" w:lineRule="exact"/>
              <w:contextualSpacing/>
              <w:jc w:val="left"/>
              <w:rPr>
                <w:rFonts w:ascii="宋体" w:eastAsia="宋体" w:hAnsi="宋体" w:cs="宋体"/>
                <w:color w:val="000000"/>
                <w:kern w:val="0"/>
                <w:sz w:val="18"/>
                <w:szCs w:val="18"/>
              </w:rPr>
            </w:pPr>
            <w:r w:rsidRPr="00677D1F">
              <w:rPr>
                <w:rFonts w:ascii="宋体" w:eastAsia="宋体" w:hAnsi="宋体" w:cs="宋体" w:hint="eastAsia"/>
                <w:color w:val="000000"/>
                <w:kern w:val="0"/>
                <w:sz w:val="18"/>
                <w:szCs w:val="18"/>
                <w:vertAlign w:val="superscript"/>
              </w:rPr>
              <w:t>b</w:t>
            </w:r>
            <w:r w:rsidRPr="00677D1F">
              <w:rPr>
                <w:rFonts w:ascii="宋体" w:eastAsia="宋体" w:hAnsi="宋体" w:cs="宋体" w:hint="eastAsia"/>
                <w:color w:val="000000"/>
                <w:kern w:val="0"/>
                <w:sz w:val="18"/>
                <w:szCs w:val="18"/>
              </w:rPr>
              <w:t>长输管道运输项目应按站场、管线分段进行评价。</w:t>
            </w:r>
          </w:p>
        </w:tc>
      </w:tr>
    </w:tbl>
    <w:p w:rsidR="00D228BE" w:rsidRPr="00677D1F" w:rsidRDefault="00D228BE" w:rsidP="00677D1F">
      <w:pPr>
        <w:widowControl/>
        <w:contextualSpacing/>
        <w:rPr>
          <w:rFonts w:ascii="宋体" w:eastAsia="宋体" w:hAnsi="宋体" w:cs="宋体"/>
          <w:color w:val="000000"/>
          <w:kern w:val="0"/>
          <w:sz w:val="24"/>
          <w:szCs w:val="24"/>
        </w:rPr>
      </w:pPr>
    </w:p>
    <w:p w:rsidR="00D228BE" w:rsidRPr="00677D1F" w:rsidRDefault="00332EB6" w:rsidP="00677D1F">
      <w:pPr>
        <w:widowControl/>
        <w:contextualSpacing/>
        <w:rPr>
          <w:rFonts w:ascii="宋体" w:eastAsia="宋体" w:hAnsi="宋体" w:cs="宋体"/>
          <w:color w:val="000000"/>
          <w:kern w:val="0"/>
          <w:szCs w:val="21"/>
        </w:rPr>
      </w:pPr>
      <w:r w:rsidRPr="00677D1F">
        <w:rPr>
          <w:rFonts w:ascii="宋体" w:eastAsia="宋体" w:hAnsi="宋体" w:cs="宋体" w:hint="eastAsia"/>
          <w:color w:val="000000"/>
          <w:kern w:val="0"/>
          <w:szCs w:val="21"/>
        </w:rPr>
        <w:t>本项目属于M1范畴</w:t>
      </w:r>
    </w:p>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突发环境事件风险物质及临界量</w:t>
      </w:r>
    </w:p>
    <w:tbl>
      <w:tblPr>
        <w:tblStyle w:val="aa"/>
        <w:tblW w:w="9072" w:type="dxa"/>
        <w:jc w:val="center"/>
        <w:tblLayout w:type="fixed"/>
        <w:tblLook w:val="04A0" w:firstRow="1" w:lastRow="0" w:firstColumn="1" w:lastColumn="0" w:noHBand="0" w:noVBand="1"/>
      </w:tblPr>
      <w:tblGrid>
        <w:gridCol w:w="856"/>
        <w:gridCol w:w="2120"/>
        <w:gridCol w:w="1557"/>
        <w:gridCol w:w="1845"/>
        <w:gridCol w:w="2694"/>
      </w:tblGrid>
      <w:tr w:rsidR="00D228BE" w:rsidRPr="00677D1F">
        <w:trPr>
          <w:trHeight w:val="340"/>
          <w:jc w:val="center"/>
        </w:trPr>
        <w:tc>
          <w:tcPr>
            <w:tcW w:w="856"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序号</w:t>
            </w: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物质名称</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CAS号</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临界量（t）</w:t>
            </w:r>
          </w:p>
        </w:tc>
        <w:tc>
          <w:tcPr>
            <w:tcW w:w="2694"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最大存在总量（t）</w:t>
            </w: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氯气</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7782-50-5</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氯化氢</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7647-01-0</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2.5</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一氧化碳</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630-08-0</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7.5</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次氯酸钠</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7681-52-9</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5</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盐酸（≥37%）</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7647-01-0</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7.5</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硫酸</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7664-93-9</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10</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硝酸</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7697-37-2</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7.5</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四氯化钛</w:t>
            </w:r>
          </w:p>
        </w:tc>
        <w:tc>
          <w:tcPr>
            <w:tcW w:w="1557"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7550-45-0</w:t>
            </w:r>
          </w:p>
        </w:tc>
        <w:tc>
          <w:tcPr>
            <w:tcW w:w="184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w:t>
            </w: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r w:rsidR="00D228BE" w:rsidRPr="00677D1F">
        <w:trPr>
          <w:trHeight w:val="340"/>
          <w:jc w:val="center"/>
        </w:trPr>
        <w:tc>
          <w:tcPr>
            <w:tcW w:w="856"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120"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1557"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1845"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c>
          <w:tcPr>
            <w:tcW w:w="2694" w:type="dxa"/>
            <w:vAlign w:val="center"/>
          </w:tcPr>
          <w:p w:rsidR="00D228BE" w:rsidRPr="00677D1F" w:rsidRDefault="00D228BE" w:rsidP="00677D1F">
            <w:pPr>
              <w:widowControl/>
              <w:spacing w:line="240" w:lineRule="exact"/>
              <w:contextualSpacing/>
              <w:jc w:val="center"/>
              <w:rPr>
                <w:rFonts w:ascii="宋体" w:eastAsia="宋体" w:hAnsi="宋体" w:cs="宋体"/>
                <w:color w:val="000000"/>
                <w:kern w:val="0"/>
                <w:szCs w:val="21"/>
              </w:rPr>
            </w:pP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危险物质及工艺系统危险性等级判断（P）</w:t>
      </w:r>
    </w:p>
    <w:tbl>
      <w:tblPr>
        <w:tblStyle w:val="aa"/>
        <w:tblW w:w="9072" w:type="dxa"/>
        <w:jc w:val="center"/>
        <w:tblLayout w:type="fixed"/>
        <w:tblLook w:val="04A0" w:firstRow="1" w:lastRow="0" w:firstColumn="1" w:lastColumn="0" w:noHBand="0" w:noVBand="1"/>
      </w:tblPr>
      <w:tblGrid>
        <w:gridCol w:w="1814"/>
        <w:gridCol w:w="1814"/>
        <w:gridCol w:w="1814"/>
        <w:gridCol w:w="1815"/>
        <w:gridCol w:w="1815"/>
      </w:tblGrid>
      <w:tr w:rsidR="00D228BE" w:rsidRPr="00677D1F">
        <w:trPr>
          <w:trHeight w:val="340"/>
          <w:jc w:val="center"/>
        </w:trPr>
        <w:tc>
          <w:tcPr>
            <w:tcW w:w="1814" w:type="dxa"/>
            <w:vMerge w:val="restart"/>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危险物质数量</w:t>
            </w:r>
          </w:p>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与临界量比值（Q）</w:t>
            </w:r>
          </w:p>
        </w:tc>
        <w:tc>
          <w:tcPr>
            <w:tcW w:w="7258" w:type="dxa"/>
            <w:gridSpan w:val="4"/>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行业及生产工艺（M）</w:t>
            </w:r>
          </w:p>
        </w:tc>
      </w:tr>
      <w:tr w:rsidR="00D228BE" w:rsidRPr="00677D1F">
        <w:trPr>
          <w:trHeight w:val="340"/>
          <w:jc w:val="center"/>
        </w:trPr>
        <w:tc>
          <w:tcPr>
            <w:tcW w:w="1814" w:type="dxa"/>
            <w:vMerge/>
            <w:vAlign w:val="center"/>
          </w:tcPr>
          <w:p w:rsidR="00D228BE" w:rsidRPr="00677D1F" w:rsidRDefault="00D228BE" w:rsidP="00677D1F">
            <w:pPr>
              <w:widowControl/>
              <w:spacing w:line="240" w:lineRule="exact"/>
              <w:contextualSpacing/>
              <w:jc w:val="center"/>
              <w:rPr>
                <w:rFonts w:ascii="宋体" w:eastAsia="宋体" w:hAnsi="宋体" w:cs="宋体"/>
                <w:b/>
                <w:color w:val="000000"/>
                <w:kern w:val="0"/>
                <w:szCs w:val="21"/>
              </w:rPr>
            </w:pP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M1</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M2</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M3</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b/>
                <w:color w:val="000000"/>
                <w:kern w:val="0"/>
                <w:szCs w:val="21"/>
              </w:rPr>
            </w:pPr>
            <w:r w:rsidRPr="00677D1F">
              <w:rPr>
                <w:rFonts w:ascii="宋体" w:eastAsia="宋体" w:hAnsi="宋体" w:cs="宋体" w:hint="eastAsia"/>
                <w:b/>
                <w:color w:val="000000"/>
                <w:kern w:val="0"/>
                <w:szCs w:val="21"/>
              </w:rPr>
              <w:t>M4</w:t>
            </w:r>
          </w:p>
        </w:tc>
      </w:tr>
      <w:tr w:rsidR="00D228BE" w:rsidRPr="00677D1F">
        <w:trPr>
          <w:trHeight w:val="340"/>
          <w:jc w:val="center"/>
        </w:trPr>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Q≥100</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P1</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P1</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P2</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P3</w:t>
            </w:r>
          </w:p>
        </w:tc>
      </w:tr>
      <w:tr w:rsidR="00D228BE" w:rsidRPr="00677D1F">
        <w:trPr>
          <w:trHeight w:val="340"/>
          <w:jc w:val="center"/>
        </w:trPr>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10≤Q＜100</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P1</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P2</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P3</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P4</w:t>
            </w:r>
          </w:p>
        </w:tc>
      </w:tr>
      <w:tr w:rsidR="00D228BE" w:rsidRPr="00677D1F">
        <w:trPr>
          <w:trHeight w:val="340"/>
          <w:jc w:val="center"/>
        </w:trPr>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1≤Q＜10</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P2</w:t>
            </w:r>
          </w:p>
        </w:tc>
        <w:tc>
          <w:tcPr>
            <w:tcW w:w="1814"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P3</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P4</w:t>
            </w:r>
          </w:p>
        </w:tc>
        <w:tc>
          <w:tcPr>
            <w:tcW w:w="1815" w:type="dxa"/>
            <w:vAlign w:val="center"/>
          </w:tcPr>
          <w:p w:rsidR="00D228BE" w:rsidRPr="00677D1F" w:rsidRDefault="00332EB6" w:rsidP="00677D1F">
            <w:pPr>
              <w:widowControl/>
              <w:spacing w:line="240" w:lineRule="exact"/>
              <w:contextualSpacing/>
              <w:jc w:val="center"/>
              <w:rPr>
                <w:rFonts w:ascii="宋体" w:eastAsia="宋体" w:hAnsi="宋体" w:cs="宋体"/>
                <w:color w:val="000000"/>
                <w:kern w:val="0"/>
                <w:szCs w:val="21"/>
              </w:rPr>
            </w:pPr>
            <w:r w:rsidRPr="00677D1F">
              <w:rPr>
                <w:rFonts w:ascii="宋体" w:eastAsia="宋体" w:hAnsi="宋体" w:cs="宋体" w:hint="eastAsia"/>
                <w:color w:val="000000"/>
                <w:kern w:val="0"/>
                <w:szCs w:val="21"/>
              </w:rPr>
              <w:t>P4</w:t>
            </w:r>
          </w:p>
        </w:tc>
      </w:tr>
    </w:tbl>
    <w:p w:rsidR="00D228BE" w:rsidRPr="00677D1F" w:rsidRDefault="00D228BE" w:rsidP="00677D1F">
      <w:pPr>
        <w:widowControl/>
        <w:contextualSpacing/>
        <w:rPr>
          <w:rFonts w:ascii="宋体" w:eastAsia="宋体" w:hAnsi="宋体" w:cs="宋体"/>
          <w:color w:val="000000"/>
          <w:kern w:val="0"/>
          <w:szCs w:val="21"/>
        </w:rPr>
      </w:pP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8.2.2</w:t>
      </w:r>
      <w:r w:rsidRPr="00677D1F">
        <w:rPr>
          <w:rFonts w:ascii="宋体" w:hAnsi="宋体" w:hint="eastAsia"/>
          <w:sz w:val="28"/>
          <w:szCs w:val="28"/>
        </w:rPr>
        <w:t>环境风险评价范围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评价范围为以本项目区厂址中心为源点、半径</w:t>
      </w:r>
      <w:r w:rsidRPr="00677D1F">
        <w:rPr>
          <w:rFonts w:asciiTheme="minorEastAsia" w:hAnsiTheme="minorEastAsia" w:cs="宋体"/>
          <w:color w:val="000000"/>
          <w:kern w:val="0"/>
          <w:sz w:val="24"/>
          <w:szCs w:val="24"/>
        </w:rPr>
        <w:t>5km</w:t>
      </w:r>
      <w:r w:rsidRPr="00677D1F">
        <w:rPr>
          <w:rFonts w:asciiTheme="minorEastAsia" w:hAnsiTheme="minorEastAsia" w:cs="宋体" w:hint="eastAsia"/>
          <w:color w:val="000000"/>
          <w:kern w:val="0"/>
          <w:sz w:val="24"/>
          <w:szCs w:val="24"/>
        </w:rPr>
        <w:t>的区域。</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8.3</w:t>
      </w:r>
      <w:r w:rsidRPr="00677D1F">
        <w:rPr>
          <w:rFonts w:ascii="宋体" w:hAnsi="宋体" w:hint="eastAsia"/>
          <w:bCs w:val="0"/>
          <w:kern w:val="2"/>
          <w:sz w:val="30"/>
          <w:szCs w:val="30"/>
        </w:rPr>
        <w:t xml:space="preserve"> 风险识别</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8.3.1</w:t>
      </w:r>
      <w:r w:rsidRPr="00677D1F">
        <w:rPr>
          <w:rFonts w:ascii="宋体" w:hAnsi="宋体" w:hint="eastAsia"/>
          <w:sz w:val="28"/>
          <w:szCs w:val="28"/>
        </w:rPr>
        <w:t xml:space="preserve"> 风险识别范围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根据《关于进一步加强环境影响评价管理防范环境风险的通知》</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环发环发</w:t>
      </w:r>
      <w:r w:rsidRPr="00677D1F">
        <w:rPr>
          <w:rFonts w:asciiTheme="minorEastAsia" w:hAnsiTheme="minorEastAsia" w:cs="宋体"/>
          <w:color w:val="000000"/>
          <w:kern w:val="0"/>
          <w:sz w:val="24"/>
          <w:szCs w:val="24"/>
        </w:rPr>
        <w:t>[2012]77</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相关要求，从环境风险源、扩散途径、保护目标三方面识别环境风险。环境风险识别应包括生产设施和危险物质的识别，有毒有害物质扩散途径的识别（如大气环境、水环境、土壤等）以及可能受影响的环境保护目标的识别。</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8.3.2</w:t>
      </w:r>
      <w:r w:rsidRPr="00677D1F">
        <w:rPr>
          <w:rFonts w:ascii="宋体" w:hAnsi="宋体" w:hint="eastAsia"/>
          <w:sz w:val="28"/>
          <w:szCs w:val="28"/>
        </w:rPr>
        <w:t xml:space="preserve"> 环境风险源识别</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8.3.2.1</w:t>
      </w:r>
      <w:r w:rsidRPr="00677D1F">
        <w:rPr>
          <w:rFonts w:ascii="Times New Roman" w:eastAsia="宋体" w:hAnsi="Times New Roman" w:cs="Times New Roman" w:hint="eastAsia"/>
          <w:b/>
          <w:bCs/>
          <w:color w:val="000000"/>
          <w:kern w:val="0"/>
          <w:sz w:val="24"/>
          <w:szCs w:val="24"/>
        </w:rPr>
        <w:t xml:space="preserve"> </w:t>
      </w:r>
      <w:r w:rsidRPr="00677D1F">
        <w:rPr>
          <w:rFonts w:ascii="宋体" w:eastAsia="宋体" w:hAnsi="宋体" w:cs="宋体" w:hint="eastAsia"/>
          <w:b/>
          <w:bCs/>
          <w:color w:val="000000"/>
          <w:kern w:val="0"/>
          <w:sz w:val="24"/>
          <w:szCs w:val="24"/>
        </w:rPr>
        <w:t>物质风险识别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根据前面的分析，本项目的风险物质为氢气、氯气、甲烷、氯化氢、硫酸、盐酸、四氯化钛，其主要毒性及危险性见表8.3-1。</w:t>
      </w:r>
    </w:p>
    <w:p w:rsidR="00D228BE" w:rsidRPr="00677D1F" w:rsidRDefault="00332EB6" w:rsidP="00677D1F">
      <w:pPr>
        <w:widowControl/>
        <w:spacing w:line="360" w:lineRule="auto"/>
        <w:contextualSpacing/>
        <w:jc w:val="center"/>
        <w:outlineLvl w:val="8"/>
        <w:rPr>
          <w:rFonts w:asciiTheme="minorEastAsia" w:hAnsiTheme="minorEastAsia" w:cs="宋体"/>
          <w:b/>
          <w:color w:val="000000"/>
          <w:kern w:val="0"/>
          <w:szCs w:val="21"/>
        </w:rPr>
      </w:pPr>
      <w:r w:rsidRPr="00677D1F">
        <w:rPr>
          <w:rFonts w:asciiTheme="minorEastAsia" w:hAnsiTheme="minorEastAsia" w:cs="宋体" w:hint="eastAsia"/>
          <w:b/>
          <w:color w:val="000000"/>
          <w:kern w:val="0"/>
          <w:szCs w:val="21"/>
        </w:rPr>
        <w:t>表8.3-1  本项目的风险物质的主要毒性及危险性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各化学品的物理、化学及毒理学性质见表</w:t>
      </w:r>
      <w:r w:rsidRPr="00677D1F">
        <w:rPr>
          <w:rFonts w:asciiTheme="minorEastAsia" w:hAnsiTheme="minorEastAsia" w:cs="宋体"/>
          <w:color w:val="000000"/>
          <w:kern w:val="0"/>
          <w:sz w:val="24"/>
          <w:szCs w:val="24"/>
        </w:rPr>
        <w:t>8.2-3</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8.3.2.1</w:t>
      </w:r>
      <w:r w:rsidRPr="00677D1F">
        <w:rPr>
          <w:rFonts w:ascii="宋体" w:eastAsia="宋体" w:hAnsi="宋体" w:cs="宋体" w:hint="eastAsia"/>
          <w:b/>
          <w:bCs/>
          <w:color w:val="000000"/>
          <w:kern w:val="0"/>
          <w:sz w:val="24"/>
          <w:szCs w:val="24"/>
        </w:rPr>
        <w:t>生产过程危险分析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钛合金生产过程的危险特性，生产过程中最主要的危险因素是氢气、一氧化碳、天然气、钛粉、钛粒等可能造成的火灾爆炸事故，氯气、氯化氢、氩气、氮气、盐酸、硝酸、四氯化钛等毒性可能造成人员中毒或窒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常见的危害主要有以下方面：</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氢气、一氧化碳、天然气等物料泄漏引起火灾及爆炸；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石油焦、钛粉、钛粒可造成燃烧及粉尘爆炸；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设备、电气等可能发生的电危害和机械伤害；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氯气、氯化氢、一氧化碳、盐酸、硝酸、四氯化钛等毒性引起的中毒；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氩气、氮气等引起的人员窒息；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高温及灼烫伤害；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低温伤害；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静电、违章动火引起火灾爆炸事故；</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压力容器和压力管道危害。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存在的主要危险因素分析结果归纳汇总见表8.3-2。</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表8.3-2主要危险因素汇总表</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8.3.2.2</w:t>
      </w:r>
      <w:r w:rsidRPr="00677D1F">
        <w:rPr>
          <w:rFonts w:ascii="宋体" w:eastAsia="宋体" w:hAnsi="宋体" w:cs="宋体" w:hint="eastAsia"/>
          <w:b/>
          <w:bCs/>
          <w:color w:val="000000"/>
          <w:kern w:val="0"/>
          <w:sz w:val="24"/>
          <w:szCs w:val="24"/>
        </w:rPr>
        <w:t>生产设施危险性识别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生产装置潜在危险性识别范围：主要生产装置、贮运系统、公用工程系统、工程环保设施及辅助生产设施等。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生产装置潜在危险性识别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①钛系统、镁系统及钛加工系统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、在钛生产过程中由于加入了氯气，生产过程排出尾气中含有</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等污染物；在制取</w:t>
      </w:r>
      <w:r w:rsidRPr="00677D1F">
        <w:rPr>
          <w:rFonts w:asciiTheme="minorEastAsia" w:hAnsiTheme="minorEastAsia" w:cs="宋体"/>
          <w:color w:val="000000"/>
          <w:kern w:val="0"/>
          <w:sz w:val="24"/>
          <w:szCs w:val="24"/>
        </w:rPr>
        <w:t>TiCl</w:t>
      </w:r>
      <w:r w:rsidRPr="00677D1F">
        <w:rPr>
          <w:rFonts w:asciiTheme="minorEastAsia" w:hAnsiTheme="minorEastAsia" w:cs="宋体"/>
          <w:color w:val="000000"/>
          <w:kern w:val="0"/>
          <w:sz w:val="24"/>
          <w:szCs w:val="24"/>
          <w:vertAlign w:val="subscript"/>
        </w:rPr>
        <w:t>4</w:t>
      </w:r>
      <w:r w:rsidRPr="00677D1F">
        <w:rPr>
          <w:rFonts w:asciiTheme="minorEastAsia" w:hAnsiTheme="minorEastAsia" w:cs="宋体" w:hint="eastAsia"/>
          <w:color w:val="000000"/>
          <w:kern w:val="0"/>
          <w:sz w:val="24"/>
          <w:szCs w:val="24"/>
        </w:rPr>
        <w:t>的氯化尾气中含有</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是一种常见的窒息性气体，也是一种易燃易爆气体，空气中含</w:t>
      </w:r>
      <w:r w:rsidRPr="00677D1F">
        <w:rPr>
          <w:rFonts w:asciiTheme="minorEastAsia" w:hAnsiTheme="minorEastAsia" w:cs="宋体"/>
          <w:color w:val="000000"/>
          <w:kern w:val="0"/>
          <w:sz w:val="24"/>
          <w:szCs w:val="24"/>
        </w:rPr>
        <w:t>12.5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74.2</w:t>
      </w:r>
      <w:r w:rsidRPr="00677D1F">
        <w:rPr>
          <w:rFonts w:asciiTheme="minorEastAsia" w:hAnsiTheme="minorEastAsia" w:cs="宋体" w:hint="eastAsia"/>
          <w:color w:val="000000"/>
          <w:kern w:val="0"/>
          <w:sz w:val="24"/>
          <w:szCs w:val="24"/>
        </w:rPr>
        <w:t>％体积的</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属爆炸性气体，点火后能引起爆炸。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、在配料工段配料、输送过程中产生的碳粉尘，碳粉尘在一定条件下，有着火和爆炸的可能。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、在还原蒸馏等有</w:t>
      </w:r>
      <w:r w:rsidRPr="00677D1F">
        <w:rPr>
          <w:rFonts w:asciiTheme="minorEastAsia" w:hAnsiTheme="minorEastAsia" w:cs="宋体"/>
          <w:color w:val="000000"/>
          <w:kern w:val="0"/>
          <w:sz w:val="24"/>
          <w:szCs w:val="24"/>
        </w:rPr>
        <w:t>TiCl</w:t>
      </w:r>
      <w:r w:rsidRPr="00677D1F">
        <w:rPr>
          <w:rFonts w:asciiTheme="minorEastAsia" w:hAnsiTheme="minorEastAsia" w:cs="宋体"/>
          <w:color w:val="000000"/>
          <w:kern w:val="0"/>
          <w:sz w:val="24"/>
          <w:szCs w:val="24"/>
          <w:vertAlign w:val="subscript"/>
        </w:rPr>
        <w:t>4</w:t>
      </w:r>
      <w:r w:rsidRPr="00677D1F">
        <w:rPr>
          <w:rFonts w:asciiTheme="minorEastAsia" w:hAnsiTheme="minorEastAsia" w:cs="宋体" w:hint="eastAsia"/>
          <w:color w:val="000000"/>
          <w:kern w:val="0"/>
          <w:sz w:val="24"/>
          <w:szCs w:val="24"/>
        </w:rPr>
        <w:t>产生的工段内，由于</w:t>
      </w:r>
      <w:r w:rsidRPr="00677D1F">
        <w:rPr>
          <w:rFonts w:asciiTheme="minorEastAsia" w:hAnsiTheme="minorEastAsia" w:cs="宋体"/>
          <w:color w:val="000000"/>
          <w:kern w:val="0"/>
          <w:sz w:val="24"/>
          <w:szCs w:val="24"/>
        </w:rPr>
        <w:t>TiCl</w:t>
      </w:r>
      <w:r w:rsidRPr="00677D1F">
        <w:rPr>
          <w:rFonts w:asciiTheme="minorEastAsia" w:hAnsiTheme="minorEastAsia" w:cs="宋体"/>
          <w:color w:val="000000"/>
          <w:kern w:val="0"/>
          <w:sz w:val="24"/>
          <w:szCs w:val="24"/>
          <w:vertAlign w:val="subscript"/>
        </w:rPr>
        <w:t>4</w:t>
      </w:r>
      <w:r w:rsidRPr="00677D1F">
        <w:rPr>
          <w:rFonts w:asciiTheme="minorEastAsia" w:hAnsiTheme="minorEastAsia" w:cs="宋体" w:hint="eastAsia"/>
          <w:color w:val="000000"/>
          <w:kern w:val="0"/>
          <w:sz w:val="24"/>
          <w:szCs w:val="24"/>
        </w:rPr>
        <w:t>与空气中水份反应生成盐酸气，对人体眼睛和呼吸系统有刺激作用。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、液氯蒸发及透平机室有泄漏</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的危险。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E</w:t>
      </w:r>
      <w:r w:rsidRPr="00677D1F">
        <w:rPr>
          <w:rFonts w:asciiTheme="minorEastAsia" w:hAnsiTheme="minorEastAsia" w:cs="宋体" w:hint="eastAsia"/>
          <w:color w:val="000000"/>
          <w:kern w:val="0"/>
          <w:sz w:val="24"/>
          <w:szCs w:val="24"/>
        </w:rPr>
        <w:t>、真空泵油、油扩散泵的油属于易燃物品。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、氯压机室、</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输送存在</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泄漏风险，</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是一种有毒气体，因此必须采取有效措施杜绝</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泄漏量；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、从电解槽逸出的电解质升华物中</w:t>
      </w:r>
      <w:r w:rsidRPr="00677D1F">
        <w:rPr>
          <w:rFonts w:asciiTheme="minorEastAsia" w:hAnsiTheme="minorEastAsia" w:cs="宋体"/>
          <w:color w:val="000000"/>
          <w:kern w:val="0"/>
          <w:sz w:val="24"/>
          <w:szCs w:val="24"/>
        </w:rPr>
        <w:t>MgCl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具有极强的吸水性，造成厂房内各处较潮湿，容易造成触电事故，因此，必须采取有效的电器、电气绝缘措施。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、在海绵钛生产过程中主要职业危害因素还有灼烫、中毒、机械伤害、起重机伤害、车辆伤害、火灾等。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为避免液镁氧化，生产中需向连续精炼炉内充氩气。氩气是一种无嗅、无色、无味、无刺激性、没有警告性特征的气体。氩无毒且不活泼。通过取代空气中的氧，使之下降到维持生命所必须的水平以下，它可以成为简单的窒息物。过量吸入氩会导致眩晕、恶心、呕吐、失去知觉和死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J</w:t>
      </w:r>
      <w:r w:rsidRPr="00677D1F">
        <w:rPr>
          <w:rFonts w:asciiTheme="minorEastAsia" w:hAnsiTheme="minorEastAsia" w:cs="宋体" w:hint="eastAsia"/>
          <w:color w:val="000000"/>
          <w:kern w:val="0"/>
          <w:sz w:val="24"/>
          <w:szCs w:val="24"/>
        </w:rPr>
        <w:t>、暴露于液氩或低温氩蒸气会导致大面积组织损伤或冻伤。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K</w:t>
      </w:r>
      <w:r w:rsidRPr="00677D1F">
        <w:rPr>
          <w:rFonts w:asciiTheme="minorEastAsia" w:hAnsiTheme="minorEastAsia" w:cs="宋体" w:hint="eastAsia"/>
          <w:color w:val="000000"/>
          <w:kern w:val="0"/>
          <w:sz w:val="24"/>
          <w:szCs w:val="24"/>
        </w:rPr>
        <w:t>、氢氧化钠溶液对皮肤、眼睛有危害。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L</w:t>
      </w:r>
      <w:r w:rsidRPr="00677D1F">
        <w:rPr>
          <w:rFonts w:asciiTheme="minorEastAsia" w:hAnsiTheme="minorEastAsia" w:cs="宋体" w:hint="eastAsia"/>
          <w:color w:val="000000"/>
          <w:kern w:val="0"/>
          <w:sz w:val="24"/>
          <w:szCs w:val="24"/>
        </w:rPr>
        <w:t>、当电炉炉缸或炉底被侵蚀很厉害，尤其是在出炉口附近炉衬容易变薄，如果这一薄层砖衬或渣皮受到破坏，则出炉物质可能将冷却水箱烧毁而流到炉外，一</w:t>
      </w:r>
      <w:r w:rsidRPr="00677D1F">
        <w:rPr>
          <w:rFonts w:asciiTheme="minorEastAsia" w:hAnsiTheme="minorEastAsia" w:cs="宋体" w:hint="eastAsia"/>
          <w:color w:val="000000"/>
          <w:kern w:val="0"/>
          <w:sz w:val="24"/>
          <w:szCs w:val="24"/>
        </w:rPr>
        <w:lastRenderedPageBreak/>
        <w:t>遇积水就发生猛烈的爆炸。电炉风口、渣口或冷却壁破裂漏水也可能引发爆炸。沙基前、流渣道、渣罐和渣坑等，如遇洒水；接触液态合金或炉渣的金属容器，没有先经干燥后使用以及渣包内有积水，都有引发爆炸的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电炉系统、管路中，常残存一氧化碳，如没有认真清理就焊接动火，也会发生爆炸。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在原料库及配料、钛渣熔炼及冷却初碎、钛渣破碎及成品库、综合仓库等工序由于物料、成品的破碎、输送形成粉尘，在厂房内粉屑积存过多，达到爆炸极限，有发生着火爆炸的危险。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、天然气泄漏（含</w:t>
      </w:r>
      <w:r w:rsidRPr="00677D1F">
        <w:rPr>
          <w:rFonts w:asciiTheme="minorEastAsia" w:hAnsiTheme="minorEastAsia" w:cs="宋体"/>
          <w:color w:val="000000"/>
          <w:kern w:val="0"/>
          <w:sz w:val="24"/>
          <w:szCs w:val="24"/>
        </w:rPr>
        <w:t>CH4</w:t>
      </w:r>
      <w:r w:rsidRPr="00677D1F">
        <w:rPr>
          <w:rFonts w:asciiTheme="minorEastAsia" w:hAnsiTheme="minorEastAsia" w:cs="宋体" w:hint="eastAsia"/>
          <w:color w:val="000000"/>
          <w:kern w:val="0"/>
          <w:sz w:val="24"/>
          <w:szCs w:val="24"/>
        </w:rPr>
        <w:t>）有引起中毒和火灾爆炸的可能。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②氯气生产系统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在氯气生产过程中易燃易爆和剧毒性气体有氢气、氯气、氯化氢气体；腐蚀性液体有盐酸、硫酸、次氯酸钠和液碱；此外，还存在触电危险及酸、碱液灼伤危险。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、火灾爆炸危险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氢氧化钠生产中的主要火灾爆炸危险物质是氢气和氯气。电解时有强大的电流通过，如接触不好、绝缘不良，极易产生电火花了；电解车间可能有氢气泄出，遇到电火花或其它明火，会发生燃烧爆炸，如氯气与氢气相混，达到爆炸浓度，遇到光照也会发生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、中毒、腐蚀危险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生产过程中的物料多数具有毒性，如氯气等。另外，一些物料具有强烈的腐蚀性，如硫酸、盐酸等。当这些物料泄漏时，人体接触或吸入都将对人体产生危害。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C、氢气输送不当产生的危险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氢气在装置内输送过程中，由于高速流动的氢气分子间和管道间摩擦，极易产生和积聚静电荷，若没有严格限制氢气的流速，未采取有效的导除静电措施，静电荷将不能及时消除，而是逐渐积累起来，使得静电电位上升。当静电点位上升到一定程度时，就会发生静电放电现象，并产生火花。人体带静电，设备、管道未采取有效的静电接地，管线、法兰间金属搭接不牢或漏接、物料输送速度过快等均可造成静电危害事故。当静电放电产生的电火花达到或超过物料的最小点火能量时，就会引起燃烧或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、盐水中总铵量超标的危险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若盐水中总</w:t>
      </w:r>
      <w:r w:rsidRPr="00677D1F">
        <w:rPr>
          <w:rFonts w:asciiTheme="minorEastAsia" w:hAnsiTheme="minorEastAsia" w:cs="宋体"/>
          <w:color w:val="000000"/>
          <w:kern w:val="0"/>
          <w:sz w:val="24"/>
          <w:szCs w:val="24"/>
        </w:rPr>
        <w:t>NH4+</w:t>
      </w:r>
      <w:r w:rsidRPr="00677D1F">
        <w:rPr>
          <w:rFonts w:asciiTheme="minorEastAsia" w:hAnsiTheme="minorEastAsia" w:cs="宋体" w:hint="eastAsia"/>
          <w:color w:val="000000"/>
          <w:kern w:val="0"/>
          <w:sz w:val="24"/>
          <w:szCs w:val="24"/>
        </w:rPr>
        <w:t>量超过标准指标，在电解过程中产生三氯化氮，随氯气液化溶解在液氯中，当液氯使用气化器时，由于操作失误会造成三氯化氮爆炸。</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E</w:t>
      </w:r>
      <w:r w:rsidRPr="00677D1F">
        <w:rPr>
          <w:rFonts w:asciiTheme="minorEastAsia" w:hAnsiTheme="minorEastAsia" w:cs="宋体" w:hint="eastAsia"/>
          <w:color w:val="000000"/>
          <w:kern w:val="0"/>
          <w:sz w:val="24"/>
          <w:szCs w:val="24"/>
        </w:rPr>
        <w:t>、液氯在生产、储存、包装、运输过程中，如违反了相关的规定，将会发生泄漏、腐蚀、中毒甚至爆炸的危险。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贮运、辅助装置潜在危险性识别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、贮运系统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项目液氯储罐、氯压机室硫酸储槽、盐酸储槽、四氯化钛贮库等贮存设施存在火灾爆炸、泄漏风险。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）供电设施损坏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本工程为不间断生产，并且电力负荷大，波动也大，所以电路损坏的概率很大。在没有防范预案的情况下，电路损坏会造成项目全面停产，并有使其他事故发生的可能性大大增加。</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8.3.3</w:t>
      </w:r>
      <w:r w:rsidRPr="00677D1F">
        <w:rPr>
          <w:rFonts w:ascii="宋体" w:hAnsi="宋体" w:hint="eastAsia"/>
          <w:sz w:val="28"/>
          <w:szCs w:val="28"/>
        </w:rPr>
        <w:t>扩散途径识别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液氯储罐、燃烧、爆炸的污染物会扩散到大气环境中；硫酸储槽、盐酸储槽、四氯化钛贮库泄漏引起土壤和地下水污染。</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8.3.4</w:t>
      </w:r>
      <w:r w:rsidRPr="00677D1F">
        <w:rPr>
          <w:rFonts w:ascii="宋体" w:hAnsi="宋体" w:hint="eastAsia"/>
          <w:sz w:val="28"/>
          <w:szCs w:val="28"/>
        </w:rPr>
        <w:t>保护目标识别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风险评价范围内没有受影响的环境保护目标。</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8.4</w:t>
      </w:r>
      <w:r w:rsidRPr="00677D1F">
        <w:rPr>
          <w:rFonts w:ascii="宋体" w:hAnsi="宋体" w:hint="eastAsia"/>
          <w:bCs w:val="0"/>
          <w:kern w:val="2"/>
          <w:sz w:val="30"/>
          <w:szCs w:val="30"/>
        </w:rPr>
        <w:t>源项分析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8.4.1</w:t>
      </w:r>
      <w:r w:rsidRPr="00677D1F">
        <w:rPr>
          <w:rFonts w:ascii="宋体" w:hAnsi="宋体" w:hint="eastAsia"/>
          <w:sz w:val="28"/>
          <w:szCs w:val="28"/>
        </w:rPr>
        <w:t>最大可信事故</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8.4.1.1</w:t>
      </w:r>
      <w:r w:rsidRPr="00677D1F">
        <w:rPr>
          <w:rFonts w:ascii="宋体" w:eastAsia="宋体" w:hAnsi="宋体" w:cs="宋体" w:hint="eastAsia"/>
          <w:b/>
          <w:bCs/>
          <w:color w:val="000000"/>
          <w:kern w:val="0"/>
          <w:sz w:val="24"/>
          <w:szCs w:val="24"/>
        </w:rPr>
        <w:t>同类型行业风险事故统计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2006</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23</w:t>
      </w:r>
      <w:r w:rsidRPr="00677D1F">
        <w:rPr>
          <w:rFonts w:asciiTheme="minorEastAsia" w:hAnsiTheme="minorEastAsia" w:cs="宋体" w:hint="eastAsia"/>
          <w:color w:val="000000"/>
          <w:kern w:val="0"/>
          <w:sz w:val="24"/>
          <w:szCs w:val="24"/>
        </w:rPr>
        <w:t>日，位于山西省平定县南上庄村的阳煤集团氯碱化工有限公司氯化氢工段发生氯化氢泄漏，尾气吸收塔向外排放了两分钟酸雾，导致南上庄村约</w:t>
      </w:r>
      <w:r w:rsidRPr="00677D1F">
        <w:rPr>
          <w:rFonts w:asciiTheme="minorEastAsia" w:hAnsiTheme="minorEastAsia" w:cs="宋体"/>
          <w:color w:val="000000"/>
          <w:kern w:val="0"/>
          <w:sz w:val="24"/>
          <w:szCs w:val="24"/>
        </w:rPr>
        <w:t>300</w:t>
      </w:r>
      <w:r w:rsidRPr="00677D1F">
        <w:rPr>
          <w:rFonts w:asciiTheme="minorEastAsia" w:hAnsiTheme="minorEastAsia" w:cs="宋体" w:hint="eastAsia"/>
          <w:color w:val="000000"/>
          <w:kern w:val="0"/>
          <w:sz w:val="24"/>
          <w:szCs w:val="24"/>
        </w:rPr>
        <w:t>名村民不同程度中毒；</w:t>
      </w:r>
      <w:r w:rsidRPr="00677D1F">
        <w:rPr>
          <w:rFonts w:asciiTheme="minorEastAsia" w:hAnsiTheme="minorEastAsia" w:cs="宋体"/>
          <w:color w:val="000000"/>
          <w:kern w:val="0"/>
          <w:sz w:val="24"/>
          <w:szCs w:val="24"/>
        </w:rPr>
        <w:t>2005</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日，陕西榆林市米脂县的陕西金泰氯碱化工有限公司发生水污染事故，该厂储渣场</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个沉淀池中的三个陆续出现垮塌，导致</w:t>
      </w:r>
      <w:r w:rsidRPr="00677D1F">
        <w:rPr>
          <w:rFonts w:asciiTheme="minorEastAsia" w:hAnsiTheme="minorEastAsia" w:cs="宋体"/>
          <w:color w:val="000000"/>
          <w:kern w:val="0"/>
          <w:sz w:val="24"/>
          <w:szCs w:val="24"/>
        </w:rPr>
        <w:t>pH</w:t>
      </w:r>
      <w:r w:rsidRPr="00677D1F">
        <w:rPr>
          <w:rFonts w:asciiTheme="minorEastAsia" w:hAnsiTheme="minorEastAsia" w:cs="宋体" w:hint="eastAsia"/>
          <w:color w:val="000000"/>
          <w:kern w:val="0"/>
          <w:sz w:val="24"/>
          <w:szCs w:val="24"/>
        </w:rPr>
        <w:t>值为</w:t>
      </w:r>
      <w:r w:rsidRPr="00677D1F">
        <w:rPr>
          <w:rFonts w:asciiTheme="minorEastAsia" w:hAnsiTheme="minorEastAsia" w:cs="宋体"/>
          <w:color w:val="000000"/>
          <w:kern w:val="0"/>
          <w:sz w:val="24"/>
          <w:szCs w:val="24"/>
        </w:rPr>
        <w:t>13.14</w:t>
      </w:r>
      <w:r w:rsidRPr="00677D1F">
        <w:rPr>
          <w:rFonts w:asciiTheme="minorEastAsia" w:hAnsiTheme="minorEastAsia" w:cs="宋体" w:hint="eastAsia"/>
          <w:color w:val="000000"/>
          <w:kern w:val="0"/>
          <w:sz w:val="24"/>
          <w:szCs w:val="24"/>
        </w:rPr>
        <w:t>、硫化物含量为</w:t>
      </w:r>
      <w:r w:rsidRPr="00677D1F">
        <w:rPr>
          <w:rFonts w:asciiTheme="minorEastAsia" w:hAnsiTheme="minorEastAsia" w:cs="宋体"/>
          <w:color w:val="000000"/>
          <w:kern w:val="0"/>
          <w:sz w:val="24"/>
          <w:szCs w:val="24"/>
        </w:rPr>
        <w:t>289.4mg/L</w:t>
      </w:r>
      <w:r w:rsidRPr="00677D1F">
        <w:rPr>
          <w:rFonts w:asciiTheme="minorEastAsia" w:hAnsiTheme="minorEastAsia" w:cs="宋体" w:hint="eastAsia"/>
          <w:color w:val="000000"/>
          <w:kern w:val="0"/>
          <w:sz w:val="24"/>
          <w:szCs w:val="24"/>
        </w:rPr>
        <w:t>的</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碱性废水流入无定河。受此影响，</w:t>
      </w:r>
      <w:r w:rsidRPr="00677D1F">
        <w:rPr>
          <w:rFonts w:asciiTheme="minorEastAsia" w:hAnsiTheme="minorEastAsia" w:cs="宋体" w:hint="eastAsia"/>
          <w:color w:val="000000"/>
          <w:kern w:val="0"/>
          <w:sz w:val="24"/>
          <w:szCs w:val="24"/>
        </w:rPr>
        <w:lastRenderedPageBreak/>
        <w:t>无定河河水的</w:t>
      </w:r>
      <w:r w:rsidRPr="00677D1F">
        <w:rPr>
          <w:rFonts w:asciiTheme="minorEastAsia" w:hAnsiTheme="minorEastAsia" w:cs="宋体"/>
          <w:color w:val="000000"/>
          <w:kern w:val="0"/>
          <w:sz w:val="24"/>
          <w:szCs w:val="24"/>
        </w:rPr>
        <w:t>pH</w:t>
      </w:r>
      <w:r w:rsidRPr="00677D1F">
        <w:rPr>
          <w:rFonts w:asciiTheme="minorEastAsia" w:hAnsiTheme="minorEastAsia" w:cs="宋体" w:hint="eastAsia"/>
          <w:color w:val="000000"/>
          <w:kern w:val="0"/>
          <w:sz w:val="24"/>
          <w:szCs w:val="24"/>
        </w:rPr>
        <w:t>值达到</w:t>
      </w:r>
      <w:r w:rsidRPr="00677D1F">
        <w:rPr>
          <w:rFonts w:asciiTheme="minorEastAsia" w:hAnsiTheme="minorEastAsia" w:cs="宋体"/>
          <w:color w:val="000000"/>
          <w:kern w:val="0"/>
          <w:sz w:val="24"/>
          <w:szCs w:val="24"/>
        </w:rPr>
        <w:t>9.67</w:t>
      </w:r>
      <w:r w:rsidRPr="00677D1F">
        <w:rPr>
          <w:rFonts w:asciiTheme="minorEastAsia" w:hAnsiTheme="minorEastAsia" w:cs="宋体" w:hint="eastAsia"/>
          <w:color w:val="000000"/>
          <w:kern w:val="0"/>
          <w:sz w:val="24"/>
          <w:szCs w:val="24"/>
        </w:rPr>
        <w:t>，硫化物含量达到</w:t>
      </w:r>
      <w:r w:rsidRPr="00677D1F">
        <w:rPr>
          <w:rFonts w:asciiTheme="minorEastAsia" w:hAnsiTheme="minorEastAsia" w:cs="宋体"/>
          <w:color w:val="000000"/>
          <w:kern w:val="0"/>
          <w:sz w:val="24"/>
          <w:szCs w:val="24"/>
        </w:rPr>
        <w:t>1.054mg/L</w:t>
      </w:r>
      <w:r w:rsidRPr="00677D1F">
        <w:rPr>
          <w:rFonts w:asciiTheme="minorEastAsia" w:hAnsiTheme="minorEastAsia" w:cs="宋体" w:hint="eastAsia"/>
          <w:color w:val="000000"/>
          <w:kern w:val="0"/>
          <w:sz w:val="24"/>
          <w:szCs w:val="24"/>
        </w:rPr>
        <w:t>，分别超过地表水环境质量标准</w:t>
      </w:r>
      <w:r w:rsidRPr="00677D1F">
        <w:rPr>
          <w:rFonts w:asciiTheme="minorEastAsia" w:hAnsiTheme="minorEastAsia" w:cs="宋体"/>
          <w:color w:val="000000"/>
          <w:kern w:val="0"/>
          <w:sz w:val="24"/>
          <w:szCs w:val="24"/>
        </w:rPr>
        <w:t>0.67</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4.27</w:t>
      </w:r>
      <w:r w:rsidRPr="00677D1F">
        <w:rPr>
          <w:rFonts w:asciiTheme="minorEastAsia" w:hAnsiTheme="minorEastAsia" w:cs="宋体" w:hint="eastAsia"/>
          <w:color w:val="000000"/>
          <w:kern w:val="0"/>
          <w:sz w:val="24"/>
          <w:szCs w:val="24"/>
        </w:rPr>
        <w:t>倍，严重威胁下游绥德县饮用水源地水质安全；</w:t>
      </w:r>
      <w:r w:rsidRPr="00677D1F">
        <w:rPr>
          <w:rFonts w:asciiTheme="minorEastAsia" w:hAnsiTheme="minorEastAsia" w:cs="宋体"/>
          <w:color w:val="000000"/>
          <w:kern w:val="0"/>
          <w:sz w:val="24"/>
          <w:szCs w:val="24"/>
        </w:rPr>
        <w:t>1990</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12</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日，河北沧州化工厂因冷脆及尾氯压力较高，导致塑料三通破裂而氯气泄漏。污染面积</w:t>
      </w:r>
      <w:r w:rsidRPr="00677D1F">
        <w:rPr>
          <w:rFonts w:asciiTheme="minorEastAsia" w:hAnsiTheme="minorEastAsia" w:cs="宋体"/>
          <w:color w:val="000000"/>
          <w:kern w:val="0"/>
          <w:sz w:val="24"/>
          <w:szCs w:val="24"/>
        </w:rPr>
        <w:t>40000m2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800</w:t>
      </w:r>
      <w:r w:rsidRPr="00677D1F">
        <w:rPr>
          <w:rFonts w:asciiTheme="minorEastAsia" w:hAnsiTheme="minorEastAsia" w:cs="宋体" w:hint="eastAsia"/>
          <w:color w:val="000000"/>
          <w:kern w:val="0"/>
          <w:sz w:val="24"/>
          <w:szCs w:val="24"/>
        </w:rPr>
        <w:t>人吸入氯气，其中</w:t>
      </w:r>
      <w:r w:rsidRPr="00677D1F">
        <w:rPr>
          <w:rFonts w:asciiTheme="minorEastAsia" w:hAnsiTheme="minorEastAsia" w:cs="宋体"/>
          <w:color w:val="000000"/>
          <w:kern w:val="0"/>
          <w:sz w:val="24"/>
          <w:szCs w:val="24"/>
        </w:rPr>
        <w:t>47</w:t>
      </w:r>
      <w:r w:rsidRPr="00677D1F">
        <w:rPr>
          <w:rFonts w:asciiTheme="minorEastAsia" w:hAnsiTheme="minorEastAsia" w:cs="宋体" w:hint="eastAsia"/>
          <w:color w:val="000000"/>
          <w:kern w:val="0"/>
          <w:sz w:val="24"/>
          <w:szCs w:val="24"/>
        </w:rPr>
        <w:t>人中毒，</w:t>
      </w:r>
      <w:r w:rsidRPr="00677D1F">
        <w:rPr>
          <w:rFonts w:asciiTheme="minorEastAsia" w:hAnsiTheme="minorEastAsia" w:cs="宋体"/>
          <w:color w:val="000000"/>
          <w:kern w:val="0"/>
          <w:sz w:val="24"/>
          <w:szCs w:val="24"/>
        </w:rPr>
        <w:t>19</w:t>
      </w:r>
      <w:r w:rsidRPr="00677D1F">
        <w:rPr>
          <w:rFonts w:asciiTheme="minorEastAsia" w:hAnsiTheme="minorEastAsia" w:cs="宋体" w:hint="eastAsia"/>
          <w:color w:val="000000"/>
          <w:kern w:val="0"/>
          <w:sz w:val="24"/>
          <w:szCs w:val="24"/>
        </w:rPr>
        <w:t>人死亡。事故原因是管材材质问题；</w:t>
      </w:r>
      <w:r w:rsidRPr="00677D1F">
        <w:rPr>
          <w:rFonts w:asciiTheme="minorEastAsia" w:hAnsiTheme="minorEastAsia" w:cs="宋体"/>
          <w:color w:val="000000"/>
          <w:kern w:val="0"/>
          <w:sz w:val="24"/>
          <w:szCs w:val="24"/>
        </w:rPr>
        <w:t>1993</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日，浙江衢化电化厂液氯储槽同连接管被焙穿造成液氯外泄，导致</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人中度中毒，</w:t>
      </w:r>
      <w:r w:rsidRPr="00677D1F">
        <w:rPr>
          <w:rFonts w:asciiTheme="minorEastAsia" w:hAnsiTheme="minorEastAsia" w:cs="宋体"/>
          <w:color w:val="000000"/>
          <w:kern w:val="0"/>
          <w:sz w:val="24"/>
          <w:szCs w:val="24"/>
        </w:rPr>
        <w:t>191</w:t>
      </w:r>
      <w:r w:rsidRPr="00677D1F">
        <w:rPr>
          <w:rFonts w:asciiTheme="minorEastAsia" w:hAnsiTheme="minorEastAsia" w:cs="宋体" w:hint="eastAsia"/>
          <w:color w:val="000000"/>
          <w:kern w:val="0"/>
          <w:sz w:val="24"/>
          <w:szCs w:val="24"/>
        </w:rPr>
        <w:t>人吸入氯气。事故原因是违反操作规程和腐蚀问题；</w:t>
      </w:r>
      <w:r w:rsidRPr="00677D1F">
        <w:rPr>
          <w:rFonts w:asciiTheme="minorEastAsia" w:hAnsiTheme="minorEastAsia" w:cs="宋体"/>
          <w:color w:val="000000"/>
          <w:kern w:val="0"/>
          <w:sz w:val="24"/>
          <w:szCs w:val="24"/>
        </w:rPr>
        <w:t>2004</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15</w:t>
      </w:r>
      <w:r w:rsidRPr="00677D1F">
        <w:rPr>
          <w:rFonts w:asciiTheme="minorEastAsia" w:hAnsiTheme="minorEastAsia" w:cs="宋体" w:hint="eastAsia"/>
          <w:color w:val="000000"/>
          <w:kern w:val="0"/>
          <w:sz w:val="24"/>
          <w:szCs w:val="24"/>
        </w:rPr>
        <w:t>日，重庆天原化工总厂氯氢分厂氯气冷凝器出现穿孔，发生氯气泄漏爆炸事故。造成</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人死亡，周围三个区近</w:t>
      </w:r>
      <w:r w:rsidRPr="00677D1F">
        <w:rPr>
          <w:rFonts w:asciiTheme="minorEastAsia" w:hAnsiTheme="minorEastAsia" w:cs="宋体"/>
          <w:color w:val="000000"/>
          <w:kern w:val="0"/>
          <w:sz w:val="24"/>
          <w:szCs w:val="24"/>
        </w:rPr>
        <w:t>15</w:t>
      </w:r>
      <w:r w:rsidRPr="00677D1F">
        <w:rPr>
          <w:rFonts w:asciiTheme="minorEastAsia" w:hAnsiTheme="minorEastAsia" w:cs="宋体" w:hint="eastAsia"/>
          <w:color w:val="000000"/>
          <w:kern w:val="0"/>
          <w:sz w:val="24"/>
          <w:szCs w:val="24"/>
        </w:rPr>
        <w:t>万人疏散，社会影响恶劣；</w:t>
      </w:r>
      <w:r w:rsidRPr="00677D1F">
        <w:rPr>
          <w:rFonts w:asciiTheme="minorEastAsia" w:hAnsiTheme="minorEastAsia" w:cs="宋体"/>
          <w:color w:val="000000"/>
          <w:kern w:val="0"/>
          <w:sz w:val="24"/>
          <w:szCs w:val="24"/>
        </w:rPr>
        <w:t>1984</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25</w:t>
      </w:r>
      <w:r w:rsidRPr="00677D1F">
        <w:rPr>
          <w:rFonts w:asciiTheme="minorEastAsia" w:hAnsiTheme="minorEastAsia" w:cs="宋体" w:hint="eastAsia"/>
          <w:color w:val="000000"/>
          <w:kern w:val="0"/>
          <w:sz w:val="24"/>
          <w:szCs w:val="24"/>
        </w:rPr>
        <w:t>日，上海某试剂厂氯化氢从反应釜加料口外泄，造成</w:t>
      </w:r>
      <w:r w:rsidRPr="00677D1F">
        <w:rPr>
          <w:rFonts w:asciiTheme="minorEastAsia" w:hAnsiTheme="minorEastAsia" w:cs="宋体"/>
          <w:color w:val="000000"/>
          <w:kern w:val="0"/>
          <w:sz w:val="24"/>
          <w:szCs w:val="24"/>
        </w:rPr>
        <w:t>24</w:t>
      </w:r>
      <w:r w:rsidRPr="00677D1F">
        <w:rPr>
          <w:rFonts w:asciiTheme="minorEastAsia" w:hAnsiTheme="minorEastAsia" w:cs="宋体" w:hint="eastAsia"/>
          <w:color w:val="000000"/>
          <w:kern w:val="0"/>
          <w:sz w:val="24"/>
          <w:szCs w:val="24"/>
        </w:rPr>
        <w:t>人吸入氯化氢气体，使眼、呼吸道受到不同程度的刺激，并出现咳嗽、咳血、胸闷等症状。事故原因是违反操作规程，现场无报警装置；</w:t>
      </w:r>
      <w:r w:rsidRPr="00677D1F">
        <w:rPr>
          <w:rFonts w:asciiTheme="minorEastAsia" w:hAnsiTheme="minorEastAsia" w:cs="宋体"/>
          <w:color w:val="000000"/>
          <w:kern w:val="0"/>
          <w:sz w:val="24"/>
          <w:szCs w:val="24"/>
        </w:rPr>
        <w:t>1988</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22</w:t>
      </w:r>
      <w:r w:rsidRPr="00677D1F">
        <w:rPr>
          <w:rFonts w:asciiTheme="minorEastAsia" w:hAnsiTheme="minorEastAsia" w:cs="宋体" w:hint="eastAsia"/>
          <w:color w:val="000000"/>
          <w:kern w:val="0"/>
          <w:sz w:val="24"/>
          <w:szCs w:val="24"/>
        </w:rPr>
        <w:t>日，上海某洗涤剂厂烯氯工段工人违规操作，导致大量氯化氢气体冒出，致使附近的</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名工人不同程度吸入氯化氢气体，引起不同程度中毒；</w:t>
      </w:r>
      <w:r w:rsidRPr="00677D1F">
        <w:rPr>
          <w:rFonts w:asciiTheme="minorEastAsia" w:hAnsiTheme="minorEastAsia" w:cs="宋体"/>
          <w:color w:val="000000"/>
          <w:kern w:val="0"/>
          <w:sz w:val="24"/>
          <w:szCs w:val="24"/>
        </w:rPr>
        <w:t>2007</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日：浦东新区东塘路靠近摆渡口附近，一辆载有</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吨烧碱的槽车发生交通事故，由于车顶灌装口断开，大量的烧碱向马路上流淌，随时都可能发生危险；</w:t>
      </w:r>
      <w:r w:rsidRPr="00677D1F">
        <w:rPr>
          <w:rFonts w:asciiTheme="minorEastAsia" w:hAnsiTheme="minorEastAsia" w:cs="宋体"/>
          <w:color w:val="000000"/>
          <w:kern w:val="0"/>
          <w:sz w:val="24"/>
          <w:szCs w:val="24"/>
        </w:rPr>
        <w:t>2007</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日晚</w:t>
      </w: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40</w:t>
      </w:r>
      <w:r w:rsidRPr="00677D1F">
        <w:rPr>
          <w:rFonts w:asciiTheme="minorEastAsia" w:hAnsiTheme="minorEastAsia" w:cs="宋体" w:hint="eastAsia"/>
          <w:color w:val="000000"/>
          <w:kern w:val="0"/>
          <w:sz w:val="24"/>
          <w:szCs w:val="24"/>
        </w:rPr>
        <w:t>分许，银川市经济技术开发区宁夏鑫尔特化学有限公司四烷车间</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液氯缓冲罐底部放空阀发生泄漏事故，小区内</w:t>
      </w:r>
      <w:r w:rsidRPr="00677D1F">
        <w:rPr>
          <w:rFonts w:asciiTheme="minorEastAsia" w:hAnsiTheme="minorEastAsia" w:cs="宋体"/>
          <w:color w:val="000000"/>
          <w:kern w:val="0"/>
          <w:sz w:val="24"/>
          <w:szCs w:val="24"/>
        </w:rPr>
        <w:t>200</w:t>
      </w:r>
      <w:r w:rsidRPr="00677D1F">
        <w:rPr>
          <w:rFonts w:asciiTheme="minorEastAsia" w:hAnsiTheme="minorEastAsia" w:cs="宋体" w:hint="eastAsia"/>
          <w:color w:val="000000"/>
          <w:kern w:val="0"/>
          <w:sz w:val="24"/>
          <w:szCs w:val="24"/>
        </w:rPr>
        <w:t>人左右出现轻度中毒现象，无死亡记录；</w:t>
      </w:r>
      <w:r w:rsidRPr="00677D1F">
        <w:rPr>
          <w:rFonts w:asciiTheme="minorEastAsia" w:hAnsiTheme="minorEastAsia" w:cs="宋体"/>
          <w:color w:val="000000"/>
          <w:kern w:val="0"/>
          <w:sz w:val="24"/>
          <w:szCs w:val="24"/>
        </w:rPr>
        <w:t>2007</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18</w:t>
      </w:r>
      <w:r w:rsidRPr="00677D1F">
        <w:rPr>
          <w:rFonts w:asciiTheme="minorEastAsia" w:hAnsiTheme="minorEastAsia" w:cs="宋体" w:hint="eastAsia"/>
          <w:color w:val="000000"/>
          <w:kern w:val="0"/>
          <w:sz w:val="24"/>
          <w:szCs w:val="24"/>
        </w:rPr>
        <w:t>日，邢台市达活泉东大街的第二造纸厂一个废旧液氯罐发生泄漏。泄漏的氯气罐被独立放置于已废弃的平房内，锈迹斑斑，泄漏点位于罐出入阀门管壁上，出入阀直径大约</w:t>
      </w:r>
      <w:r w:rsidRPr="00677D1F">
        <w:rPr>
          <w:rFonts w:asciiTheme="minorEastAsia" w:hAnsiTheme="minorEastAsia" w:cs="宋体"/>
          <w:color w:val="000000"/>
          <w:kern w:val="0"/>
          <w:sz w:val="24"/>
          <w:szCs w:val="24"/>
        </w:rPr>
        <w:t>4cm</w:t>
      </w:r>
      <w:r w:rsidRPr="00677D1F">
        <w:rPr>
          <w:rFonts w:asciiTheme="minorEastAsia" w:hAnsiTheme="minorEastAsia" w:cs="宋体" w:hint="eastAsia"/>
          <w:color w:val="000000"/>
          <w:kern w:val="0"/>
          <w:sz w:val="24"/>
          <w:szCs w:val="24"/>
        </w:rPr>
        <w:t>，并且由于罐体维护不到位，阀门锈死，在出入阀阶梯状的连接处发生泄漏，漏缝大约</w:t>
      </w:r>
      <w:r w:rsidRPr="00677D1F">
        <w:rPr>
          <w:rFonts w:asciiTheme="minorEastAsia" w:hAnsiTheme="minorEastAsia" w:cs="宋体"/>
          <w:color w:val="000000"/>
          <w:kern w:val="0"/>
          <w:sz w:val="24"/>
          <w:szCs w:val="24"/>
        </w:rPr>
        <w:t>2cm</w:t>
      </w:r>
      <w:r w:rsidRPr="00677D1F">
        <w:rPr>
          <w:rFonts w:asciiTheme="minorEastAsia" w:hAnsiTheme="minorEastAsia" w:cs="宋体" w:hint="eastAsia"/>
          <w:color w:val="000000"/>
          <w:kern w:val="0"/>
          <w:sz w:val="24"/>
          <w:szCs w:val="24"/>
        </w:rPr>
        <w:t>，因事故发现和处理及时正确，未发一期人员中毒伤亡现象；</w:t>
      </w:r>
      <w:r w:rsidRPr="00677D1F">
        <w:rPr>
          <w:rFonts w:asciiTheme="minorEastAsia" w:hAnsiTheme="minorEastAsia" w:cs="宋体"/>
          <w:color w:val="000000"/>
          <w:kern w:val="0"/>
          <w:sz w:val="24"/>
          <w:szCs w:val="24"/>
        </w:rPr>
        <w:t>2007</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30</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110</w:t>
      </w:r>
      <w:r w:rsidRPr="00677D1F">
        <w:rPr>
          <w:rFonts w:asciiTheme="minorEastAsia" w:hAnsiTheme="minorEastAsia" w:cs="宋体" w:hint="eastAsia"/>
          <w:color w:val="000000"/>
          <w:kern w:val="0"/>
          <w:sz w:val="24"/>
          <w:szCs w:val="24"/>
        </w:rPr>
        <w:t>国道乌达农场段发生交通事故，一储运</w:t>
      </w:r>
      <w:r w:rsidRPr="00677D1F">
        <w:rPr>
          <w:rFonts w:asciiTheme="minorEastAsia" w:hAnsiTheme="minorEastAsia" w:cs="宋体"/>
          <w:color w:val="000000"/>
          <w:kern w:val="0"/>
          <w:sz w:val="24"/>
          <w:szCs w:val="24"/>
        </w:rPr>
        <w:t>20t</w:t>
      </w:r>
      <w:r w:rsidRPr="00677D1F">
        <w:rPr>
          <w:rFonts w:asciiTheme="minorEastAsia" w:hAnsiTheme="minorEastAsia" w:cs="宋体" w:hint="eastAsia"/>
          <w:color w:val="000000"/>
          <w:kern w:val="0"/>
          <w:sz w:val="24"/>
          <w:szCs w:val="24"/>
        </w:rPr>
        <w:t>盐酸的槽车冲毁路基，将储罐内盐酸全部倒入路旁的农田中，造成</w:t>
      </w:r>
      <w:r w:rsidRPr="00677D1F">
        <w:rPr>
          <w:rFonts w:asciiTheme="minorEastAsia" w:hAnsiTheme="minorEastAsia" w:cs="宋体"/>
          <w:color w:val="000000"/>
          <w:kern w:val="0"/>
          <w:sz w:val="24"/>
          <w:szCs w:val="24"/>
        </w:rPr>
        <w:t>1846m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土地被污染，受污染土壤最深</w:t>
      </w:r>
      <w:r w:rsidRPr="00677D1F">
        <w:rPr>
          <w:rFonts w:asciiTheme="minorEastAsia" w:hAnsiTheme="minorEastAsia" w:cs="宋体"/>
          <w:color w:val="000000"/>
          <w:kern w:val="0"/>
          <w:sz w:val="24"/>
          <w:szCs w:val="24"/>
        </w:rPr>
        <w:t>43cm</w:t>
      </w:r>
      <w:r w:rsidRPr="00677D1F">
        <w:rPr>
          <w:rFonts w:asciiTheme="minorEastAsia" w:hAnsiTheme="minorEastAsia" w:cs="宋体" w:hint="eastAsia"/>
          <w:color w:val="000000"/>
          <w:kern w:val="0"/>
          <w:sz w:val="24"/>
          <w:szCs w:val="24"/>
        </w:rPr>
        <w:t>，最浅</w:t>
      </w:r>
      <w:r w:rsidRPr="00677D1F">
        <w:rPr>
          <w:rFonts w:asciiTheme="minorEastAsia" w:hAnsiTheme="minorEastAsia" w:cs="宋体"/>
          <w:color w:val="000000"/>
          <w:kern w:val="0"/>
          <w:sz w:val="24"/>
          <w:szCs w:val="24"/>
        </w:rPr>
        <w:t>29cm</w:t>
      </w:r>
      <w:r w:rsidRPr="00677D1F">
        <w:rPr>
          <w:rFonts w:asciiTheme="minorEastAsia" w:hAnsiTheme="minorEastAsia" w:cs="宋体" w:hint="eastAsia"/>
          <w:color w:val="000000"/>
          <w:kern w:val="0"/>
          <w:sz w:val="24"/>
          <w:szCs w:val="24"/>
        </w:rPr>
        <w:t>；大气污染物浓度达到</w:t>
      </w:r>
      <w:r w:rsidRPr="00677D1F">
        <w:rPr>
          <w:rFonts w:asciiTheme="minorEastAsia" w:hAnsiTheme="minorEastAsia" w:cs="宋体"/>
          <w:color w:val="000000"/>
          <w:kern w:val="0"/>
          <w:sz w:val="24"/>
          <w:szCs w:val="24"/>
        </w:rPr>
        <w:t>48.9mg/m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，远远超过居住区大气有害物质最高允许浓度</w:t>
      </w:r>
      <w:r w:rsidRPr="00677D1F">
        <w:rPr>
          <w:rFonts w:asciiTheme="minorEastAsia" w:hAnsiTheme="minorEastAsia" w:cs="宋体"/>
          <w:color w:val="000000"/>
          <w:kern w:val="0"/>
          <w:sz w:val="24"/>
          <w:szCs w:val="24"/>
        </w:rPr>
        <w:t>0.05mg/m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2006</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08</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17</w:t>
      </w:r>
      <w:r w:rsidRPr="00677D1F">
        <w:rPr>
          <w:rFonts w:asciiTheme="minorEastAsia" w:hAnsiTheme="minorEastAsia" w:cs="宋体" w:hint="eastAsia"/>
          <w:color w:val="000000"/>
          <w:kern w:val="0"/>
          <w:sz w:val="24"/>
          <w:szCs w:val="24"/>
        </w:rPr>
        <w:t>日下午</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分左右，广州市天河区东圃石溪广州钛白粉厂</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已停产</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因拆卸机器失误，引起四氯化钛液体泄漏。四氯化钛泄漏与空气接触，产生大量的氯化氢气体，产生的热量引起四氯化钛及周围物质起火。事故造成钛白粉厂周边</w:t>
      </w:r>
      <w:r w:rsidRPr="00677D1F">
        <w:rPr>
          <w:rFonts w:asciiTheme="minorEastAsia" w:hAnsiTheme="minorEastAsia" w:cs="宋体"/>
          <w:color w:val="000000"/>
          <w:kern w:val="0"/>
          <w:sz w:val="24"/>
          <w:szCs w:val="24"/>
        </w:rPr>
        <w:t>200</w:t>
      </w:r>
      <w:r w:rsidRPr="00677D1F">
        <w:rPr>
          <w:rFonts w:asciiTheme="minorEastAsia" w:hAnsiTheme="minorEastAsia" w:cs="宋体" w:hint="eastAsia"/>
          <w:color w:val="000000"/>
          <w:kern w:val="0"/>
          <w:sz w:val="24"/>
          <w:szCs w:val="24"/>
        </w:rPr>
        <w:t>米范围内人员紧急疏散，部分消防队员在抢险过程中受伤送医院治疗。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1984</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日上午某厂工业导火索烟花试制组郑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曾要求车间安排过筛一袋黑火药（硝酸钾</w:t>
      </w:r>
      <w:r w:rsidRPr="00677D1F">
        <w:rPr>
          <w:rFonts w:asciiTheme="minorEastAsia" w:hAnsiTheme="minorEastAsia" w:cs="宋体"/>
          <w:color w:val="000000"/>
          <w:kern w:val="0"/>
          <w:sz w:val="24"/>
          <w:szCs w:val="24"/>
        </w:rPr>
        <w:t>65%</w:t>
      </w:r>
      <w:r w:rsidRPr="00677D1F">
        <w:rPr>
          <w:rFonts w:asciiTheme="minorEastAsia" w:hAnsiTheme="minorEastAsia" w:cs="宋体" w:hint="eastAsia"/>
          <w:color w:val="000000"/>
          <w:kern w:val="0"/>
          <w:sz w:val="24"/>
          <w:szCs w:val="24"/>
        </w:rPr>
        <w:t>，硫磺</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，木炭</w:t>
      </w:r>
      <w:r w:rsidRPr="00677D1F">
        <w:rPr>
          <w:rFonts w:asciiTheme="minorEastAsia" w:hAnsiTheme="minorEastAsia" w:cs="宋体"/>
          <w:color w:val="000000"/>
          <w:kern w:val="0"/>
          <w:sz w:val="24"/>
          <w:szCs w:val="24"/>
        </w:rPr>
        <w:t>15%</w:t>
      </w:r>
      <w:r w:rsidRPr="00677D1F">
        <w:rPr>
          <w:rFonts w:asciiTheme="minorEastAsia" w:hAnsiTheme="minorEastAsia" w:cs="宋体" w:hint="eastAsia"/>
          <w:color w:val="000000"/>
          <w:kern w:val="0"/>
          <w:sz w:val="24"/>
          <w:szCs w:val="24"/>
        </w:rPr>
        <w:t>），由郑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按外加</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钛粉配制彩光烟花索用药，共</w:t>
      </w:r>
      <w:r w:rsidRPr="00677D1F">
        <w:rPr>
          <w:rFonts w:asciiTheme="minorEastAsia" w:hAnsiTheme="minorEastAsia" w:cs="宋体"/>
          <w:color w:val="000000"/>
          <w:kern w:val="0"/>
          <w:sz w:val="24"/>
          <w:szCs w:val="24"/>
        </w:rPr>
        <w:t>16kg</w:t>
      </w:r>
      <w:r w:rsidRPr="00677D1F">
        <w:rPr>
          <w:rFonts w:asciiTheme="minorEastAsia" w:hAnsiTheme="minorEastAsia" w:cs="宋体" w:hint="eastAsia"/>
          <w:color w:val="000000"/>
          <w:kern w:val="0"/>
          <w:sz w:val="24"/>
          <w:szCs w:val="24"/>
        </w:rPr>
        <w:t>，该药于当日上午</w:t>
      </w:r>
      <w:r w:rsidRPr="00677D1F">
        <w:rPr>
          <w:rFonts w:asciiTheme="minorEastAsia" w:hAnsiTheme="minorEastAsia" w:cs="宋体"/>
          <w:color w:val="000000"/>
          <w:kern w:val="0"/>
          <w:sz w:val="24"/>
          <w:szCs w:val="24"/>
        </w:rPr>
        <w:t>11</w:t>
      </w:r>
      <w:r w:rsidRPr="00677D1F">
        <w:rPr>
          <w:rFonts w:asciiTheme="minorEastAsia" w:hAnsiTheme="minorEastAsia" w:cs="宋体" w:hint="eastAsia"/>
          <w:color w:val="000000"/>
          <w:kern w:val="0"/>
          <w:sz w:val="24"/>
          <w:szCs w:val="24"/>
        </w:rPr>
        <w:t>时配完。郑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曾于</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30</w:t>
      </w:r>
      <w:r w:rsidRPr="00677D1F">
        <w:rPr>
          <w:rFonts w:asciiTheme="minorEastAsia" w:hAnsiTheme="minorEastAsia" w:cs="宋体" w:hint="eastAsia"/>
          <w:color w:val="000000"/>
          <w:kern w:val="0"/>
          <w:sz w:val="24"/>
          <w:szCs w:val="24"/>
        </w:rPr>
        <w:t>日要求五车间领导试制几种彩光烟花索（药粉成分，危险程度，安全注意事项等均未告诉车间领导），当时车间副主任陈</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答复：生产任务重，试制不能影响正常生产，要试只能等秒量不合时试。故郑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配好药后告诉黄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，秒量不合时试彩光烟火索，后因早班生产秒量正常未能进行。</w:t>
      </w:r>
      <w:r w:rsidRPr="00677D1F">
        <w:rPr>
          <w:rFonts w:asciiTheme="minorEastAsia" w:hAnsiTheme="minorEastAsia" w:cs="宋体"/>
          <w:color w:val="000000"/>
          <w:kern w:val="0"/>
          <w:sz w:val="24"/>
          <w:szCs w:val="24"/>
        </w:rPr>
        <w:t>13</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30</w:t>
      </w:r>
      <w:r w:rsidRPr="00677D1F">
        <w:rPr>
          <w:rFonts w:asciiTheme="minorEastAsia" w:hAnsiTheme="minorEastAsia" w:cs="宋体" w:hint="eastAsia"/>
          <w:color w:val="000000"/>
          <w:kern w:val="0"/>
          <w:sz w:val="24"/>
          <w:szCs w:val="24"/>
        </w:rPr>
        <w:t>分，中班接班后经试秒量，有</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号等五台秒量不合停机。此时郑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即找制索班长黄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安排拉彩光索，并说副主任陈</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同意秒量不合格时可以试制，征得班长同意后郑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即去转手库，见送药工韦</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正在装药，于是郑即拿一筒药给</w:t>
      </w: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号机手廖</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，廖于</w:t>
      </w:r>
      <w:r w:rsidRPr="00677D1F">
        <w:rPr>
          <w:rFonts w:asciiTheme="minorEastAsia" w:hAnsiTheme="minorEastAsia" w:cs="宋体"/>
          <w:color w:val="000000"/>
          <w:kern w:val="0"/>
          <w:sz w:val="24"/>
          <w:szCs w:val="24"/>
        </w:rPr>
        <w:t>14</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40</w:t>
      </w:r>
      <w:r w:rsidRPr="00677D1F">
        <w:rPr>
          <w:rFonts w:asciiTheme="minorEastAsia" w:hAnsiTheme="minorEastAsia" w:cs="宋体" w:hint="eastAsia"/>
          <w:color w:val="000000"/>
          <w:kern w:val="0"/>
          <w:sz w:val="24"/>
          <w:szCs w:val="24"/>
        </w:rPr>
        <w:t>分左右开机拉索，随之</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号机也陆续开机拉制彩光烟花索，当时</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号手高</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拿药准备到</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号机制索，送料工廖</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送棉线到</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号机时，发现</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号机药杯发亮（</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机手卢</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，送药工韦</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也同时发现此现象），紧接着出现冒烟及爆炸声。相隔约</w:t>
      </w:r>
      <w:r w:rsidRPr="00677D1F">
        <w:rPr>
          <w:rFonts w:asciiTheme="minorEastAsia" w:hAnsiTheme="minorEastAsia" w:cs="宋体"/>
          <w:color w:val="000000"/>
          <w:kern w:val="0"/>
          <w:sz w:val="24"/>
          <w:szCs w:val="24"/>
        </w:rPr>
        <w:t>2S</w:t>
      </w:r>
      <w:r w:rsidRPr="00677D1F">
        <w:rPr>
          <w:rFonts w:asciiTheme="minorEastAsia" w:hAnsiTheme="minorEastAsia" w:cs="宋体" w:hint="eastAsia"/>
          <w:color w:val="000000"/>
          <w:kern w:val="0"/>
          <w:sz w:val="24"/>
          <w:szCs w:val="24"/>
        </w:rPr>
        <w:t>后出现另一较大爆炸声。顿时，制索工房内浓烟弥漫，视线不清。此时郑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因材料员赵</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有事叫去，当发现爆燃后，郑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即跑到配电房拉下总开关切断电源。随后抢救人员陆续赶到灭火，在大家奋力抢救下，火很快扑灭，避免了事故的扩大。此次事故，造成</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名工人轻度烧伤，一台制索机轻度损坏，直接经济损失</w:t>
      </w:r>
      <w:r w:rsidRPr="00677D1F">
        <w:rPr>
          <w:rFonts w:asciiTheme="minorEastAsia" w:hAnsiTheme="minorEastAsia" w:cs="宋体"/>
          <w:color w:val="000000"/>
          <w:kern w:val="0"/>
          <w:sz w:val="24"/>
          <w:szCs w:val="24"/>
        </w:rPr>
        <w:t>0.15</w:t>
      </w:r>
      <w:r w:rsidRPr="00677D1F">
        <w:rPr>
          <w:rFonts w:asciiTheme="minorEastAsia" w:hAnsiTheme="minorEastAsia" w:cs="宋体" w:hint="eastAsia"/>
          <w:color w:val="000000"/>
          <w:kern w:val="0"/>
          <w:sz w:val="24"/>
          <w:szCs w:val="24"/>
        </w:rPr>
        <w:t>万元。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日</w:t>
      </w:r>
      <w:r w:rsidRPr="00677D1F">
        <w:rPr>
          <w:rFonts w:asciiTheme="minorEastAsia" w:hAnsiTheme="minorEastAsia" w:cs="宋体"/>
          <w:color w:val="000000"/>
          <w:kern w:val="0"/>
          <w:sz w:val="24"/>
          <w:szCs w:val="24"/>
        </w:rPr>
        <w:t>16</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分左右，浙江省温州市瓯海区一个体铝锁抛光加工场发生爆炸事故，导致加工场及相连民房共</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间房屋相继倒塌并起火，爆炸燃烧面积约</w:t>
      </w:r>
      <w:r w:rsidRPr="00677D1F">
        <w:rPr>
          <w:rFonts w:asciiTheme="minorEastAsia" w:hAnsiTheme="minorEastAsia" w:cs="宋体"/>
          <w:color w:val="000000"/>
          <w:kern w:val="0"/>
          <w:sz w:val="24"/>
          <w:szCs w:val="24"/>
        </w:rPr>
        <w:t>200</w:t>
      </w:r>
      <w:r w:rsidRPr="00677D1F">
        <w:rPr>
          <w:rFonts w:asciiTheme="minorEastAsia" w:hAnsiTheme="minorEastAsia" w:cs="宋体" w:hint="eastAsia"/>
          <w:color w:val="000000"/>
          <w:kern w:val="0"/>
          <w:sz w:val="24"/>
          <w:szCs w:val="24"/>
        </w:rPr>
        <w:t>平方米，造成</w:t>
      </w:r>
      <w:r w:rsidRPr="00677D1F">
        <w:rPr>
          <w:rFonts w:asciiTheme="minorEastAsia" w:hAnsiTheme="minorEastAsia" w:cs="宋体"/>
          <w:color w:val="000000"/>
          <w:kern w:val="0"/>
          <w:sz w:val="24"/>
          <w:szCs w:val="24"/>
        </w:rPr>
        <w:t>13</w:t>
      </w:r>
      <w:r w:rsidRPr="00677D1F">
        <w:rPr>
          <w:rFonts w:asciiTheme="minorEastAsia" w:hAnsiTheme="minorEastAsia" w:cs="宋体" w:hint="eastAsia"/>
          <w:color w:val="000000"/>
          <w:kern w:val="0"/>
          <w:sz w:val="24"/>
          <w:szCs w:val="24"/>
        </w:rPr>
        <w:t>人死亡、</w:t>
      </w:r>
      <w:r w:rsidRPr="00677D1F">
        <w:rPr>
          <w:rFonts w:asciiTheme="minorEastAsia" w:hAnsiTheme="minorEastAsia" w:cs="宋体"/>
          <w:color w:val="000000"/>
          <w:kern w:val="0"/>
          <w:sz w:val="24"/>
          <w:szCs w:val="24"/>
        </w:rPr>
        <w:t>15</w:t>
      </w:r>
      <w:r w:rsidRPr="00677D1F">
        <w:rPr>
          <w:rFonts w:asciiTheme="minorEastAsia" w:hAnsiTheme="minorEastAsia" w:cs="宋体" w:hint="eastAsia"/>
          <w:color w:val="000000"/>
          <w:kern w:val="0"/>
          <w:sz w:val="24"/>
          <w:szCs w:val="24"/>
        </w:rPr>
        <w:t>人受伤（其中</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人重伤）。据初步调查，该加工场是从</w:t>
      </w:r>
      <w:r w:rsidRPr="00677D1F">
        <w:rPr>
          <w:rFonts w:asciiTheme="minorEastAsia" w:hAnsiTheme="minorEastAsia" w:cs="宋体"/>
          <w:color w:val="000000"/>
          <w:kern w:val="0"/>
          <w:sz w:val="24"/>
          <w:szCs w:val="24"/>
        </w:rPr>
        <w:t>2011</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月开始租用当地民房开设的生产、储存、住宿等混合的“多合一”家庭式作坊，无相关证照。在铝制门把手抛光过程中积累的铝粉尘发生爆炸，是一起典型的非法违法重大事故。</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2012</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17</w:t>
      </w:r>
      <w:r w:rsidRPr="00677D1F">
        <w:rPr>
          <w:rFonts w:asciiTheme="minorEastAsia" w:hAnsiTheme="minorEastAsia" w:cs="宋体" w:hint="eastAsia"/>
          <w:color w:val="000000"/>
          <w:kern w:val="0"/>
          <w:sz w:val="24"/>
          <w:szCs w:val="24"/>
        </w:rPr>
        <w:t>日上午</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分，宝钢股份公司炼钢厂一炼钢分厂行车在吊运</w:t>
      </w:r>
      <w:r w:rsidRPr="00677D1F">
        <w:rPr>
          <w:rFonts w:asciiTheme="minorEastAsia" w:hAnsiTheme="minorEastAsia" w:cs="宋体"/>
          <w:color w:val="000000"/>
          <w:kern w:val="0"/>
          <w:sz w:val="24"/>
          <w:szCs w:val="24"/>
        </w:rPr>
        <w:t>270</w:t>
      </w:r>
      <w:r w:rsidRPr="00677D1F">
        <w:rPr>
          <w:rFonts w:asciiTheme="minorEastAsia" w:hAnsiTheme="minorEastAsia" w:cs="宋体" w:hint="eastAsia"/>
          <w:color w:val="000000"/>
          <w:kern w:val="0"/>
          <w:sz w:val="24"/>
          <w:szCs w:val="24"/>
        </w:rPr>
        <w:t>t铁水包时，发生双板钩单侧脱落，致使铁水包侧翻，事故造成</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人死亡，</w:t>
      </w:r>
      <w:r w:rsidRPr="00677D1F">
        <w:rPr>
          <w:rFonts w:asciiTheme="minorEastAsia" w:hAnsiTheme="minorEastAsia" w:cs="宋体"/>
          <w:color w:val="000000"/>
          <w:kern w:val="0"/>
          <w:sz w:val="24"/>
          <w:szCs w:val="24"/>
        </w:rPr>
        <w:t>13</w:t>
      </w:r>
      <w:r w:rsidRPr="00677D1F">
        <w:rPr>
          <w:rFonts w:asciiTheme="minorEastAsia" w:hAnsiTheme="minorEastAsia" w:cs="宋体" w:hint="eastAsia"/>
          <w:color w:val="000000"/>
          <w:kern w:val="0"/>
          <w:sz w:val="24"/>
          <w:szCs w:val="24"/>
        </w:rPr>
        <w:t>人受伤，伤员立即被送往宝钢医院救治。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2007</w:t>
      </w:r>
      <w:r w:rsidRPr="00677D1F">
        <w:rPr>
          <w:rFonts w:asciiTheme="minorEastAsia" w:hAnsiTheme="minorEastAsia" w:cs="宋体" w:hint="eastAsia"/>
          <w:color w:val="000000"/>
          <w:kern w:val="0"/>
          <w:sz w:val="24"/>
          <w:szCs w:val="24"/>
        </w:rPr>
        <w:t>年</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月</w:t>
      </w:r>
      <w:r w:rsidRPr="00677D1F">
        <w:rPr>
          <w:rFonts w:asciiTheme="minorEastAsia" w:hAnsiTheme="minorEastAsia" w:cs="宋体"/>
          <w:color w:val="000000"/>
          <w:kern w:val="0"/>
          <w:sz w:val="24"/>
          <w:szCs w:val="24"/>
        </w:rPr>
        <w:t>18</w:t>
      </w:r>
      <w:r w:rsidRPr="00677D1F">
        <w:rPr>
          <w:rFonts w:asciiTheme="minorEastAsia" w:hAnsiTheme="minorEastAsia" w:cs="宋体" w:hint="eastAsia"/>
          <w:color w:val="000000"/>
          <w:kern w:val="0"/>
          <w:sz w:val="24"/>
          <w:szCs w:val="24"/>
        </w:rPr>
        <w:t>日早晨</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时</w:t>
      </w:r>
      <w:r w:rsidRPr="00677D1F">
        <w:rPr>
          <w:rFonts w:asciiTheme="minorEastAsia" w:hAnsiTheme="minorEastAsia" w:cs="宋体"/>
          <w:color w:val="000000"/>
          <w:kern w:val="0"/>
          <w:sz w:val="24"/>
          <w:szCs w:val="24"/>
        </w:rPr>
        <w:t>45</w:t>
      </w:r>
      <w:r w:rsidRPr="00677D1F">
        <w:rPr>
          <w:rFonts w:asciiTheme="minorEastAsia" w:hAnsiTheme="minorEastAsia" w:cs="宋体" w:hint="eastAsia"/>
          <w:color w:val="000000"/>
          <w:kern w:val="0"/>
          <w:sz w:val="24"/>
          <w:szCs w:val="24"/>
        </w:rPr>
        <w:t>分左右，辽宁省铁岭市清河特钢有限公司发生一起钢水包脱落事故，装有</w:t>
      </w:r>
      <w:r w:rsidRPr="00677D1F">
        <w:rPr>
          <w:rFonts w:asciiTheme="minorEastAsia" w:hAnsiTheme="minorEastAsia" w:cs="宋体"/>
          <w:color w:val="000000"/>
          <w:kern w:val="0"/>
          <w:sz w:val="24"/>
          <w:szCs w:val="24"/>
        </w:rPr>
        <w:t>30</w:t>
      </w:r>
      <w:r w:rsidRPr="00677D1F">
        <w:rPr>
          <w:rFonts w:asciiTheme="minorEastAsia" w:hAnsiTheme="minorEastAsia" w:cs="宋体" w:hint="eastAsia"/>
          <w:color w:val="000000"/>
          <w:kern w:val="0"/>
          <w:sz w:val="24"/>
          <w:szCs w:val="24"/>
        </w:rPr>
        <w:t>t钢水的钢包在吊运下落至就位处</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m时，突然滑落，</w:t>
      </w:r>
      <w:r w:rsidRPr="00677D1F">
        <w:rPr>
          <w:rFonts w:asciiTheme="minorEastAsia" w:hAnsiTheme="minorEastAsia" w:cs="宋体" w:hint="eastAsia"/>
          <w:color w:val="000000"/>
          <w:kern w:val="0"/>
          <w:sz w:val="24"/>
          <w:szCs w:val="24"/>
        </w:rPr>
        <w:lastRenderedPageBreak/>
        <w:t>钢水洒出，冲进车间内</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m远的一间房屋，造成</w:t>
      </w:r>
      <w:r w:rsidRPr="00677D1F">
        <w:rPr>
          <w:rFonts w:asciiTheme="minorEastAsia" w:hAnsiTheme="minorEastAsia" w:cs="宋体"/>
          <w:color w:val="000000"/>
          <w:kern w:val="0"/>
          <w:sz w:val="24"/>
          <w:szCs w:val="24"/>
        </w:rPr>
        <w:t>32</w:t>
      </w:r>
      <w:r w:rsidRPr="00677D1F">
        <w:rPr>
          <w:rFonts w:asciiTheme="minorEastAsia" w:hAnsiTheme="minorEastAsia" w:cs="宋体" w:hint="eastAsia"/>
          <w:color w:val="000000"/>
          <w:kern w:val="0"/>
          <w:sz w:val="24"/>
          <w:szCs w:val="24"/>
        </w:rPr>
        <w:t>人死亡、</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人受伤，由于事故现场钢水温度很高，救援人员无法立即进行搜救，伤者均为自行逃离现场。</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8.4.1.2</w:t>
      </w:r>
      <w:r w:rsidRPr="00677D1F">
        <w:rPr>
          <w:rFonts w:ascii="宋体" w:eastAsia="宋体" w:hAnsi="宋体" w:cs="宋体" w:hint="eastAsia"/>
          <w:b/>
          <w:bCs/>
          <w:color w:val="000000"/>
          <w:kern w:val="0"/>
          <w:sz w:val="24"/>
          <w:szCs w:val="24"/>
        </w:rPr>
        <w:t>最大可信事故确定及其概率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（1）最大可信事故的判定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最大可信事故指事故所造成的危害在所有预测的事故中最严重，并且发生该事故的概率不为“</w:t>
      </w:r>
      <w:r w:rsidRPr="00677D1F">
        <w:rPr>
          <w:rFonts w:asciiTheme="minorEastAsia" w:hAnsiTheme="minorEastAsia" w:cs="宋体"/>
          <w:color w:val="000000"/>
          <w:kern w:val="0"/>
          <w:sz w:val="24"/>
          <w:szCs w:val="24"/>
        </w:rPr>
        <w:t>0</w:t>
      </w:r>
      <w:r w:rsidRPr="00677D1F">
        <w:rPr>
          <w:rFonts w:asciiTheme="minorEastAsia" w:hAnsiTheme="minorEastAsia" w:cs="宋体" w:hint="eastAsia"/>
          <w:color w:val="000000"/>
          <w:kern w:val="0"/>
          <w:sz w:val="24"/>
          <w:szCs w:val="24"/>
        </w:rPr>
        <w:t>”。在上述风险识别、分析的基础上，本项目风险评价的最大可信事故设定列于表</w:t>
      </w:r>
      <w:r w:rsidRPr="00677D1F">
        <w:rPr>
          <w:rFonts w:asciiTheme="minorEastAsia" w:hAnsiTheme="minorEastAsia" w:cs="宋体"/>
          <w:color w:val="000000"/>
          <w:kern w:val="0"/>
          <w:sz w:val="24"/>
          <w:szCs w:val="24"/>
        </w:rPr>
        <w:t>8.4-1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表8.4-1最大可信事故设定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导致安全和环境风险的危险物质主要为氯化氢、氯气、氢气、一氧化碳、天然气钛粉（粒）和四氯化钛，其中氢气、天然气、一氧化碳、钛粉（粒）具有可燃性，为同时氯化氢、氯气和四氯化钛又均具有一定刺激性。当物料发生泄漏后，首要风险在于有毒有害物质在大气中的弥散，对周边人群和环境的影响。从物料的贮存量及运输情况考虑，经综合分析，将四氯化钛和氯气作为本项目主要事故风险评价因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（2）最大可信事故概率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事故概率可以通过事故树分析，确定顶上事件后用概率计算法求得，也可以通过同类装置事故调查类比给出概率统计值。总的根据类比调查，本项目最大可信事故概率为：泄漏</w:t>
      </w:r>
      <w:r w:rsidRPr="00677D1F">
        <w:rPr>
          <w:rFonts w:asciiTheme="minorEastAsia" w:hAnsiTheme="minorEastAsia" w:cs="宋体"/>
          <w:color w:val="000000"/>
          <w:kern w:val="0"/>
          <w:sz w:val="24"/>
          <w:szCs w:val="24"/>
        </w:rPr>
        <w:t>8.1</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w:t>
      </w:r>
      <w:r w:rsidRPr="00677D1F">
        <w:rPr>
          <w:rFonts w:asciiTheme="minorEastAsia" w:hAnsiTheme="minorEastAsia" w:cs="宋体"/>
          <w:color w:val="000000"/>
          <w:kern w:val="0"/>
          <w:sz w:val="24"/>
          <w:szCs w:val="24"/>
          <w:vertAlign w:val="superscript"/>
        </w:rPr>
        <w:t>-5</w:t>
      </w:r>
      <w:r w:rsidRPr="00677D1F">
        <w:rPr>
          <w:rFonts w:asciiTheme="minorEastAsia" w:hAnsiTheme="minorEastAsia" w:cs="宋体" w:hint="eastAsia"/>
          <w:color w:val="000000"/>
          <w:kern w:val="0"/>
          <w:sz w:val="24"/>
          <w:szCs w:val="24"/>
        </w:rPr>
        <w:t>次</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、火灾爆炸</w:t>
      </w:r>
      <w:r w:rsidRPr="00677D1F">
        <w:rPr>
          <w:rFonts w:asciiTheme="minorEastAsia" w:hAnsiTheme="minorEastAsia" w:cs="宋体"/>
          <w:color w:val="000000"/>
          <w:kern w:val="0"/>
          <w:sz w:val="24"/>
          <w:szCs w:val="24"/>
        </w:rPr>
        <w:t>3.0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w:t>
      </w:r>
      <w:r w:rsidRPr="00677D1F">
        <w:rPr>
          <w:rFonts w:asciiTheme="minorEastAsia" w:hAnsiTheme="minorEastAsia" w:cs="宋体"/>
          <w:color w:val="000000"/>
          <w:kern w:val="0"/>
          <w:sz w:val="24"/>
          <w:szCs w:val="24"/>
          <w:vertAlign w:val="superscript"/>
        </w:rPr>
        <w:t>-5</w:t>
      </w:r>
      <w:r w:rsidRPr="00677D1F">
        <w:rPr>
          <w:rFonts w:asciiTheme="minorEastAsia" w:hAnsiTheme="minorEastAsia" w:cs="宋体" w:hint="eastAsia"/>
          <w:color w:val="000000"/>
          <w:kern w:val="0"/>
          <w:sz w:val="24"/>
          <w:szCs w:val="24"/>
        </w:rPr>
        <w:t>次</w:t>
      </w: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环境风险概率分析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根据上述可信事故概率判定及预测条件选择，确定泄漏事故和爆炸事故的环境风险概率见表</w:t>
      </w:r>
      <w:r w:rsidRPr="00677D1F">
        <w:rPr>
          <w:rFonts w:asciiTheme="minorEastAsia" w:hAnsiTheme="minorEastAsia" w:cs="宋体"/>
          <w:color w:val="000000"/>
          <w:kern w:val="0"/>
          <w:sz w:val="24"/>
          <w:szCs w:val="24"/>
        </w:rPr>
        <w:t>8.4-2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表8.4-2可信事故环境风险概率一览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根据上述最大可信事故引起的环境风险概率分析可见，最大环境风险概率为</w:t>
      </w:r>
      <w:r w:rsidRPr="00677D1F">
        <w:rPr>
          <w:rFonts w:asciiTheme="minorEastAsia" w:hAnsiTheme="minorEastAsia" w:cs="宋体"/>
          <w:color w:val="000000"/>
          <w:kern w:val="0"/>
          <w:sz w:val="24"/>
          <w:szCs w:val="24"/>
        </w:rPr>
        <w:t>1.03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w:t>
      </w:r>
      <w:r w:rsidRPr="00677D1F">
        <w:rPr>
          <w:rFonts w:asciiTheme="minorEastAsia" w:hAnsiTheme="minorEastAsia" w:cs="宋体"/>
          <w:color w:val="000000"/>
          <w:kern w:val="0"/>
          <w:sz w:val="24"/>
          <w:szCs w:val="24"/>
          <w:vertAlign w:val="superscript"/>
        </w:rPr>
        <w:t>-5</w:t>
      </w:r>
      <w:r w:rsidRPr="00677D1F">
        <w:rPr>
          <w:rFonts w:asciiTheme="minorEastAsia" w:hAnsiTheme="minorEastAsia" w:cs="宋体" w:hint="eastAsia"/>
          <w:color w:val="000000"/>
          <w:kern w:val="0"/>
          <w:sz w:val="24"/>
          <w:szCs w:val="24"/>
        </w:rPr>
        <w:t>，远小于行业可接受风险值（</w:t>
      </w:r>
      <w:r w:rsidRPr="00677D1F">
        <w:rPr>
          <w:rFonts w:asciiTheme="minorEastAsia" w:hAnsiTheme="minorEastAsia" w:cs="宋体"/>
          <w:color w:val="000000"/>
          <w:kern w:val="0"/>
          <w:sz w:val="24"/>
          <w:szCs w:val="24"/>
        </w:rPr>
        <w:t>8.33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w:t>
      </w:r>
      <w:r w:rsidRPr="00677D1F">
        <w:rPr>
          <w:rFonts w:asciiTheme="minorEastAsia" w:hAnsiTheme="minorEastAsia" w:cs="宋体"/>
          <w:color w:val="000000"/>
          <w:kern w:val="0"/>
          <w:sz w:val="24"/>
          <w:szCs w:val="24"/>
          <w:vertAlign w:val="superscript"/>
        </w:rPr>
        <w:t>-5</w:t>
      </w:r>
      <w:r w:rsidRPr="00677D1F">
        <w:rPr>
          <w:rFonts w:asciiTheme="minorEastAsia" w:hAnsiTheme="minorEastAsia" w:cs="宋体" w:hint="eastAsia"/>
          <w:color w:val="000000"/>
          <w:kern w:val="0"/>
          <w:sz w:val="24"/>
          <w:szCs w:val="24"/>
        </w:rPr>
        <w:t>），可见本项目实施后，最大环境风险概率在可接受的范围内。</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8.4.2</w:t>
      </w:r>
      <w:r w:rsidRPr="00677D1F">
        <w:rPr>
          <w:rFonts w:ascii="宋体" w:hAnsi="宋体" w:hint="eastAsia"/>
          <w:sz w:val="28"/>
          <w:szCs w:val="28"/>
        </w:rPr>
        <w:t>最大可信事故源项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最大可信事故源项是对所识别选出的危险物质，在最大可信事故情况下的释放率和释放时间的设定。综合多方面的因素，参考同行业的一些事故情况，拟定本次评价的管线泄漏反应时间为</w:t>
      </w:r>
      <w:r w:rsidRPr="00677D1F">
        <w:rPr>
          <w:rFonts w:asciiTheme="minorEastAsia" w:hAnsiTheme="minorEastAsia" w:cs="宋体"/>
          <w:color w:val="000000"/>
          <w:kern w:val="0"/>
          <w:sz w:val="24"/>
          <w:szCs w:val="24"/>
        </w:rPr>
        <w:t>10min</w:t>
      </w:r>
      <w:r w:rsidRPr="00677D1F">
        <w:rPr>
          <w:rFonts w:asciiTheme="minorEastAsia" w:hAnsiTheme="minorEastAsia" w:cs="宋体" w:hint="eastAsia"/>
          <w:color w:val="000000"/>
          <w:kern w:val="0"/>
          <w:sz w:val="24"/>
          <w:szCs w:val="24"/>
        </w:rPr>
        <w:t>，储存设施的泄漏反应时间为</w:t>
      </w:r>
      <w:r w:rsidRPr="00677D1F">
        <w:rPr>
          <w:rFonts w:asciiTheme="minorEastAsia" w:hAnsiTheme="minorEastAsia" w:cs="宋体"/>
          <w:color w:val="000000"/>
          <w:kern w:val="0"/>
          <w:sz w:val="24"/>
          <w:szCs w:val="24"/>
        </w:rPr>
        <w:t>30min</w:t>
      </w:r>
      <w:r w:rsidRPr="00677D1F">
        <w:rPr>
          <w:rFonts w:asciiTheme="minorEastAsia" w:hAnsiTheme="minorEastAsia" w:cs="宋体" w:hint="eastAsia"/>
          <w:color w:val="000000"/>
          <w:kern w:val="0"/>
          <w:sz w:val="24"/>
          <w:szCs w:val="24"/>
        </w:rPr>
        <w:t>。释放率依据建设项目环境风险评价技术导则附录中的计算公式。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）液体泄漏速率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易燃易爆或有毒液态介质的泄漏量按下面的柏努利方程计算确定：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QL</w:t>
      </w:r>
      <w:r w:rsidRPr="00677D1F">
        <w:rPr>
          <w:rFonts w:asciiTheme="minorEastAsia" w:hAnsiTheme="minorEastAsia" w:cs="宋体" w:hint="eastAsia"/>
          <w:color w:val="000000"/>
          <w:kern w:val="0"/>
          <w:sz w:val="24"/>
          <w:szCs w:val="24"/>
        </w:rPr>
        <w:t>——液体泄漏速度，</w:t>
      </w:r>
      <w:r w:rsidRPr="00677D1F">
        <w:rPr>
          <w:rFonts w:asciiTheme="minorEastAsia" w:hAnsiTheme="minorEastAsia" w:cs="宋体"/>
          <w:color w:val="000000"/>
          <w:kern w:val="0"/>
          <w:sz w:val="24"/>
          <w:szCs w:val="24"/>
        </w:rPr>
        <w:t>kg/s</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Cd</w:t>
      </w:r>
      <w:r w:rsidRPr="00677D1F">
        <w:rPr>
          <w:rFonts w:asciiTheme="minorEastAsia" w:hAnsiTheme="minorEastAsia" w:cs="宋体" w:hint="eastAsia"/>
          <w:color w:val="000000"/>
          <w:kern w:val="0"/>
          <w:sz w:val="24"/>
          <w:szCs w:val="24"/>
        </w:rPr>
        <w:t>——液体泄漏系数，此值常用</w:t>
      </w:r>
      <w:r w:rsidRPr="00677D1F">
        <w:rPr>
          <w:rFonts w:asciiTheme="minorEastAsia" w:hAnsiTheme="minorEastAsia" w:cs="宋体"/>
          <w:color w:val="000000"/>
          <w:kern w:val="0"/>
          <w:sz w:val="24"/>
          <w:szCs w:val="24"/>
        </w:rPr>
        <w:t>0.6</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0.64</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——裂口面积，</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w:t>
      </w:r>
      <w:r w:rsidRPr="00677D1F">
        <w:rPr>
          <w:rFonts w:asciiTheme="minorEastAsia" w:hAnsiTheme="minorEastAsia" w:cs="宋体" w:hint="eastAsia"/>
          <w:color w:val="000000"/>
          <w:kern w:val="0"/>
          <w:sz w:val="24"/>
          <w:szCs w:val="24"/>
        </w:rPr>
        <w:t>——容器内介质压力，</w:t>
      </w:r>
      <w:r w:rsidRPr="00677D1F">
        <w:rPr>
          <w:rFonts w:asciiTheme="minorEastAsia" w:hAnsiTheme="minorEastAsia" w:cs="宋体"/>
          <w:color w:val="000000"/>
          <w:kern w:val="0"/>
          <w:sz w:val="24"/>
          <w:szCs w:val="24"/>
        </w:rPr>
        <w:t>Pa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P0</w:t>
      </w:r>
      <w:r w:rsidRPr="00677D1F">
        <w:rPr>
          <w:rFonts w:asciiTheme="minorEastAsia" w:hAnsiTheme="minorEastAsia" w:cs="宋体" w:hint="eastAsia"/>
          <w:color w:val="000000"/>
          <w:kern w:val="0"/>
          <w:sz w:val="24"/>
          <w:szCs w:val="24"/>
        </w:rPr>
        <w:t>——环境压力，</w:t>
      </w:r>
      <w:r w:rsidRPr="00677D1F">
        <w:rPr>
          <w:rFonts w:asciiTheme="minorEastAsia" w:hAnsiTheme="minorEastAsia" w:cs="宋体"/>
          <w:color w:val="000000"/>
          <w:kern w:val="0"/>
          <w:sz w:val="24"/>
          <w:szCs w:val="24"/>
        </w:rPr>
        <w:t>Pa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——重力加速度，</w:t>
      </w:r>
      <w:r w:rsidRPr="00677D1F">
        <w:rPr>
          <w:rFonts w:asciiTheme="minorEastAsia" w:hAnsiTheme="minorEastAsia" w:cs="宋体"/>
          <w:color w:val="000000"/>
          <w:kern w:val="0"/>
          <w:sz w:val="24"/>
          <w:szCs w:val="24"/>
        </w:rPr>
        <w:t>m/s</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——裂口之上液位高度，</w:t>
      </w: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）气体泄漏速率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当气体流速在音速范围（临界流）：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w:t>
      </w:r>
      <w:r w:rsidRPr="00677D1F">
        <w:rPr>
          <w:rFonts w:asciiTheme="minorEastAsia" w:hAnsiTheme="minorEastAsia" w:cs="宋体" w:hint="eastAsia"/>
          <w:color w:val="000000"/>
          <w:kern w:val="0"/>
          <w:sz w:val="24"/>
          <w:szCs w:val="24"/>
        </w:rPr>
        <w:t>——容器内介质压力，</w:t>
      </w:r>
      <w:r w:rsidRPr="00677D1F">
        <w:rPr>
          <w:rFonts w:asciiTheme="minorEastAsia" w:hAnsiTheme="minorEastAsia" w:cs="宋体"/>
          <w:color w:val="000000"/>
          <w:kern w:val="0"/>
          <w:sz w:val="24"/>
          <w:szCs w:val="24"/>
        </w:rPr>
        <w:t>Pa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w:t>
      </w:r>
      <w:r w:rsidRPr="00677D1F">
        <w:rPr>
          <w:rFonts w:asciiTheme="minorEastAsia" w:hAnsiTheme="minorEastAsia" w:cs="宋体"/>
          <w:color w:val="000000"/>
          <w:kern w:val="0"/>
          <w:sz w:val="24"/>
          <w:szCs w:val="24"/>
          <w:vertAlign w:val="subscript"/>
        </w:rPr>
        <w:t>0</w:t>
      </w:r>
      <w:r w:rsidRPr="00677D1F">
        <w:rPr>
          <w:rFonts w:asciiTheme="minorEastAsia" w:hAnsiTheme="minorEastAsia" w:cs="宋体" w:hint="eastAsia"/>
          <w:color w:val="000000"/>
          <w:kern w:val="0"/>
          <w:sz w:val="24"/>
          <w:szCs w:val="24"/>
        </w:rPr>
        <w:t>——环境压力，</w:t>
      </w:r>
      <w:r w:rsidRPr="00677D1F">
        <w:rPr>
          <w:rFonts w:asciiTheme="minorEastAsia" w:hAnsiTheme="minorEastAsia" w:cs="宋体"/>
          <w:color w:val="000000"/>
          <w:kern w:val="0"/>
          <w:sz w:val="24"/>
          <w:szCs w:val="24"/>
        </w:rPr>
        <w:t>Pa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κ</w:t>
      </w:r>
      <w:r w:rsidRPr="00677D1F">
        <w:rPr>
          <w:rFonts w:asciiTheme="minorEastAsia" w:hAnsiTheme="minorEastAsia" w:cs="宋体" w:hint="eastAsia"/>
          <w:color w:val="000000"/>
          <w:kern w:val="0"/>
          <w:sz w:val="24"/>
          <w:szCs w:val="24"/>
        </w:rPr>
        <w:t>——气体的绝热指数（热容比），即定压热容</w:t>
      </w:r>
      <w:r w:rsidRPr="00677D1F">
        <w:rPr>
          <w:rFonts w:asciiTheme="minorEastAsia" w:hAnsiTheme="minorEastAsia" w:cs="宋体"/>
          <w:color w:val="000000"/>
          <w:kern w:val="0"/>
          <w:sz w:val="24"/>
          <w:szCs w:val="24"/>
        </w:rPr>
        <w:t>Cp</w:t>
      </w:r>
      <w:r w:rsidRPr="00677D1F">
        <w:rPr>
          <w:rFonts w:asciiTheme="minorEastAsia" w:hAnsiTheme="minorEastAsia" w:cs="宋体" w:hint="eastAsia"/>
          <w:color w:val="000000"/>
          <w:kern w:val="0"/>
          <w:sz w:val="24"/>
          <w:szCs w:val="24"/>
        </w:rPr>
        <w:t>与定容热容</w:t>
      </w:r>
      <w:r w:rsidRPr="00677D1F">
        <w:rPr>
          <w:rFonts w:asciiTheme="minorEastAsia" w:hAnsiTheme="minorEastAsia" w:cs="宋体"/>
          <w:color w:val="000000"/>
          <w:kern w:val="0"/>
          <w:sz w:val="24"/>
          <w:szCs w:val="24"/>
        </w:rPr>
        <w:t>CV</w:t>
      </w:r>
      <w:r w:rsidRPr="00677D1F">
        <w:rPr>
          <w:rFonts w:asciiTheme="minorEastAsia" w:hAnsiTheme="minorEastAsia" w:cs="宋体" w:hint="eastAsia"/>
          <w:color w:val="000000"/>
          <w:kern w:val="0"/>
          <w:sz w:val="24"/>
          <w:szCs w:val="24"/>
        </w:rPr>
        <w:t>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）两相流泄漏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假定液相和气相是均匀的，且互相平衡，两相流泄漏计算按下式：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QLG</w:t>
      </w:r>
      <w:r w:rsidRPr="00677D1F">
        <w:rPr>
          <w:rFonts w:asciiTheme="minorEastAsia" w:hAnsiTheme="minorEastAsia" w:cs="宋体" w:hint="eastAsia"/>
          <w:color w:val="000000"/>
          <w:kern w:val="0"/>
          <w:sz w:val="24"/>
          <w:szCs w:val="24"/>
        </w:rPr>
        <w:t>——两相流泄漏速度，</w:t>
      </w:r>
      <w:r w:rsidRPr="00677D1F">
        <w:rPr>
          <w:rFonts w:asciiTheme="minorEastAsia" w:hAnsiTheme="minorEastAsia" w:cs="宋体"/>
          <w:color w:val="000000"/>
          <w:kern w:val="0"/>
          <w:sz w:val="24"/>
          <w:szCs w:val="24"/>
        </w:rPr>
        <w:t>kg/s</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Cd</w:t>
      </w:r>
      <w:r w:rsidRPr="00677D1F">
        <w:rPr>
          <w:rFonts w:asciiTheme="minorEastAsia" w:hAnsiTheme="minorEastAsia" w:cs="宋体" w:hint="eastAsia"/>
          <w:color w:val="000000"/>
          <w:kern w:val="0"/>
          <w:sz w:val="24"/>
          <w:szCs w:val="24"/>
        </w:rPr>
        <w:t>——两相流泄漏系数，可取</w:t>
      </w:r>
      <w:r w:rsidRPr="00677D1F">
        <w:rPr>
          <w:rFonts w:asciiTheme="minorEastAsia" w:hAnsiTheme="minorEastAsia" w:cs="宋体"/>
          <w:color w:val="000000"/>
          <w:kern w:val="0"/>
          <w:sz w:val="24"/>
          <w:szCs w:val="24"/>
        </w:rPr>
        <w:t>0.8</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——裂口面积，</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w:t>
      </w:r>
      <w:r w:rsidRPr="00677D1F">
        <w:rPr>
          <w:rFonts w:asciiTheme="minorEastAsia" w:hAnsiTheme="minorEastAsia" w:cs="宋体" w:hint="eastAsia"/>
          <w:color w:val="000000"/>
          <w:kern w:val="0"/>
          <w:sz w:val="24"/>
          <w:szCs w:val="24"/>
        </w:rPr>
        <w:t>——操作压力或容器压力，</w:t>
      </w:r>
      <w:r w:rsidRPr="00677D1F">
        <w:rPr>
          <w:rFonts w:asciiTheme="minorEastAsia" w:hAnsiTheme="minorEastAsia" w:cs="宋体"/>
          <w:color w:val="000000"/>
          <w:kern w:val="0"/>
          <w:sz w:val="24"/>
          <w:szCs w:val="24"/>
        </w:rPr>
        <w:t>Pa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PC</w:t>
      </w:r>
      <w:r w:rsidRPr="00677D1F">
        <w:rPr>
          <w:rFonts w:asciiTheme="minorEastAsia" w:hAnsiTheme="minorEastAsia" w:cs="宋体" w:hint="eastAsia"/>
          <w:color w:val="000000"/>
          <w:kern w:val="0"/>
          <w:sz w:val="24"/>
          <w:szCs w:val="24"/>
        </w:rPr>
        <w:t>——临界压力，</w:t>
      </w:r>
      <w:r w:rsidRPr="00677D1F">
        <w:rPr>
          <w:rFonts w:asciiTheme="minorEastAsia" w:hAnsiTheme="minorEastAsia" w:cs="宋体"/>
          <w:color w:val="000000"/>
          <w:kern w:val="0"/>
          <w:sz w:val="24"/>
          <w:szCs w:val="24"/>
        </w:rPr>
        <w:t>Pa</w:t>
      </w:r>
      <w:r w:rsidRPr="00677D1F">
        <w:rPr>
          <w:rFonts w:asciiTheme="minorEastAsia" w:hAnsiTheme="minorEastAsia" w:cs="宋体" w:hint="eastAsia"/>
          <w:color w:val="000000"/>
          <w:kern w:val="0"/>
          <w:sz w:val="24"/>
          <w:szCs w:val="24"/>
        </w:rPr>
        <w:t>，可取</w:t>
      </w:r>
      <w:r w:rsidRPr="00677D1F">
        <w:rPr>
          <w:rFonts w:asciiTheme="minorEastAsia" w:hAnsiTheme="minorEastAsia" w:cs="宋体"/>
          <w:color w:val="000000"/>
          <w:kern w:val="0"/>
          <w:sz w:val="24"/>
          <w:szCs w:val="24"/>
        </w:rPr>
        <w:t>PC=0.55P</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ρm</w:t>
      </w:r>
      <w:r w:rsidRPr="00677D1F">
        <w:rPr>
          <w:rFonts w:asciiTheme="minorEastAsia" w:hAnsiTheme="minorEastAsia" w:cs="宋体" w:hint="eastAsia"/>
          <w:color w:val="000000"/>
          <w:kern w:val="0"/>
          <w:sz w:val="24"/>
          <w:szCs w:val="24"/>
        </w:rPr>
        <w:t>——两相混合物的平均密度，</w:t>
      </w:r>
      <w:r w:rsidRPr="00677D1F">
        <w:rPr>
          <w:rFonts w:asciiTheme="minorEastAsia" w:hAnsiTheme="minorEastAsia" w:cs="宋体"/>
          <w:color w:val="000000"/>
          <w:kern w:val="0"/>
          <w:sz w:val="24"/>
          <w:szCs w:val="24"/>
        </w:rPr>
        <w:t>kg/m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，由下式计算：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根据上述公式计算出本评价的最大可信事故源项列于表</w:t>
      </w:r>
      <w:r w:rsidRPr="00677D1F">
        <w:rPr>
          <w:rFonts w:asciiTheme="minorEastAsia" w:hAnsiTheme="minorEastAsia" w:cs="宋体"/>
          <w:color w:val="000000"/>
          <w:kern w:val="0"/>
          <w:sz w:val="24"/>
          <w:szCs w:val="24"/>
        </w:rPr>
        <w:t>8.4-3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表8.4-3最大可信事故源项</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8.5</w:t>
      </w:r>
      <w:r w:rsidRPr="00677D1F">
        <w:rPr>
          <w:rFonts w:ascii="宋体" w:hAnsi="宋体" w:hint="eastAsia"/>
          <w:bCs w:val="0"/>
          <w:kern w:val="2"/>
          <w:sz w:val="30"/>
          <w:szCs w:val="30"/>
        </w:rPr>
        <w:t>事故后果影响及评价</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8.5.1</w:t>
      </w:r>
      <w:r w:rsidRPr="00677D1F">
        <w:rPr>
          <w:rFonts w:ascii="宋体" w:hAnsi="宋体" w:hint="eastAsia"/>
          <w:sz w:val="28"/>
          <w:szCs w:val="28"/>
        </w:rPr>
        <w:t>泄漏毒物气体事故后果分析</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8.5.1.1</w:t>
      </w:r>
      <w:r w:rsidRPr="00677D1F">
        <w:rPr>
          <w:rFonts w:ascii="宋体" w:eastAsia="宋体" w:hAnsi="宋体" w:cs="宋体" w:hint="eastAsia"/>
          <w:b/>
          <w:bCs/>
          <w:color w:val="000000"/>
          <w:kern w:val="0"/>
          <w:sz w:val="24"/>
          <w:szCs w:val="24"/>
        </w:rPr>
        <w:t>预测模式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依据《建设项目环境风险评价技术导则》，在泄漏事故后果评价中采</w:t>
      </w:r>
    </w:p>
    <w:p w:rsidR="00673FE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用多烟团模式，其公式如下：</w:t>
      </w:r>
    </w:p>
    <w:p w:rsidR="00673FEE" w:rsidRPr="00677D1F" w:rsidRDefault="00673FEE" w:rsidP="00677D1F">
      <w:pPr>
        <w:widowControl/>
        <w:spacing w:line="360" w:lineRule="auto"/>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Ci</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x，y，0，t-ti</w:t>
      </w:r>
      <w:r w:rsidRPr="00677D1F">
        <w:rPr>
          <w:rFonts w:asciiTheme="minorEastAsia" w:hAnsiTheme="minorEastAsia" w:cs="宋体" w:hint="eastAsia"/>
          <w:color w:val="000000"/>
          <w:kern w:val="0"/>
          <w:sz w:val="24"/>
          <w:szCs w:val="24"/>
        </w:rPr>
        <w:t>）为第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个烟团</w:t>
      </w:r>
      <w:r w:rsidRPr="00677D1F">
        <w:rPr>
          <w:rFonts w:asciiTheme="minorEastAsia" w:hAnsiTheme="minorEastAsia" w:cs="宋体"/>
          <w:color w:val="000000"/>
          <w:kern w:val="0"/>
          <w:sz w:val="24"/>
          <w:szCs w:val="24"/>
        </w:rPr>
        <w:t>t</w:t>
      </w:r>
      <w:r w:rsidRPr="00677D1F">
        <w:rPr>
          <w:rFonts w:asciiTheme="minorEastAsia" w:hAnsiTheme="minorEastAsia" w:cs="宋体" w:hint="eastAsia"/>
          <w:color w:val="000000"/>
          <w:kern w:val="0"/>
          <w:sz w:val="24"/>
          <w:szCs w:val="24"/>
        </w:rPr>
        <w:t>时刻在（</w:t>
      </w:r>
      <w:r w:rsidRPr="00677D1F">
        <w:rPr>
          <w:rFonts w:asciiTheme="minorEastAsia" w:hAnsiTheme="minorEastAsia" w:cs="宋体"/>
          <w:color w:val="000000"/>
          <w:kern w:val="0"/>
          <w:sz w:val="24"/>
          <w:szCs w:val="24"/>
        </w:rPr>
        <w:t>x，y，0</w:t>
      </w:r>
      <w:r w:rsidRPr="00677D1F">
        <w:rPr>
          <w:rFonts w:asciiTheme="minorEastAsia" w:hAnsiTheme="minorEastAsia" w:cs="宋体" w:hint="eastAsia"/>
          <w:color w:val="000000"/>
          <w:kern w:val="0"/>
          <w:sz w:val="24"/>
          <w:szCs w:val="24"/>
        </w:rPr>
        <w:t>）处的浓度，</w:t>
      </w:r>
      <w:r w:rsidRPr="00677D1F">
        <w:rPr>
          <w:rFonts w:asciiTheme="minorEastAsia" w:hAnsiTheme="minorEastAsia" w:cs="宋体"/>
          <w:color w:val="000000"/>
          <w:kern w:val="0"/>
          <w:sz w:val="24"/>
          <w:szCs w:val="24"/>
        </w:rPr>
        <w:t>mg/m3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w:t>
      </w:r>
      <w:r w:rsidRPr="00677D1F">
        <w:rPr>
          <w:rFonts w:asciiTheme="minorEastAsia" w:hAnsiTheme="minorEastAsia" w:cs="宋体" w:hint="eastAsia"/>
          <w:color w:val="000000"/>
          <w:kern w:val="0"/>
          <w:sz w:val="24"/>
          <w:szCs w:val="24"/>
        </w:rPr>
        <w:t>为第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个烟团的排放量，</w:t>
      </w:r>
      <w:r w:rsidRPr="00677D1F">
        <w:rPr>
          <w:rFonts w:asciiTheme="minorEastAsia" w:hAnsiTheme="minorEastAsia" w:cs="宋体"/>
          <w:color w:val="000000"/>
          <w:kern w:val="0"/>
          <w:sz w:val="24"/>
          <w:szCs w:val="24"/>
        </w:rPr>
        <w:t>mg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u</w:t>
      </w:r>
      <w:r w:rsidRPr="00677D1F">
        <w:rPr>
          <w:rFonts w:asciiTheme="minorEastAsia" w:hAnsiTheme="minorEastAsia" w:cs="宋体" w:hint="eastAsia"/>
          <w:color w:val="000000"/>
          <w:kern w:val="0"/>
          <w:sz w:val="24"/>
          <w:szCs w:val="24"/>
        </w:rPr>
        <w:t>为风速，</w:t>
      </w:r>
      <w:r w:rsidRPr="00677D1F">
        <w:rPr>
          <w:rFonts w:asciiTheme="minorEastAsia" w:hAnsiTheme="minorEastAsia" w:cs="宋体"/>
          <w:color w:val="000000"/>
          <w:kern w:val="0"/>
          <w:sz w:val="24"/>
          <w:szCs w:val="24"/>
        </w:rPr>
        <w:t>m/s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ti</w:t>
      </w:r>
      <w:r w:rsidRPr="00677D1F">
        <w:rPr>
          <w:rFonts w:asciiTheme="minorEastAsia" w:hAnsiTheme="minorEastAsia" w:cs="宋体" w:hint="eastAsia"/>
          <w:color w:val="000000"/>
          <w:kern w:val="0"/>
          <w:sz w:val="24"/>
          <w:szCs w:val="24"/>
        </w:rPr>
        <w:t>为第</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个烟团的释放时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刻；</w:t>
      </w:r>
      <w:r w:rsidRPr="00677D1F">
        <w:rPr>
          <w:rFonts w:asciiTheme="minorEastAsia" w:hAnsiTheme="minorEastAsia" w:cs="宋体"/>
          <w:color w:val="000000"/>
          <w:kern w:val="0"/>
          <w:sz w:val="24"/>
          <w:szCs w:val="24"/>
        </w:rPr>
        <w:t>He</w:t>
      </w:r>
      <w:r w:rsidRPr="00677D1F">
        <w:rPr>
          <w:rFonts w:asciiTheme="minorEastAsia" w:hAnsiTheme="minorEastAsia" w:cs="宋体" w:hint="eastAsia"/>
          <w:color w:val="000000"/>
          <w:kern w:val="0"/>
          <w:sz w:val="24"/>
          <w:szCs w:val="24"/>
        </w:rPr>
        <w:t>为有效源高，</w:t>
      </w: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σx</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σy</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σz</w:t>
      </w:r>
      <w:r w:rsidRPr="00677D1F">
        <w:rPr>
          <w:rFonts w:asciiTheme="minorEastAsia" w:hAnsiTheme="minorEastAsia" w:cs="宋体" w:hint="eastAsia"/>
          <w:color w:val="000000"/>
          <w:kern w:val="0"/>
          <w:sz w:val="24"/>
          <w:szCs w:val="24"/>
        </w:rPr>
        <w:t>分别为</w:t>
      </w:r>
      <w:r w:rsidRPr="00677D1F">
        <w:rPr>
          <w:rFonts w:asciiTheme="minorEastAsia" w:hAnsiTheme="minorEastAsia" w:cs="宋体"/>
          <w:color w:val="000000"/>
          <w:kern w:val="0"/>
          <w:sz w:val="24"/>
          <w:szCs w:val="24"/>
        </w:rPr>
        <w:t>x</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y</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z</w:t>
      </w:r>
      <w:r w:rsidRPr="00677D1F">
        <w:rPr>
          <w:rFonts w:asciiTheme="minorEastAsia" w:hAnsiTheme="minorEastAsia" w:cs="宋体" w:hint="eastAsia"/>
          <w:color w:val="000000"/>
          <w:kern w:val="0"/>
          <w:sz w:val="24"/>
          <w:szCs w:val="24"/>
        </w:rPr>
        <w:t>方向的扩散参数，是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t-ti</w:t>
      </w:r>
      <w:r w:rsidRPr="00677D1F">
        <w:rPr>
          <w:rFonts w:asciiTheme="minorEastAsia" w:hAnsiTheme="minorEastAsia" w:cs="宋体" w:hint="eastAsia"/>
          <w:color w:val="000000"/>
          <w:kern w:val="0"/>
          <w:sz w:val="24"/>
          <w:szCs w:val="24"/>
        </w:rPr>
        <w:t>的函数，</w:t>
      </w: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w:t>
      </w:r>
      <w:r w:rsidRPr="00677D1F">
        <w:rPr>
          <w:rFonts w:asciiTheme="minorEastAsia" w:hAnsiTheme="minorEastAsia" w:cs="宋体" w:hint="eastAsia"/>
          <w:color w:val="000000"/>
          <w:kern w:val="0"/>
          <w:sz w:val="24"/>
          <w:szCs w:val="24"/>
        </w:rPr>
        <w:t>为烟团个数，这里假设每</w:t>
      </w:r>
      <w:r w:rsidRPr="00677D1F">
        <w:rPr>
          <w:rFonts w:asciiTheme="minorEastAsia" w:hAnsiTheme="minorEastAsia" w:cs="宋体"/>
          <w:color w:val="000000"/>
          <w:kern w:val="0"/>
          <w:sz w:val="24"/>
          <w:szCs w:val="24"/>
        </w:rPr>
        <w:t>30s</w:t>
      </w:r>
      <w:r w:rsidRPr="00677D1F">
        <w:rPr>
          <w:rFonts w:asciiTheme="minorEastAsia" w:hAnsiTheme="minorEastAsia" w:cs="宋体" w:hint="eastAsia"/>
          <w:color w:val="000000"/>
          <w:kern w:val="0"/>
          <w:sz w:val="24"/>
          <w:szCs w:val="24"/>
        </w:rPr>
        <w:t>释放一个烟团。</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8.5.1.2</w:t>
      </w:r>
      <w:r w:rsidRPr="00677D1F">
        <w:rPr>
          <w:rFonts w:ascii="宋体" w:eastAsia="宋体" w:hAnsi="宋体" w:cs="宋体" w:hint="eastAsia"/>
          <w:b/>
          <w:bCs/>
          <w:color w:val="000000"/>
          <w:kern w:val="0"/>
          <w:sz w:val="24"/>
          <w:szCs w:val="24"/>
        </w:rPr>
        <w:t>预测结果及评价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）管道氯气泄漏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本项目有毒物泄漏事故主要为氯气泄漏，在多年平均风速</w:t>
      </w:r>
      <w:r w:rsidRPr="00677D1F">
        <w:rPr>
          <w:rFonts w:asciiTheme="minorEastAsia" w:hAnsiTheme="minorEastAsia" w:cs="宋体"/>
          <w:color w:val="000000"/>
          <w:kern w:val="0"/>
          <w:sz w:val="24"/>
          <w:szCs w:val="24"/>
        </w:rPr>
        <w:t>1.41m/s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稳定度的气象条件下，预测的下风向落地浓度见表</w:t>
      </w:r>
      <w:r w:rsidRPr="00677D1F">
        <w:rPr>
          <w:rFonts w:asciiTheme="minorEastAsia" w:hAnsiTheme="minorEastAsia" w:cs="宋体"/>
          <w:color w:val="000000"/>
          <w:kern w:val="0"/>
          <w:sz w:val="24"/>
          <w:szCs w:val="24"/>
        </w:rPr>
        <w:t>8.5-1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表8.5-1（1）氯气泄漏事故后下风向轴线最大落地浓度（mg/m</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8.5-1</w:t>
      </w:r>
      <w:r w:rsidRPr="00677D1F">
        <w:rPr>
          <w:rFonts w:asciiTheme="minorEastAsia" w:hAnsiTheme="minorEastAsia" w:cs="宋体" w:hint="eastAsia"/>
          <w:color w:val="000000"/>
          <w:kern w:val="0"/>
          <w:sz w:val="24"/>
          <w:szCs w:val="24"/>
        </w:rPr>
        <w:t>预测结果可见，在</w:t>
      </w: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稳定度条件下，氯气泄漏事故</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氯的最大落地浓度及其出现距离分别为（</w:t>
      </w:r>
      <w:r w:rsidRPr="00677D1F">
        <w:rPr>
          <w:rFonts w:asciiTheme="minorEastAsia" w:hAnsiTheme="minorEastAsia" w:cs="宋体"/>
          <w:color w:val="000000"/>
          <w:kern w:val="0"/>
          <w:sz w:val="24"/>
          <w:szCs w:val="24"/>
        </w:rPr>
        <w:t>2630mg/m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25m</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1620mg/m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04m</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741mg/m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265m</w:t>
      </w:r>
      <w:r w:rsidRPr="00677D1F">
        <w:rPr>
          <w:rFonts w:asciiTheme="minorEastAsia" w:hAnsiTheme="minorEastAsia" w:cs="宋体" w:hint="eastAsia"/>
          <w:color w:val="000000"/>
          <w:kern w:val="0"/>
          <w:sz w:val="24"/>
          <w:szCs w:val="24"/>
        </w:rPr>
        <w:t>），均在厂区内，对外环境影响较小。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）液氯钢瓶爆裂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液氯钢瓶因超压爆裂，短时间内液氯全部泄漏挥发所危害的范围进行模拟预测，根据氯气在空气中的浓度与人体吸入时间危害程度对照表，计算出有毒空气体积：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V=Vg×100/0.5=2000Vg</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有毒气体危险浓度见表</w:t>
      </w:r>
      <w:r w:rsidRPr="00677D1F">
        <w:rPr>
          <w:rFonts w:asciiTheme="minorEastAsia" w:hAnsiTheme="minorEastAsia" w:cs="宋体"/>
          <w:color w:val="000000"/>
          <w:kern w:val="0"/>
          <w:sz w:val="24"/>
          <w:szCs w:val="24"/>
        </w:rPr>
        <w:t>8.5-2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表8.5-2有毒气体危险浓度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假设这些有毒空气以半球形向地面扩散，则该有毒气体扩散半径为：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R=（Vg/2.0944C）1/3</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有毒气体半径，</w:t>
      </w:r>
      <w:r w:rsidRPr="00677D1F">
        <w:rPr>
          <w:rFonts w:asciiTheme="minorEastAsia" w:hAnsiTheme="minorEastAsia" w:cs="宋体"/>
          <w:color w:val="000000"/>
          <w:kern w:val="0"/>
          <w:sz w:val="24"/>
          <w:szCs w:val="24"/>
        </w:rPr>
        <w:t>Vg—</w:t>
      </w:r>
      <w:r w:rsidRPr="00677D1F">
        <w:rPr>
          <w:rFonts w:asciiTheme="minorEastAsia" w:hAnsiTheme="minorEastAsia" w:cs="宋体" w:hint="eastAsia"/>
          <w:color w:val="000000"/>
          <w:kern w:val="0"/>
          <w:sz w:val="24"/>
          <w:szCs w:val="24"/>
        </w:rPr>
        <w:t>有毒介质的蒸气体积，</w:t>
      </w: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致死浓度）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计算结果：根据标准状态下</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吨液氯的体积计算得出静风状态时液氯泄漏危害半径见表</w:t>
      </w:r>
      <w:r w:rsidRPr="00677D1F">
        <w:rPr>
          <w:rFonts w:asciiTheme="minorEastAsia" w:hAnsiTheme="minorEastAsia" w:cs="宋体"/>
          <w:color w:val="000000"/>
          <w:kern w:val="0"/>
          <w:sz w:val="24"/>
          <w:szCs w:val="24"/>
        </w:rPr>
        <w:t>8.5-3</w:t>
      </w:r>
      <w:r w:rsidRPr="00677D1F">
        <w:rPr>
          <w:rFonts w:asciiTheme="minorEastAsia" w:hAnsiTheme="minorEastAsia" w:cs="宋体" w:hint="eastAsia"/>
          <w:color w:val="000000"/>
          <w:kern w:val="0"/>
          <w:sz w:val="24"/>
          <w:szCs w:val="24"/>
        </w:rPr>
        <w:t>和图</w:t>
      </w:r>
      <w:r w:rsidRPr="00677D1F">
        <w:rPr>
          <w:rFonts w:asciiTheme="minorEastAsia" w:hAnsiTheme="minorEastAsia" w:cs="宋体"/>
          <w:color w:val="000000"/>
          <w:kern w:val="0"/>
          <w:sz w:val="24"/>
          <w:szCs w:val="24"/>
        </w:rPr>
        <w:t>8.5-1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表8.5-3静风状态时液氯泄漏危害半径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从表</w:t>
      </w:r>
      <w:r w:rsidRPr="00677D1F">
        <w:rPr>
          <w:rFonts w:asciiTheme="minorEastAsia" w:hAnsiTheme="minorEastAsia" w:cs="宋体"/>
          <w:color w:val="000000"/>
          <w:kern w:val="0"/>
          <w:sz w:val="24"/>
          <w:szCs w:val="24"/>
        </w:rPr>
        <w:t>8.5-4</w:t>
      </w:r>
      <w:r w:rsidRPr="00677D1F">
        <w:rPr>
          <w:rFonts w:asciiTheme="minorEastAsia" w:hAnsiTheme="minorEastAsia" w:cs="宋体" w:hint="eastAsia"/>
          <w:color w:val="000000"/>
          <w:kern w:val="0"/>
          <w:sz w:val="24"/>
          <w:szCs w:val="24"/>
        </w:rPr>
        <w:t>可知，当液氯钢瓶因腐蚀穿孔或破损泄漏，短时间内泄漏</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吨液氯时，在静风状态下，其影响范围如下：吸入氯气浓度</w:t>
      </w:r>
      <w:r w:rsidRPr="00677D1F">
        <w:rPr>
          <w:rFonts w:asciiTheme="minorEastAsia" w:hAnsiTheme="minorEastAsia" w:cs="宋体"/>
          <w:color w:val="000000"/>
          <w:kern w:val="0"/>
          <w:sz w:val="24"/>
          <w:szCs w:val="24"/>
        </w:rPr>
        <w:t>0.09</w:t>
      </w:r>
      <w:r w:rsidRPr="00677D1F">
        <w:rPr>
          <w:rFonts w:asciiTheme="minorEastAsia" w:hAnsiTheme="minorEastAsia" w:cs="宋体" w:hint="eastAsia"/>
          <w:color w:val="000000"/>
          <w:kern w:val="0"/>
          <w:sz w:val="24"/>
          <w:szCs w:val="24"/>
        </w:rPr>
        <w:t>％，时间</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10min</w:t>
      </w:r>
      <w:r w:rsidRPr="00677D1F">
        <w:rPr>
          <w:rFonts w:asciiTheme="minorEastAsia" w:hAnsiTheme="minorEastAsia" w:cs="宋体" w:hint="eastAsia"/>
          <w:color w:val="000000"/>
          <w:kern w:val="0"/>
          <w:sz w:val="24"/>
          <w:szCs w:val="24"/>
        </w:rPr>
        <w:t>时可致人员死亡的液氯泄漏半径为</w:t>
      </w:r>
      <w:r w:rsidRPr="00677D1F">
        <w:rPr>
          <w:rFonts w:asciiTheme="minorEastAsia" w:hAnsiTheme="minorEastAsia" w:cs="宋体"/>
          <w:color w:val="000000"/>
          <w:kern w:val="0"/>
          <w:sz w:val="24"/>
          <w:szCs w:val="24"/>
        </w:rPr>
        <w:t>11.87</w:t>
      </w:r>
      <w:r w:rsidRPr="00677D1F">
        <w:rPr>
          <w:rFonts w:asciiTheme="minorEastAsia" w:hAnsiTheme="minorEastAsia" w:cs="宋体" w:hint="eastAsia"/>
          <w:color w:val="000000"/>
          <w:kern w:val="0"/>
          <w:sz w:val="24"/>
          <w:szCs w:val="24"/>
        </w:rPr>
        <w:t>米；吸入氯气浓度</w:t>
      </w:r>
      <w:r w:rsidRPr="00677D1F">
        <w:rPr>
          <w:rFonts w:asciiTheme="minorEastAsia" w:hAnsiTheme="minorEastAsia" w:cs="宋体"/>
          <w:color w:val="000000"/>
          <w:kern w:val="0"/>
          <w:sz w:val="24"/>
          <w:szCs w:val="24"/>
        </w:rPr>
        <w:t>0.0035</w:t>
      </w:r>
      <w:r w:rsidRPr="00677D1F">
        <w:rPr>
          <w:rFonts w:asciiTheme="minorEastAsia" w:hAnsiTheme="minorEastAsia" w:cs="宋体" w:hint="eastAsia"/>
          <w:color w:val="000000"/>
          <w:kern w:val="0"/>
          <w:sz w:val="24"/>
          <w:szCs w:val="24"/>
        </w:rPr>
        <w:t>％，时间</w:t>
      </w:r>
      <w:r w:rsidRPr="00677D1F">
        <w:rPr>
          <w:rFonts w:asciiTheme="minorEastAsia" w:hAnsiTheme="minorEastAsia" w:cs="宋体"/>
          <w:color w:val="000000"/>
          <w:kern w:val="0"/>
          <w:sz w:val="24"/>
          <w:szCs w:val="24"/>
        </w:rPr>
        <w:t>0.5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1h</w:t>
      </w:r>
      <w:r w:rsidRPr="00677D1F">
        <w:rPr>
          <w:rFonts w:asciiTheme="minorEastAsia" w:hAnsiTheme="minorEastAsia" w:cs="宋体" w:hint="eastAsia"/>
          <w:color w:val="000000"/>
          <w:kern w:val="0"/>
          <w:sz w:val="24"/>
          <w:szCs w:val="24"/>
        </w:rPr>
        <w:t>时可致人员死亡的液氯泄漏半径为</w:t>
      </w:r>
      <w:r w:rsidRPr="00677D1F">
        <w:rPr>
          <w:rFonts w:asciiTheme="minorEastAsia" w:hAnsiTheme="minorEastAsia" w:cs="宋体"/>
          <w:color w:val="000000"/>
          <w:kern w:val="0"/>
          <w:sz w:val="24"/>
          <w:szCs w:val="24"/>
        </w:rPr>
        <w:t>35.04</w:t>
      </w:r>
      <w:r w:rsidRPr="00677D1F">
        <w:rPr>
          <w:rFonts w:asciiTheme="minorEastAsia" w:hAnsiTheme="minorEastAsia" w:cs="宋体" w:hint="eastAsia"/>
          <w:color w:val="000000"/>
          <w:kern w:val="0"/>
          <w:sz w:val="24"/>
          <w:szCs w:val="24"/>
        </w:rPr>
        <w:t>米；吸入氯气浓度</w:t>
      </w:r>
      <w:r w:rsidRPr="00677D1F">
        <w:rPr>
          <w:rFonts w:asciiTheme="minorEastAsia" w:hAnsiTheme="minorEastAsia" w:cs="宋体"/>
          <w:color w:val="000000"/>
          <w:kern w:val="0"/>
          <w:sz w:val="24"/>
          <w:szCs w:val="24"/>
        </w:rPr>
        <w:t>0.0014</w:t>
      </w:r>
      <w:r w:rsidRPr="00677D1F">
        <w:rPr>
          <w:rFonts w:asciiTheme="minorEastAsia" w:hAnsiTheme="minorEastAsia" w:cs="宋体" w:hint="eastAsia"/>
          <w:color w:val="000000"/>
          <w:kern w:val="0"/>
          <w:sz w:val="24"/>
          <w:szCs w:val="24"/>
        </w:rPr>
        <w:t>％，时间</w:t>
      </w:r>
      <w:r w:rsidRPr="00677D1F">
        <w:rPr>
          <w:rFonts w:asciiTheme="minorEastAsia" w:hAnsiTheme="minorEastAsia" w:cs="宋体"/>
          <w:color w:val="000000"/>
          <w:kern w:val="0"/>
          <w:sz w:val="24"/>
          <w:szCs w:val="24"/>
        </w:rPr>
        <w:t>0.5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1h</w:t>
      </w:r>
      <w:r w:rsidRPr="00677D1F">
        <w:rPr>
          <w:rFonts w:asciiTheme="minorEastAsia" w:hAnsiTheme="minorEastAsia" w:cs="宋体" w:hint="eastAsia"/>
          <w:color w:val="000000"/>
          <w:kern w:val="0"/>
          <w:sz w:val="24"/>
          <w:szCs w:val="24"/>
        </w:rPr>
        <w:t>时可致人员致病的液氯泄漏半径为</w:t>
      </w:r>
      <w:r w:rsidRPr="00677D1F">
        <w:rPr>
          <w:rFonts w:asciiTheme="minorEastAsia" w:hAnsiTheme="minorEastAsia" w:cs="宋体"/>
          <w:color w:val="000000"/>
          <w:kern w:val="0"/>
          <w:sz w:val="24"/>
          <w:szCs w:val="24"/>
        </w:rPr>
        <w:t>47.56</w:t>
      </w:r>
      <w:r w:rsidRPr="00677D1F">
        <w:rPr>
          <w:rFonts w:asciiTheme="minorEastAsia" w:hAnsiTheme="minorEastAsia" w:cs="宋体" w:hint="eastAsia"/>
          <w:color w:val="000000"/>
          <w:kern w:val="0"/>
          <w:sz w:val="24"/>
          <w:szCs w:val="24"/>
        </w:rPr>
        <w:t>米。假如在刮风的状态下，危害区域还要向下风方向移动。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静风状态时液氯泄漏危害半径见图</w:t>
      </w:r>
      <w:r w:rsidRPr="00677D1F">
        <w:rPr>
          <w:rFonts w:asciiTheme="minorEastAsia" w:hAnsiTheme="minorEastAsia" w:cs="宋体"/>
          <w:color w:val="000000"/>
          <w:kern w:val="0"/>
          <w:sz w:val="24"/>
          <w:szCs w:val="24"/>
        </w:rPr>
        <w:t>8.5-1</w:t>
      </w:r>
      <w:r w:rsidRPr="00677D1F">
        <w:rPr>
          <w:rFonts w:asciiTheme="minorEastAsia" w:hAnsiTheme="minorEastAsia"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8.5-1</w:t>
      </w:r>
      <w:r w:rsidRPr="00677D1F">
        <w:rPr>
          <w:rFonts w:ascii="黑体" w:eastAsia="黑体" w:hAnsi="黑体" w:cs="宋体" w:hint="eastAsia"/>
          <w:b/>
          <w:color w:val="000000"/>
          <w:kern w:val="0"/>
          <w:szCs w:val="21"/>
        </w:rPr>
        <w:t>静风状态时液氯泄漏危害半径示意图</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8.5.2</w:t>
      </w:r>
      <w:r w:rsidRPr="00677D1F">
        <w:rPr>
          <w:rFonts w:ascii="宋体" w:hAnsi="宋体" w:hint="eastAsia"/>
          <w:sz w:val="28"/>
          <w:szCs w:val="28"/>
        </w:rPr>
        <w:t>有毒液体泄漏事故后果分析</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8.5.2.1</w:t>
      </w:r>
      <w:r w:rsidRPr="00677D1F">
        <w:rPr>
          <w:rFonts w:ascii="宋体" w:eastAsia="宋体" w:hAnsi="宋体" w:cs="宋体" w:hint="eastAsia"/>
          <w:b/>
          <w:bCs/>
          <w:color w:val="000000"/>
          <w:kern w:val="0"/>
          <w:sz w:val="24"/>
          <w:szCs w:val="24"/>
        </w:rPr>
        <w:t>预测模式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w:t>
      </w:r>
      <w:r w:rsidRPr="00677D1F">
        <w:rPr>
          <w:rFonts w:asciiTheme="minorEastAsia" w:hAnsiTheme="minorEastAsia" w:cs="宋体"/>
          <w:color w:val="000000"/>
          <w:kern w:val="0"/>
          <w:sz w:val="24"/>
          <w:szCs w:val="24"/>
        </w:rPr>
        <w:t>CALPUFF</w:t>
      </w:r>
      <w:r w:rsidRPr="00677D1F">
        <w:rPr>
          <w:rFonts w:asciiTheme="minorEastAsia" w:hAnsiTheme="minorEastAsia" w:cs="宋体" w:hint="eastAsia"/>
          <w:color w:val="000000"/>
          <w:kern w:val="0"/>
          <w:sz w:val="24"/>
          <w:szCs w:val="24"/>
        </w:rPr>
        <w:t>模式。</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8.5.2.2</w:t>
      </w:r>
      <w:r w:rsidRPr="00677D1F">
        <w:rPr>
          <w:rFonts w:ascii="宋体" w:eastAsia="宋体" w:hAnsi="宋体" w:cs="宋体" w:hint="eastAsia"/>
          <w:b/>
          <w:bCs/>
          <w:color w:val="000000"/>
          <w:kern w:val="0"/>
          <w:sz w:val="24"/>
          <w:szCs w:val="24"/>
        </w:rPr>
        <w:t>预测结果及评价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TiCl</w:t>
      </w:r>
      <w:r w:rsidRPr="00677D1F">
        <w:rPr>
          <w:rFonts w:asciiTheme="minorEastAsia" w:hAnsiTheme="minorEastAsia" w:cs="宋体"/>
          <w:color w:val="000000"/>
          <w:kern w:val="0"/>
          <w:sz w:val="24"/>
          <w:szCs w:val="24"/>
          <w:vertAlign w:val="subscript"/>
        </w:rPr>
        <w:t>4</w:t>
      </w:r>
      <w:r w:rsidRPr="00677D1F">
        <w:rPr>
          <w:rFonts w:asciiTheme="minorEastAsia" w:hAnsiTheme="minorEastAsia" w:cs="宋体" w:hint="eastAsia"/>
          <w:color w:val="000000"/>
          <w:kern w:val="0"/>
          <w:sz w:val="24"/>
          <w:szCs w:val="24"/>
        </w:rPr>
        <w:t>泄漏后</w:t>
      </w:r>
      <w:r w:rsidRPr="00677D1F">
        <w:rPr>
          <w:rFonts w:asciiTheme="minorEastAsia" w:hAnsiTheme="minorEastAsia" w:cs="宋体"/>
          <w:color w:val="000000"/>
          <w:kern w:val="0"/>
          <w:sz w:val="24"/>
          <w:szCs w:val="24"/>
        </w:rPr>
        <w:t>80%</w:t>
      </w:r>
      <w:r w:rsidRPr="00677D1F">
        <w:rPr>
          <w:rFonts w:asciiTheme="minorEastAsia" w:hAnsiTheme="minorEastAsia" w:cs="宋体" w:hint="eastAsia"/>
          <w:color w:val="000000"/>
          <w:kern w:val="0"/>
          <w:sz w:val="24"/>
          <w:szCs w:val="24"/>
        </w:rPr>
        <w:t>转化为</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气体，则</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泄漏速率为</w:t>
      </w:r>
      <w:r w:rsidRPr="00677D1F">
        <w:rPr>
          <w:rFonts w:asciiTheme="minorEastAsia" w:hAnsiTheme="minorEastAsia" w:cs="宋体"/>
          <w:color w:val="000000"/>
          <w:kern w:val="0"/>
          <w:sz w:val="24"/>
          <w:szCs w:val="24"/>
        </w:rPr>
        <w:t>1.192kg/s</w:t>
      </w:r>
      <w:r w:rsidRPr="00677D1F">
        <w:rPr>
          <w:rFonts w:asciiTheme="minorEastAsia" w:hAnsiTheme="minorEastAsia" w:cs="宋体" w:hint="eastAsia"/>
          <w:color w:val="000000"/>
          <w:kern w:val="0"/>
          <w:sz w:val="24"/>
          <w:szCs w:val="24"/>
        </w:rPr>
        <w:t>，则</w:t>
      </w:r>
      <w:r w:rsidRPr="00677D1F">
        <w:rPr>
          <w:rFonts w:asciiTheme="minorEastAsia" w:hAnsiTheme="minorEastAsia" w:cs="宋体"/>
          <w:color w:val="000000"/>
          <w:kern w:val="0"/>
          <w:sz w:val="24"/>
          <w:szCs w:val="24"/>
        </w:rPr>
        <w:t>10min</w:t>
      </w:r>
      <w:r w:rsidRPr="00677D1F">
        <w:rPr>
          <w:rFonts w:asciiTheme="minorEastAsia" w:hAnsiTheme="minorEastAsia" w:cs="宋体" w:hint="eastAsia"/>
          <w:color w:val="000000"/>
          <w:kern w:val="0"/>
          <w:sz w:val="24"/>
          <w:szCs w:val="24"/>
        </w:rPr>
        <w:t>内</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泄漏量为</w:t>
      </w:r>
      <w:r w:rsidRPr="00677D1F">
        <w:rPr>
          <w:rFonts w:asciiTheme="minorEastAsia" w:hAnsiTheme="minorEastAsia" w:cs="宋体"/>
          <w:color w:val="000000"/>
          <w:kern w:val="0"/>
          <w:sz w:val="24"/>
          <w:szCs w:val="24"/>
        </w:rPr>
        <w:t>0.7152t</w:t>
      </w:r>
      <w:r w:rsidRPr="00677D1F">
        <w:rPr>
          <w:rFonts w:asciiTheme="minorEastAsia" w:hAnsiTheme="minorEastAsia" w:cs="宋体" w:hint="eastAsia"/>
          <w:color w:val="000000"/>
          <w:kern w:val="0"/>
          <w:sz w:val="24"/>
          <w:szCs w:val="24"/>
        </w:rPr>
        <w:t>。在多年平均风速</w:t>
      </w:r>
      <w:r w:rsidRPr="00677D1F">
        <w:rPr>
          <w:rFonts w:asciiTheme="minorEastAsia" w:hAnsiTheme="minorEastAsia" w:cs="宋体"/>
          <w:color w:val="000000"/>
          <w:kern w:val="0"/>
          <w:sz w:val="24"/>
          <w:szCs w:val="24"/>
        </w:rPr>
        <w:t>1.41m/s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稳定度的气象条件下，预测的下风向落地浓度见表</w:t>
      </w:r>
      <w:r w:rsidRPr="00677D1F">
        <w:rPr>
          <w:rFonts w:asciiTheme="minorEastAsia" w:hAnsiTheme="minorEastAsia" w:cs="宋体"/>
          <w:color w:val="000000"/>
          <w:kern w:val="0"/>
          <w:sz w:val="24"/>
          <w:szCs w:val="24"/>
        </w:rPr>
        <w:t>8.5-4</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表8.5-4TiCl4泄漏后HCl扩散时间及最大落地浓度表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由表</w:t>
      </w:r>
      <w:r w:rsidRPr="00677D1F">
        <w:rPr>
          <w:rFonts w:asciiTheme="minorEastAsia" w:hAnsiTheme="minorEastAsia" w:cs="宋体"/>
          <w:color w:val="000000"/>
          <w:kern w:val="0"/>
          <w:sz w:val="24"/>
          <w:szCs w:val="24"/>
        </w:rPr>
        <w:t>8.5-4</w:t>
      </w:r>
      <w:r w:rsidRPr="00677D1F">
        <w:rPr>
          <w:rFonts w:asciiTheme="minorEastAsia" w:hAnsiTheme="minorEastAsia" w:cs="宋体" w:hint="eastAsia"/>
          <w:color w:val="000000"/>
          <w:kern w:val="0"/>
          <w:sz w:val="24"/>
          <w:szCs w:val="24"/>
        </w:rPr>
        <w:t>预测结果可知：在</w:t>
      </w: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类稳定度下，四氯化钛泄漏事故对周围环境的影响最大，但没有出现危险浓度</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的危险浓度</w:t>
      </w:r>
      <w:r w:rsidRPr="00677D1F">
        <w:rPr>
          <w:rFonts w:asciiTheme="minorEastAsia" w:hAnsiTheme="minorEastAsia" w:cs="宋体"/>
          <w:color w:val="000000"/>
          <w:kern w:val="0"/>
          <w:sz w:val="24"/>
          <w:szCs w:val="24"/>
        </w:rPr>
        <w:t>（IDLH）</w:t>
      </w:r>
      <w:r w:rsidRPr="00677D1F">
        <w:rPr>
          <w:rFonts w:asciiTheme="minorEastAsia" w:hAnsiTheme="minorEastAsia" w:cs="宋体" w:hint="eastAsia"/>
          <w:color w:val="000000"/>
          <w:kern w:val="0"/>
          <w:sz w:val="24"/>
          <w:szCs w:val="24"/>
        </w:rPr>
        <w:t>为</w:t>
      </w:r>
      <w:r w:rsidRPr="00677D1F">
        <w:rPr>
          <w:rFonts w:asciiTheme="minorEastAsia" w:hAnsiTheme="minorEastAsia" w:cs="宋体"/>
          <w:color w:val="000000"/>
          <w:kern w:val="0"/>
          <w:sz w:val="24"/>
          <w:szCs w:val="24"/>
        </w:rPr>
        <w:t>75mg/m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、半致死浓度为</w:t>
      </w:r>
      <w:r w:rsidRPr="00677D1F">
        <w:rPr>
          <w:rFonts w:asciiTheme="minorEastAsia" w:hAnsiTheme="minorEastAsia" w:cs="宋体"/>
          <w:color w:val="000000"/>
          <w:kern w:val="0"/>
          <w:sz w:val="24"/>
          <w:szCs w:val="24"/>
        </w:rPr>
        <w:t>4600mg/m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，因此对相距最近的居民集中区影响轻微。</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8.5.3</w:t>
      </w:r>
      <w:r w:rsidRPr="00677D1F">
        <w:rPr>
          <w:rFonts w:ascii="宋体" w:hAnsi="宋体" w:hint="eastAsia"/>
          <w:sz w:val="28"/>
          <w:szCs w:val="28"/>
        </w:rPr>
        <w:t>爆炸事故影响预测及评价</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8.5.3.1</w:t>
      </w:r>
      <w:r w:rsidRPr="00677D1F">
        <w:rPr>
          <w:rFonts w:ascii="宋体" w:eastAsia="宋体" w:hAnsi="宋体" w:cs="宋体" w:hint="eastAsia"/>
          <w:b/>
          <w:bCs/>
          <w:color w:val="000000"/>
          <w:kern w:val="0"/>
          <w:sz w:val="24"/>
          <w:szCs w:val="24"/>
        </w:rPr>
        <w:t>预测模式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燃烧热计算公式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当压力容器泄漏可燃气体与氧化剂发生剧烈的化学反应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导致化学性爆炸时的破坏力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可按下式进行计算（气体体积均要折算为标态下）：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L0=V</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L0</w:t>
      </w:r>
      <w:r w:rsidRPr="00677D1F">
        <w:rPr>
          <w:rFonts w:asciiTheme="minorEastAsia" w:hAnsiTheme="minorEastAsia" w:cs="宋体" w:hint="eastAsia"/>
          <w:color w:val="000000"/>
          <w:kern w:val="0"/>
          <w:sz w:val="24"/>
          <w:szCs w:val="24"/>
        </w:rPr>
        <w:t>——化学性爆炸时的爆炸能量，</w:t>
      </w:r>
      <w:r w:rsidRPr="00677D1F">
        <w:rPr>
          <w:rFonts w:asciiTheme="minorEastAsia" w:hAnsiTheme="minorEastAsia" w:cs="宋体"/>
          <w:color w:val="000000"/>
          <w:kern w:val="0"/>
          <w:sz w:val="24"/>
          <w:szCs w:val="24"/>
        </w:rPr>
        <w:t>J</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w:t>
      </w:r>
      <w:r w:rsidRPr="00677D1F">
        <w:rPr>
          <w:rFonts w:asciiTheme="minorEastAsia" w:hAnsiTheme="minorEastAsia" w:cs="宋体" w:hint="eastAsia"/>
          <w:color w:val="000000"/>
          <w:kern w:val="0"/>
          <w:sz w:val="24"/>
          <w:szCs w:val="24"/>
        </w:rPr>
        <w:t>——参与反应的可燃气体的体积，</w:t>
      </w:r>
      <w:r w:rsidRPr="00677D1F">
        <w:rPr>
          <w:rFonts w:asciiTheme="minorEastAsia" w:hAnsiTheme="minorEastAsia" w:cs="宋体"/>
          <w:color w:val="000000"/>
          <w:kern w:val="0"/>
          <w:sz w:val="24"/>
          <w:szCs w:val="24"/>
        </w:rPr>
        <w:t>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——可燃气体的高燃烧值，</w:t>
      </w:r>
      <w:r w:rsidRPr="00677D1F">
        <w:rPr>
          <w:rFonts w:asciiTheme="minorEastAsia" w:hAnsiTheme="minorEastAsia" w:cs="宋体"/>
          <w:color w:val="000000"/>
          <w:kern w:val="0"/>
          <w:sz w:val="24"/>
          <w:szCs w:val="24"/>
        </w:rPr>
        <w:t>J/m3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爆炸损害半径计算公式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根据查阅资料</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爆炸时损害的范围</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）可采用</w:t>
      </w:r>
      <w:r w:rsidRPr="00677D1F">
        <w:rPr>
          <w:rFonts w:asciiTheme="minorEastAsia" w:hAnsiTheme="minorEastAsia" w:cs="宋体"/>
          <w:color w:val="000000"/>
          <w:kern w:val="0"/>
          <w:sz w:val="24"/>
          <w:szCs w:val="24"/>
        </w:rPr>
        <w:t>TNO</w:t>
      </w:r>
      <w:r w:rsidRPr="00677D1F">
        <w:rPr>
          <w:rFonts w:asciiTheme="minorEastAsia" w:hAnsiTheme="minorEastAsia" w:cs="宋体" w:hint="eastAsia"/>
          <w:color w:val="000000"/>
          <w:kern w:val="0"/>
          <w:sz w:val="24"/>
          <w:szCs w:val="24"/>
        </w:rPr>
        <w:t>关系式计算：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[NL0]1/3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）：为影响范围的半径，单位：</w:t>
      </w:r>
      <w:r w:rsidRPr="00677D1F">
        <w:rPr>
          <w:rFonts w:asciiTheme="minorEastAsia" w:hAnsiTheme="minorEastAsia" w:cs="宋体"/>
          <w:color w:val="000000"/>
          <w:kern w:val="0"/>
          <w:sz w:val="24"/>
          <w:szCs w:val="24"/>
        </w:rPr>
        <w:t>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w:t>
      </w:r>
      <w:r w:rsidRPr="00677D1F">
        <w:rPr>
          <w:rFonts w:asciiTheme="minorEastAsia" w:hAnsiTheme="minorEastAsia" w:cs="宋体" w:hint="eastAsia"/>
          <w:color w:val="000000"/>
          <w:kern w:val="0"/>
          <w:sz w:val="24"/>
          <w:szCs w:val="24"/>
        </w:rPr>
        <w:t>）：经验常数，它和损害水平有关（一般损害水平分为</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级</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其取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值依据损害水平从重到轻依次为</w:t>
      </w:r>
      <w:r w:rsidRPr="00677D1F">
        <w:rPr>
          <w:rFonts w:asciiTheme="minorEastAsia" w:hAnsiTheme="minorEastAsia" w:cs="宋体"/>
          <w:color w:val="000000"/>
          <w:kern w:val="0"/>
          <w:sz w:val="24"/>
          <w:szCs w:val="24"/>
        </w:rPr>
        <w:t>0.03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0.06</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0.15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0.4</w:t>
      </w:r>
      <w:r w:rsidRPr="00677D1F">
        <w:rPr>
          <w:rFonts w:asciiTheme="minorEastAsia" w:hAnsiTheme="minorEastAsia" w:cs="宋体" w:hint="eastAsia"/>
          <w:color w:val="000000"/>
          <w:kern w:val="0"/>
          <w:sz w:val="24"/>
          <w:szCs w:val="24"/>
        </w:rPr>
        <w:t>）单位：</w:t>
      </w:r>
      <w:r w:rsidRPr="00677D1F">
        <w:rPr>
          <w:rFonts w:asciiTheme="minorEastAsia" w:hAnsiTheme="minorEastAsia" w:cs="宋体"/>
          <w:color w:val="000000"/>
          <w:kern w:val="0"/>
          <w:sz w:val="24"/>
          <w:szCs w:val="24"/>
        </w:rPr>
        <w:t>mJ-1/3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L0</w:t>
      </w:r>
      <w:r w:rsidRPr="00677D1F">
        <w:rPr>
          <w:rFonts w:asciiTheme="minorEastAsia" w:hAnsiTheme="minorEastAsia" w:cs="宋体" w:hint="eastAsia"/>
          <w:color w:val="000000"/>
          <w:kern w:val="0"/>
          <w:sz w:val="24"/>
          <w:szCs w:val="24"/>
        </w:rPr>
        <w:t>：化学性爆炸时的爆炸能量，单位：</w:t>
      </w:r>
      <w:r w:rsidRPr="00677D1F">
        <w:rPr>
          <w:rFonts w:asciiTheme="minorEastAsia" w:hAnsiTheme="minorEastAsia" w:cs="宋体"/>
          <w:color w:val="000000"/>
          <w:kern w:val="0"/>
          <w:sz w:val="24"/>
          <w:szCs w:val="24"/>
        </w:rPr>
        <w:t>J</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N</w:t>
      </w:r>
      <w:r w:rsidRPr="00677D1F">
        <w:rPr>
          <w:rFonts w:asciiTheme="minorEastAsia" w:hAnsiTheme="minorEastAsia" w:cs="宋体" w:hint="eastAsia"/>
          <w:color w:val="000000"/>
          <w:kern w:val="0"/>
          <w:sz w:val="24"/>
          <w:szCs w:val="24"/>
        </w:rPr>
        <w:t>：效率因子，取</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8.5.3.2</w:t>
      </w:r>
      <w:r w:rsidRPr="00677D1F">
        <w:rPr>
          <w:rFonts w:ascii="宋体" w:eastAsia="宋体" w:hAnsi="宋体" w:cs="宋体" w:hint="eastAsia"/>
          <w:b/>
          <w:bCs/>
          <w:color w:val="000000"/>
          <w:kern w:val="0"/>
          <w:sz w:val="24"/>
          <w:szCs w:val="24"/>
        </w:rPr>
        <w:t>预测结果及评价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天然气调压站爆炸事故</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爆炸事故氢气燃烧热化学方程式（</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2CH</w:t>
      </w:r>
      <w:r w:rsidRPr="00677D1F">
        <w:rPr>
          <w:rFonts w:asciiTheme="minorEastAsia" w:hAnsiTheme="minorEastAsia" w:cs="宋体"/>
          <w:color w:val="000000"/>
          <w:kern w:val="0"/>
          <w:sz w:val="24"/>
          <w:szCs w:val="24"/>
          <w:vertAlign w:val="subscript"/>
        </w:rPr>
        <w:t>4</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=4H</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color w:val="000000"/>
          <w:kern w:val="0"/>
          <w:sz w:val="24"/>
          <w:szCs w:val="24"/>
        </w:rPr>
        <w:t>O+2CO</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氢气贮存爆炸事故</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爆炸事故氢气燃烧热化学方程式（</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H</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+1/2O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color w:val="000000"/>
          <w:kern w:val="0"/>
          <w:sz w:val="24"/>
          <w:szCs w:val="24"/>
        </w:rPr>
        <w:t>O</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根据计算结果，本项目的贮存火灾爆炸事故最大致伤半径为风险源中心，造成的死亡半径为</w:t>
      </w:r>
      <w:r w:rsidRPr="00677D1F">
        <w:rPr>
          <w:rFonts w:asciiTheme="minorEastAsia" w:hAnsiTheme="minorEastAsia" w:cs="宋体"/>
          <w:color w:val="000000"/>
          <w:kern w:val="0"/>
          <w:sz w:val="24"/>
          <w:szCs w:val="24"/>
        </w:rPr>
        <w:t>14.9m</w:t>
      </w:r>
      <w:r w:rsidRPr="00677D1F">
        <w:rPr>
          <w:rFonts w:asciiTheme="minorEastAsia" w:hAnsiTheme="minorEastAsia" w:cs="宋体" w:hint="eastAsia"/>
          <w:color w:val="000000"/>
          <w:kern w:val="0"/>
          <w:sz w:val="24"/>
          <w:szCs w:val="24"/>
        </w:rPr>
        <w:t>，重伤半径为</w:t>
      </w:r>
      <w:r w:rsidRPr="00677D1F">
        <w:rPr>
          <w:rFonts w:asciiTheme="minorEastAsia" w:hAnsiTheme="minorEastAsia" w:cs="宋体"/>
          <w:color w:val="000000"/>
          <w:kern w:val="0"/>
          <w:sz w:val="24"/>
          <w:szCs w:val="24"/>
        </w:rPr>
        <w:t>43m</w:t>
      </w:r>
      <w:r w:rsidRPr="00677D1F">
        <w:rPr>
          <w:rFonts w:asciiTheme="minorEastAsia" w:hAnsiTheme="minorEastAsia" w:cs="宋体" w:hint="eastAsia"/>
          <w:color w:val="000000"/>
          <w:kern w:val="0"/>
          <w:sz w:val="24"/>
          <w:szCs w:val="24"/>
        </w:rPr>
        <w:t>，轻伤半径为</w:t>
      </w:r>
      <w:r w:rsidRPr="00677D1F">
        <w:rPr>
          <w:rFonts w:asciiTheme="minorEastAsia" w:hAnsiTheme="minorEastAsia" w:cs="宋体"/>
          <w:color w:val="000000"/>
          <w:kern w:val="0"/>
          <w:sz w:val="24"/>
          <w:szCs w:val="24"/>
        </w:rPr>
        <w:t>77.1m</w:t>
      </w:r>
      <w:r w:rsidRPr="00677D1F">
        <w:rPr>
          <w:rFonts w:asciiTheme="minorEastAsia" w:hAnsiTheme="minorEastAsia" w:cs="宋体" w:hint="eastAsia"/>
          <w:color w:val="000000"/>
          <w:kern w:val="0"/>
          <w:sz w:val="24"/>
          <w:szCs w:val="24"/>
        </w:rPr>
        <w:t>，财产损失半径为</w:t>
      </w:r>
      <w:r w:rsidRPr="00677D1F">
        <w:rPr>
          <w:rFonts w:asciiTheme="minorEastAsia" w:hAnsiTheme="minorEastAsia" w:cs="宋体"/>
          <w:color w:val="000000"/>
          <w:kern w:val="0"/>
          <w:sz w:val="24"/>
          <w:szCs w:val="24"/>
        </w:rPr>
        <w:t>36.1m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综上所述，本项目发生故障后，氢气和天然气爆炸环境风险后果值较小；火灾风险的影响范围基本在生产区，因此本项目的建设其风险水平是可以接受的。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天然气爆炸烟气污染物影响预测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①火灾爆炸伴生污染物的计算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天然气爆炸后遇明火急剧燃烧所需的供氧量不足，属于典型的不完全燃烧，因此燃烧过程中产生的</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量很大。本次评价计算取天然气中甲烷不完全燃烧率为</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，天然气中甲烷的体质百分比含量</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取</w:t>
      </w:r>
      <w:r w:rsidRPr="00677D1F">
        <w:rPr>
          <w:rFonts w:asciiTheme="minorEastAsia" w:hAnsiTheme="minorEastAsia" w:cs="宋体"/>
          <w:color w:val="000000"/>
          <w:kern w:val="0"/>
          <w:sz w:val="24"/>
          <w:szCs w:val="24"/>
        </w:rPr>
        <w:t>94.67%</w:t>
      </w:r>
      <w:r w:rsidRPr="00677D1F">
        <w:rPr>
          <w:rFonts w:asciiTheme="minorEastAsia" w:hAnsiTheme="minorEastAsia" w:cs="宋体" w:hint="eastAsia"/>
          <w:color w:val="000000"/>
          <w:kern w:val="0"/>
          <w:sz w:val="24"/>
          <w:szCs w:val="24"/>
        </w:rPr>
        <w:t>。天然气泄漏火灾爆炸伴生污染物的计算见表</w:t>
      </w:r>
      <w:r w:rsidRPr="00677D1F">
        <w:rPr>
          <w:rFonts w:asciiTheme="minorEastAsia" w:hAnsiTheme="minorEastAsia" w:cs="宋体"/>
          <w:color w:val="000000"/>
          <w:kern w:val="0"/>
          <w:sz w:val="24"/>
          <w:szCs w:val="24"/>
        </w:rPr>
        <w:t>8.5-7</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8.5-7</w:t>
      </w:r>
      <w:r w:rsidRPr="00677D1F">
        <w:rPr>
          <w:rFonts w:ascii="黑体" w:eastAsia="黑体" w:hAnsi="黑体" w:cs="宋体" w:hint="eastAsia"/>
          <w:b/>
          <w:color w:val="000000"/>
          <w:kern w:val="0"/>
          <w:szCs w:val="21"/>
        </w:rPr>
        <w:t>天然气火灾爆炸伴生污染物计算表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②火灾事故烟气环境影响预测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在此采用高斯模式，在静小风和年平均风速</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类和</w:t>
      </w: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类稳定度气象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条件下对环境影响最严重时段</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预测结果见表</w:t>
      </w:r>
      <w:r w:rsidRPr="00677D1F">
        <w:rPr>
          <w:rFonts w:asciiTheme="minorEastAsia" w:hAnsiTheme="minorEastAsia" w:cs="宋体"/>
          <w:color w:val="000000"/>
          <w:kern w:val="0"/>
          <w:sz w:val="24"/>
          <w:szCs w:val="24"/>
        </w:rPr>
        <w:t>8.5-8</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8.5-8CO</w:t>
      </w:r>
      <w:r w:rsidRPr="00677D1F">
        <w:rPr>
          <w:rFonts w:ascii="黑体" w:eastAsia="黑体" w:hAnsi="黑体" w:cs="宋体" w:hint="eastAsia"/>
          <w:b/>
          <w:color w:val="000000"/>
          <w:kern w:val="0"/>
          <w:szCs w:val="21"/>
        </w:rPr>
        <w:t>预测结果表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当发生爆炸的天然急剧燃烧伴生的</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风险事故发生后，没有出现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半致死效应浓度，不会对厂区附近人群产生不利影响。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8.5.4</w:t>
      </w:r>
      <w:r w:rsidRPr="00677D1F">
        <w:rPr>
          <w:rFonts w:ascii="宋体" w:hAnsi="宋体" w:hint="eastAsia"/>
          <w:sz w:val="28"/>
          <w:szCs w:val="28"/>
        </w:rPr>
        <w:t>风险计算和评价</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8.5.4.1</w:t>
      </w:r>
      <w:r w:rsidRPr="00677D1F">
        <w:rPr>
          <w:rFonts w:ascii="宋体" w:eastAsia="宋体" w:hAnsi="宋体" w:cs="宋体" w:hint="eastAsia"/>
          <w:b/>
          <w:bCs/>
          <w:color w:val="000000"/>
          <w:kern w:val="0"/>
          <w:sz w:val="24"/>
          <w:szCs w:val="24"/>
        </w:rPr>
        <w:t>评价原则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风险值是风险评价表征量，包括事故的发生概率和事故的危害程度。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其中：</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风险值；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P—</w:t>
      </w:r>
      <w:r w:rsidRPr="00677D1F">
        <w:rPr>
          <w:rFonts w:asciiTheme="minorEastAsia" w:hAnsiTheme="minorEastAsia" w:cs="宋体" w:hint="eastAsia"/>
          <w:color w:val="000000"/>
          <w:kern w:val="0"/>
          <w:sz w:val="24"/>
          <w:szCs w:val="24"/>
        </w:rPr>
        <w:t>最大可信事故概率；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最大可信事故造成的危害。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本次风险评价参照中国安全生产监督管理总局统计国内生产风险值</w:t>
      </w:r>
      <w:r w:rsidRPr="00677D1F">
        <w:rPr>
          <w:rFonts w:asciiTheme="minorEastAsia" w:hAnsiTheme="minorEastAsia" w:cs="宋体"/>
          <w:color w:val="000000"/>
          <w:kern w:val="0"/>
          <w:sz w:val="24"/>
          <w:szCs w:val="24"/>
        </w:rPr>
        <w:t>0.87×10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hint="eastAsia"/>
          <w:color w:val="000000"/>
          <w:kern w:val="0"/>
          <w:sz w:val="24"/>
          <w:szCs w:val="24"/>
        </w:rPr>
        <w:t>死亡（人·年</w:t>
      </w:r>
      <w:r w:rsidRPr="00677D1F">
        <w:rPr>
          <w:rFonts w:asciiTheme="minorEastAsia" w:hAnsiTheme="minorEastAsia" w:cs="宋体"/>
          <w:color w:val="000000"/>
          <w:kern w:val="0"/>
          <w:sz w:val="24"/>
          <w:szCs w:val="24"/>
          <w:vertAlign w:val="superscript"/>
        </w:rPr>
        <w:t>-1</w:t>
      </w:r>
      <w:r w:rsidRPr="00677D1F">
        <w:rPr>
          <w:rFonts w:asciiTheme="minorEastAsia" w:hAnsiTheme="minorEastAsia" w:cs="宋体" w:hint="eastAsia"/>
          <w:color w:val="000000"/>
          <w:kern w:val="0"/>
          <w:sz w:val="24"/>
          <w:szCs w:val="24"/>
        </w:rPr>
        <w:t>）来判断本项目的环境风险可接受情况。</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8.5.4.2</w:t>
      </w:r>
      <w:r w:rsidRPr="00677D1F">
        <w:rPr>
          <w:rFonts w:ascii="宋体" w:eastAsia="宋体" w:hAnsi="宋体" w:cs="宋体" w:hint="eastAsia"/>
          <w:b/>
          <w:bCs/>
          <w:color w:val="000000"/>
          <w:kern w:val="0"/>
          <w:sz w:val="24"/>
          <w:szCs w:val="24"/>
        </w:rPr>
        <w:t>风险计算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根据《建设项目环境风险评价技术导则》</w:t>
      </w:r>
      <w:r w:rsidRPr="00677D1F">
        <w:rPr>
          <w:rFonts w:asciiTheme="minorEastAsia" w:hAnsiTheme="minorEastAsia" w:cs="宋体"/>
          <w:color w:val="000000"/>
          <w:kern w:val="0"/>
          <w:sz w:val="24"/>
          <w:szCs w:val="24"/>
        </w:rPr>
        <w:t>（HJ/T169-2004）</w:t>
      </w:r>
      <w:r w:rsidRPr="00677D1F">
        <w:rPr>
          <w:rFonts w:asciiTheme="minorEastAsia" w:hAnsiTheme="minorEastAsia" w:cs="宋体" w:hint="eastAsia"/>
          <w:color w:val="000000"/>
          <w:kern w:val="0"/>
          <w:sz w:val="24"/>
          <w:szCs w:val="24"/>
        </w:rPr>
        <w:t>，任一毒物泄漏，从吸入途径造成的效应包括：感官刺激或轻度伤害、确定性效应（急性致死）、随机性效应（致癌或非致癌等效致死率）。风险评价中只考虑急性危害。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毒性影响通常采用概率函数形式计算有毒物质从污染源到一定距离能造成死亡或伤害的经验概率的剂量。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概率</w:t>
      </w:r>
      <w:r w:rsidRPr="00677D1F">
        <w:rPr>
          <w:rFonts w:asciiTheme="minorEastAsia" w:hAnsiTheme="minorEastAsia" w:cs="宋体"/>
          <w:color w:val="000000"/>
          <w:kern w:val="0"/>
          <w:sz w:val="24"/>
          <w:szCs w:val="24"/>
        </w:rPr>
        <w:t>Y</w:t>
      </w:r>
      <w:r w:rsidRPr="00677D1F">
        <w:rPr>
          <w:rFonts w:asciiTheme="minorEastAsia" w:hAnsiTheme="minorEastAsia" w:cs="宋体" w:hint="eastAsia"/>
          <w:color w:val="000000"/>
          <w:kern w:val="0"/>
          <w:sz w:val="24"/>
          <w:szCs w:val="24"/>
        </w:rPr>
        <w:t>与接触毒物浓度及接触时间的关系为：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Y——</w:t>
      </w:r>
      <w:r w:rsidRPr="00677D1F">
        <w:rPr>
          <w:rFonts w:asciiTheme="minorEastAsia" w:hAnsiTheme="minorEastAsia" w:cs="宋体" w:hint="eastAsia"/>
          <w:color w:val="000000"/>
          <w:kern w:val="0"/>
          <w:sz w:val="24"/>
          <w:szCs w:val="24"/>
        </w:rPr>
        <w:t>中间量；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At</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Bt</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n——</w:t>
      </w:r>
      <w:r w:rsidRPr="00677D1F">
        <w:rPr>
          <w:rFonts w:asciiTheme="minorEastAsia" w:hAnsiTheme="minorEastAsia" w:cs="宋体" w:hint="eastAsia"/>
          <w:color w:val="000000"/>
          <w:kern w:val="0"/>
          <w:sz w:val="24"/>
          <w:szCs w:val="24"/>
        </w:rPr>
        <w:t>与毒物性质有关，可查表；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接触的浓度，</w:t>
      </w:r>
      <w:r w:rsidRPr="00677D1F">
        <w:rPr>
          <w:rFonts w:asciiTheme="minorEastAsia" w:hAnsiTheme="minorEastAsia" w:cs="宋体"/>
          <w:color w:val="000000"/>
          <w:kern w:val="0"/>
          <w:sz w:val="24"/>
          <w:szCs w:val="24"/>
        </w:rPr>
        <w:t>ppm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te——</w:t>
      </w:r>
      <w:r w:rsidRPr="00677D1F">
        <w:rPr>
          <w:rFonts w:asciiTheme="minorEastAsia" w:hAnsiTheme="minorEastAsia" w:cs="宋体" w:hint="eastAsia"/>
          <w:color w:val="000000"/>
          <w:kern w:val="0"/>
          <w:sz w:val="24"/>
          <w:szCs w:val="24"/>
        </w:rPr>
        <w:t>接触时间（可取作事故释放持续时间），</w:t>
      </w:r>
      <w:r w:rsidRPr="00677D1F">
        <w:rPr>
          <w:rFonts w:asciiTheme="minorEastAsia" w:hAnsiTheme="minorEastAsia" w:cs="宋体"/>
          <w:color w:val="000000"/>
          <w:kern w:val="0"/>
          <w:sz w:val="24"/>
          <w:szCs w:val="24"/>
        </w:rPr>
        <w:t>min</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根据评价导则，对危害值的计算可采用简化分析法，以各种危害的死亡人数代表危害值，对泄漏扩散的危害值，用</w:t>
      </w:r>
      <w:r w:rsidRPr="00677D1F">
        <w:rPr>
          <w:rFonts w:asciiTheme="minorEastAsia" w:hAnsiTheme="minorEastAsia" w:cs="宋体"/>
          <w:color w:val="000000"/>
          <w:kern w:val="0"/>
          <w:sz w:val="24"/>
          <w:szCs w:val="24"/>
        </w:rPr>
        <w:t>LC50</w:t>
      </w:r>
      <w:r w:rsidRPr="00677D1F">
        <w:rPr>
          <w:rFonts w:asciiTheme="minorEastAsia" w:hAnsiTheme="minorEastAsia" w:cs="宋体" w:hint="eastAsia"/>
          <w:color w:val="000000"/>
          <w:kern w:val="0"/>
          <w:sz w:val="24"/>
          <w:szCs w:val="24"/>
        </w:rPr>
        <w:t>浓度来求毒性影响。若事故发生后下风</w:t>
      </w:r>
      <w:r w:rsidRPr="00677D1F">
        <w:rPr>
          <w:rFonts w:asciiTheme="minorEastAsia" w:hAnsiTheme="minorEastAsia" w:cs="宋体" w:hint="eastAsia"/>
          <w:color w:val="000000"/>
          <w:kern w:val="0"/>
          <w:sz w:val="24"/>
          <w:szCs w:val="24"/>
        </w:rPr>
        <w:lastRenderedPageBreak/>
        <w:t>向某处，污染物的最大浓度值大于或等于其半致死浓度</w:t>
      </w:r>
      <w:r w:rsidRPr="00677D1F">
        <w:rPr>
          <w:rFonts w:asciiTheme="minorEastAsia" w:hAnsiTheme="minorEastAsia" w:cs="宋体"/>
          <w:color w:val="000000"/>
          <w:kern w:val="0"/>
          <w:sz w:val="24"/>
          <w:szCs w:val="24"/>
        </w:rPr>
        <w:t>LC50</w:t>
      </w:r>
      <w:r w:rsidRPr="00677D1F">
        <w:rPr>
          <w:rFonts w:asciiTheme="minorEastAsia" w:hAnsiTheme="minorEastAsia" w:cs="宋体" w:hint="eastAsia"/>
          <w:color w:val="000000"/>
          <w:kern w:val="0"/>
          <w:sz w:val="24"/>
          <w:szCs w:val="24"/>
        </w:rPr>
        <w:t>，则事故导致评价区内因发生污染物致死确定性效应而致死的人数</w:t>
      </w: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由下式给出：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式中</w:t>
      </w:r>
      <w:r w:rsidRPr="00677D1F">
        <w:rPr>
          <w:rFonts w:asciiTheme="minorEastAsia" w:hAnsiTheme="minorEastAsia" w:cs="宋体"/>
          <w:color w:val="000000"/>
          <w:kern w:val="0"/>
          <w:sz w:val="24"/>
          <w:szCs w:val="24"/>
        </w:rPr>
        <w:t>N</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Xiln</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Yjln</w:t>
      </w:r>
      <w:r w:rsidRPr="00677D1F">
        <w:rPr>
          <w:rFonts w:asciiTheme="minorEastAsia" w:hAnsiTheme="minorEastAsia" w:cs="宋体" w:hint="eastAsia"/>
          <w:color w:val="000000"/>
          <w:kern w:val="0"/>
          <w:sz w:val="24"/>
          <w:szCs w:val="24"/>
        </w:rPr>
        <w:t>）表示浓度超过污染物半致死浓度区域中的人数。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最大可信事故所有有毒有害物泄漏所致环境危害</w:t>
      </w: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，为各种危害</w:t>
      </w:r>
      <w:r w:rsidRPr="00677D1F">
        <w:rPr>
          <w:rFonts w:asciiTheme="minorEastAsia" w:hAnsiTheme="minorEastAsia" w:cs="宋体"/>
          <w:color w:val="000000"/>
          <w:kern w:val="0"/>
          <w:sz w:val="24"/>
          <w:szCs w:val="24"/>
        </w:rPr>
        <w:t>Ci</w:t>
      </w:r>
      <w:r w:rsidRPr="00677D1F">
        <w:rPr>
          <w:rFonts w:asciiTheme="minorEastAsia" w:hAnsiTheme="minorEastAsia" w:cs="宋体" w:hint="eastAsia"/>
          <w:color w:val="000000"/>
          <w:kern w:val="0"/>
          <w:sz w:val="24"/>
          <w:szCs w:val="24"/>
        </w:rPr>
        <w:t>总和：</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8.5.4.3</w:t>
      </w:r>
      <w:r w:rsidRPr="00677D1F">
        <w:rPr>
          <w:rFonts w:ascii="宋体" w:eastAsia="宋体" w:hAnsi="宋体" w:cs="宋体" w:hint="eastAsia"/>
          <w:b/>
          <w:bCs/>
          <w:color w:val="000000"/>
          <w:kern w:val="0"/>
          <w:sz w:val="24"/>
          <w:szCs w:val="24"/>
        </w:rPr>
        <w:t>风险值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经计算本项目最大风险值为</w:t>
      </w:r>
      <w:r w:rsidRPr="00677D1F">
        <w:rPr>
          <w:rFonts w:asciiTheme="minorEastAsia" w:hAnsiTheme="minorEastAsia" w:cs="宋体"/>
          <w:color w:val="000000"/>
          <w:kern w:val="0"/>
          <w:sz w:val="24"/>
          <w:szCs w:val="24"/>
        </w:rPr>
        <w:t>2.46×10</w:t>
      </w:r>
      <w:r w:rsidRPr="00677D1F">
        <w:rPr>
          <w:rFonts w:asciiTheme="minorEastAsia" w:hAnsiTheme="minorEastAsia" w:cs="宋体"/>
          <w:color w:val="000000"/>
          <w:kern w:val="0"/>
          <w:sz w:val="24"/>
          <w:szCs w:val="24"/>
          <w:vertAlign w:val="superscript"/>
        </w:rPr>
        <w:t>-6</w:t>
      </w:r>
      <w:r w:rsidRPr="00677D1F">
        <w:rPr>
          <w:rFonts w:asciiTheme="minorEastAsia" w:hAnsiTheme="minorEastAsia" w:cs="宋体" w:hint="eastAsia"/>
          <w:color w:val="000000"/>
          <w:kern w:val="0"/>
          <w:sz w:val="24"/>
          <w:szCs w:val="24"/>
        </w:rPr>
        <w:t>死亡（人·年</w:t>
      </w:r>
      <w:r w:rsidRPr="00677D1F">
        <w:rPr>
          <w:rFonts w:asciiTheme="minorEastAsia" w:hAnsiTheme="minorEastAsia" w:cs="宋体" w:hint="eastAsia"/>
          <w:color w:val="000000"/>
          <w:kern w:val="0"/>
          <w:sz w:val="24"/>
          <w:szCs w:val="24"/>
          <w:vertAlign w:val="superscript"/>
        </w:rPr>
        <w:t>-1</w:t>
      </w:r>
      <w:r w:rsidRPr="00677D1F">
        <w:rPr>
          <w:rFonts w:asciiTheme="minorEastAsia" w:hAnsiTheme="minorEastAsia" w:cs="宋体" w:hint="eastAsia"/>
          <w:color w:val="000000"/>
          <w:kern w:val="0"/>
          <w:sz w:val="24"/>
          <w:szCs w:val="24"/>
        </w:rPr>
        <w:t>）小于中国安全生产监督管理总局统计国内生产风险值</w:t>
      </w:r>
      <w:r w:rsidRPr="00677D1F">
        <w:rPr>
          <w:rFonts w:asciiTheme="minorEastAsia" w:hAnsiTheme="minorEastAsia" w:cs="宋体"/>
          <w:color w:val="000000"/>
          <w:kern w:val="0"/>
          <w:sz w:val="24"/>
          <w:szCs w:val="24"/>
        </w:rPr>
        <w:t>0.87×10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hint="eastAsia"/>
          <w:color w:val="000000"/>
          <w:kern w:val="0"/>
          <w:sz w:val="24"/>
          <w:szCs w:val="24"/>
        </w:rPr>
        <w:t>死亡（人·年</w:t>
      </w:r>
      <w:r w:rsidRPr="00677D1F">
        <w:rPr>
          <w:rFonts w:asciiTheme="minorEastAsia" w:hAnsiTheme="minorEastAsia" w:cs="宋体"/>
          <w:color w:val="000000"/>
          <w:kern w:val="0"/>
          <w:sz w:val="24"/>
          <w:szCs w:val="24"/>
          <w:vertAlign w:val="superscript"/>
        </w:rPr>
        <w:t>-1</w:t>
      </w:r>
      <w:r w:rsidRPr="00677D1F">
        <w:rPr>
          <w:rFonts w:asciiTheme="minorEastAsia" w:hAnsiTheme="minorEastAsia" w:cs="宋体" w:hint="eastAsia"/>
          <w:color w:val="000000"/>
          <w:kern w:val="0"/>
          <w:sz w:val="24"/>
          <w:szCs w:val="24"/>
        </w:rPr>
        <w:t>），项目风险值处于可接收水平。</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8.5.4.4</w:t>
      </w:r>
      <w:r w:rsidRPr="00677D1F">
        <w:rPr>
          <w:rFonts w:ascii="宋体" w:eastAsia="宋体" w:hAnsi="宋体" w:cs="宋体" w:hint="eastAsia"/>
          <w:b/>
          <w:bCs/>
          <w:color w:val="000000"/>
          <w:kern w:val="0"/>
          <w:sz w:val="24"/>
          <w:szCs w:val="24"/>
        </w:rPr>
        <w:t>风险评价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（1）泄漏、爆炸、火灾烟气的风险评价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由上述计算可知，本项目在设定的最大可信事故条件下</w:t>
      </w:r>
      <w:r w:rsidRPr="00677D1F">
        <w:rPr>
          <w:rFonts w:asciiTheme="minorEastAsia" w:hAnsiTheme="minorEastAsia" w:cs="宋体"/>
          <w:color w:val="000000"/>
          <w:kern w:val="0"/>
          <w:sz w:val="24"/>
          <w:szCs w:val="24"/>
        </w:rPr>
        <w:t>LC50</w:t>
      </w:r>
      <w:r w:rsidRPr="00677D1F">
        <w:rPr>
          <w:rFonts w:asciiTheme="minorEastAsia" w:hAnsiTheme="minorEastAsia" w:cs="宋体" w:hint="eastAsia"/>
          <w:color w:val="000000"/>
          <w:kern w:val="0"/>
          <w:sz w:val="24"/>
          <w:szCs w:val="24"/>
        </w:rPr>
        <w:t>没有出现，且本项目在设定事故状态下的最大风险值低于国安全生产监督管理总局统计国内生产风险值</w:t>
      </w:r>
      <w:r w:rsidRPr="00677D1F">
        <w:rPr>
          <w:rFonts w:asciiTheme="minorEastAsia" w:hAnsiTheme="minorEastAsia" w:cs="宋体"/>
          <w:color w:val="000000"/>
          <w:kern w:val="0"/>
          <w:sz w:val="24"/>
          <w:szCs w:val="24"/>
        </w:rPr>
        <w:t>0.87×10</w:t>
      </w:r>
      <w:r w:rsidRPr="00677D1F">
        <w:rPr>
          <w:rFonts w:asciiTheme="minorEastAsia" w:hAnsiTheme="minorEastAsia" w:cs="宋体"/>
          <w:color w:val="000000"/>
          <w:kern w:val="0"/>
          <w:sz w:val="24"/>
          <w:szCs w:val="24"/>
          <w:vertAlign w:val="superscript"/>
        </w:rPr>
        <w:t>-4</w:t>
      </w:r>
      <w:r w:rsidRPr="00677D1F">
        <w:rPr>
          <w:rFonts w:asciiTheme="minorEastAsia" w:hAnsiTheme="minorEastAsia" w:cs="宋体" w:hint="eastAsia"/>
          <w:color w:val="000000"/>
          <w:kern w:val="0"/>
          <w:sz w:val="24"/>
          <w:szCs w:val="24"/>
        </w:rPr>
        <w:t>死亡（人·年</w:t>
      </w:r>
      <w:r w:rsidRPr="00677D1F">
        <w:rPr>
          <w:rFonts w:asciiTheme="minorEastAsia" w:hAnsiTheme="minorEastAsia" w:cs="宋体"/>
          <w:color w:val="000000"/>
          <w:kern w:val="0"/>
          <w:sz w:val="24"/>
          <w:szCs w:val="24"/>
          <w:vertAlign w:val="superscript"/>
        </w:rPr>
        <w:t>-1</w:t>
      </w:r>
      <w:r w:rsidRPr="00677D1F">
        <w:rPr>
          <w:rFonts w:asciiTheme="minorEastAsia" w:hAnsiTheme="minorEastAsia" w:cs="宋体" w:hint="eastAsia"/>
          <w:color w:val="000000"/>
          <w:kern w:val="0"/>
          <w:sz w:val="24"/>
          <w:szCs w:val="24"/>
        </w:rPr>
        <w:t>），因此本项目风险值水平与同行业相比是可以接受的。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（2）原辅材料、产品运输的环境风险评价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产所需的化学品原料和最终产品在运输过程中也存在一定的环境风险。本项目生产所需化学品原料及产品中需要进行厂外运输的危险物质包括硫酸、盐酸等，这些物质均属于有毒、有害的危险化学品。这些物质的运输将大大增加运输线路沿线的环境风险程度，一旦在环境敏感区域因交通事故或其他原因导致化学品的泄漏将产生严重的环境危害，因此会给运输通道沿线和贮存区域的环境造成一定的风险隐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因此对于交通运输必须采取严格、有效的管理，并在环境敏感地段做好充分环境应急准备，最大限度降低和杜绝在环境敏感区发生突发性事件的可能性，并能够保证发生风险事故后使环境受到影响的程度和范围降至最低。</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8.6</w:t>
      </w:r>
      <w:r w:rsidRPr="00677D1F">
        <w:rPr>
          <w:rFonts w:ascii="宋体" w:hAnsi="宋体" w:hint="eastAsia"/>
          <w:bCs w:val="0"/>
          <w:kern w:val="2"/>
          <w:sz w:val="30"/>
          <w:szCs w:val="30"/>
        </w:rPr>
        <w:t>风险管理</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8.6.1</w:t>
      </w:r>
      <w:r w:rsidRPr="00677D1F">
        <w:rPr>
          <w:rFonts w:ascii="宋体" w:hAnsi="宋体" w:hint="eastAsia"/>
          <w:sz w:val="28"/>
          <w:szCs w:val="28"/>
        </w:rPr>
        <w:t>风险事故防范措施</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8.6.1.1</w:t>
      </w:r>
      <w:r w:rsidRPr="00677D1F">
        <w:rPr>
          <w:rFonts w:ascii="宋体" w:eastAsia="宋体" w:hAnsi="宋体" w:cs="宋体" w:hint="eastAsia"/>
          <w:b/>
          <w:bCs/>
          <w:color w:val="000000"/>
          <w:kern w:val="0"/>
          <w:sz w:val="24"/>
          <w:szCs w:val="24"/>
        </w:rPr>
        <w:t>选址、总图布置和建筑安全防范措施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）选址及总图布置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项目拟建地周围</w:t>
      </w:r>
      <w:r w:rsidRPr="00677D1F">
        <w:rPr>
          <w:rFonts w:asciiTheme="minorEastAsia" w:hAnsiTheme="minorEastAsia" w:cs="宋体"/>
          <w:color w:val="000000"/>
          <w:kern w:val="0"/>
          <w:sz w:val="24"/>
          <w:szCs w:val="24"/>
        </w:rPr>
        <w:t>5km</w:t>
      </w:r>
      <w:r w:rsidRPr="00677D1F">
        <w:rPr>
          <w:rFonts w:asciiTheme="minorEastAsia" w:hAnsiTheme="minorEastAsia" w:cs="宋体" w:hint="eastAsia"/>
          <w:color w:val="000000"/>
          <w:kern w:val="0"/>
          <w:sz w:val="24"/>
          <w:szCs w:val="24"/>
        </w:rPr>
        <w:t>范围内无居民区和其他特殊环境保护目标，项目选址符合卫生防护要求。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在厂区总平面布置方面，严格执行相关规范要求，所有建、构筑物之间或与其它场所之间留有足够的防火间距，防止在火灾或爆炸时相互影响；严格按工艺处理物料特性，对厂区进行危险区划分。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区道路实行人、货流分开（划分人行区域和车辆行驶区域、不重叠），划出专用车辆行驶路线、严禁烟火标志等并严格执行；在厂区总平面布置中配套建设应急救援设施、救援通道、应急疏散避难所等防护设施。按《安全标志》规定在装置区设置有关的安全标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建筑安全防范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生产装置区尽量采用敞开式，以利可燃气体的扩散，防止爆炸。对人身造成危险的运转设备配备安全罩。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火灾危险性等级和防火、防爆要求，建筑物的防火等级均采用国家现行规范要求的耐火等级设计，满足建筑防火要求。凡禁火区均设置明显标志牌。各种易燃易爆物料均储存在阴凉、通风处，远离火源；安放液体原料的房间，不允许任何人员随便入内。安全出口及安全疏散距离应符合《建筑设计防火规范》</w:t>
      </w:r>
      <w:r w:rsidRPr="00677D1F">
        <w:rPr>
          <w:rFonts w:asciiTheme="minorEastAsia" w:hAnsiTheme="minorEastAsia" w:cs="宋体"/>
          <w:color w:val="000000"/>
          <w:kern w:val="0"/>
          <w:sz w:val="24"/>
          <w:szCs w:val="24"/>
        </w:rPr>
        <w:t>GB50016-2006</w:t>
      </w:r>
      <w:r w:rsidRPr="00677D1F">
        <w:rPr>
          <w:rFonts w:asciiTheme="minorEastAsia" w:hAnsiTheme="minorEastAsia" w:cs="宋体" w:hint="eastAsia"/>
          <w:color w:val="000000"/>
          <w:kern w:val="0"/>
          <w:sz w:val="24"/>
          <w:szCs w:val="24"/>
        </w:rPr>
        <w:t>的要求。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）危险化学品库存储要按照各种为物质的理化性质采取隔离、隔开、分离的原则储存；各种危险化学品要有品名、标签、</w:t>
      </w:r>
      <w:r w:rsidRPr="00677D1F">
        <w:rPr>
          <w:rFonts w:asciiTheme="minorEastAsia" w:hAnsiTheme="minorEastAsia" w:cs="宋体"/>
          <w:color w:val="000000"/>
          <w:kern w:val="0"/>
          <w:sz w:val="24"/>
          <w:szCs w:val="24"/>
        </w:rPr>
        <w:t>MSDS</w:t>
      </w:r>
      <w:r w:rsidRPr="00677D1F">
        <w:rPr>
          <w:rFonts w:asciiTheme="minorEastAsia" w:hAnsiTheme="minorEastAsia" w:cs="宋体" w:hint="eastAsia"/>
          <w:color w:val="000000"/>
          <w:kern w:val="0"/>
          <w:sz w:val="24"/>
          <w:szCs w:val="24"/>
        </w:rPr>
        <w:t>表和应急救援预案；危险化学品仓库要有防静电措施，加强通风。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）压力容器上压力表的表盘上要有最高压力的红线限位。玻璃计量槽需设保护装置。</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8.6.1.2</w:t>
      </w:r>
      <w:r w:rsidRPr="00677D1F">
        <w:rPr>
          <w:rFonts w:ascii="宋体" w:eastAsia="宋体" w:hAnsi="宋体" w:cs="宋体" w:hint="eastAsia"/>
          <w:b/>
          <w:bCs/>
          <w:color w:val="000000"/>
          <w:kern w:val="0"/>
          <w:sz w:val="24"/>
          <w:szCs w:val="24"/>
        </w:rPr>
        <w:t>危险化学品储运系统风险防范措施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）严格按《危险化学品安全管理条例》的要求，加强对危险化学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品的管理；制定危险化学品安全操作规程，要求操作人员严格按操作规程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作业；对从事危险化学作业人员定期进行安全培训教育；经常性对危险化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学品作业场所进行安全检查。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（2）根据《常用化学危险品贮存通则（</w:t>
      </w:r>
      <w:r w:rsidRPr="00677D1F">
        <w:rPr>
          <w:rFonts w:asciiTheme="minorEastAsia" w:hAnsiTheme="minorEastAsia" w:cs="宋体"/>
          <w:color w:val="000000"/>
          <w:kern w:val="0"/>
          <w:sz w:val="24"/>
          <w:szCs w:val="24"/>
        </w:rPr>
        <w:t>GB15603-1995</w:t>
      </w:r>
      <w:r w:rsidRPr="00677D1F">
        <w:rPr>
          <w:rFonts w:asciiTheme="minorEastAsia" w:hAnsiTheme="minorEastAsia" w:cs="宋体" w:hint="eastAsia"/>
          <w:color w:val="000000"/>
          <w:kern w:val="0"/>
          <w:sz w:val="24"/>
          <w:szCs w:val="24"/>
        </w:rPr>
        <w:t>）》中要求，在贮存和使用危险化学品的过程中，采取以下措施：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①各种危险、有毒和有害物品在生产场所和贮存区的堆放量均不应超出标准规定的临界堆存量。贮存仓库配备专业知识的技术人员，库房及场所设专人管理，管理人员配备个人安全防护用品；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②原料入库时，检验物品质量、包装情况、有无泄漏。入库后采取适当的养护措施，在贮存期内，定期检查，发现其品质变化、包装破损、渗漏、稳定剂短缺等，及时处理；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③库房温度、湿度严格控制、经常检查，发现变化及时调整，并配备相应灭火器；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④装卸和使用危险化学品时，操作人员穿戴相应的防护用品；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⑤使用危险化学品的过程中，泄漏或渗漏的包装容器移至安全区域；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⑥仓库工作人员经考核合格后持证上岗；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⑦制定应急处理措施，编制事故应急预案，应对意外突发事件。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危险品装运采取的措施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遵照</w:t>
      </w:r>
      <w:r w:rsidRPr="00677D1F">
        <w:rPr>
          <w:rFonts w:asciiTheme="minorEastAsia" w:hAnsiTheme="minorEastAsia" w:cs="宋体"/>
          <w:color w:val="000000"/>
          <w:kern w:val="0"/>
          <w:sz w:val="24"/>
          <w:szCs w:val="24"/>
        </w:rPr>
        <w:t>GB190-90</w:t>
      </w:r>
      <w:r w:rsidRPr="00677D1F">
        <w:rPr>
          <w:rFonts w:asciiTheme="minorEastAsia" w:hAnsiTheme="minorEastAsia" w:cs="宋体" w:hint="eastAsia"/>
          <w:color w:val="000000"/>
          <w:kern w:val="0"/>
          <w:sz w:val="24"/>
          <w:szCs w:val="24"/>
        </w:rPr>
        <w:t>《危险货物包装标志》、</w:t>
      </w:r>
      <w:r w:rsidRPr="00677D1F">
        <w:rPr>
          <w:rFonts w:asciiTheme="minorEastAsia" w:hAnsiTheme="minorEastAsia" w:cs="宋体"/>
          <w:color w:val="000000"/>
          <w:kern w:val="0"/>
          <w:sz w:val="24"/>
          <w:szCs w:val="24"/>
        </w:rPr>
        <w:t>GB12463</w:t>
      </w:r>
      <w:r w:rsidRPr="00677D1F">
        <w:rPr>
          <w:rFonts w:asciiTheme="minorEastAsia" w:hAnsiTheme="minorEastAsia" w:cs="宋体" w:hint="eastAsia"/>
          <w:color w:val="000000"/>
          <w:kern w:val="0"/>
          <w:sz w:val="24"/>
          <w:szCs w:val="24"/>
        </w:rPr>
        <w:t>《危险货物运输包装通用技术条件》、</w:t>
      </w:r>
      <w:r w:rsidRPr="00677D1F">
        <w:rPr>
          <w:rFonts w:asciiTheme="minorEastAsia" w:hAnsiTheme="minorEastAsia" w:cs="宋体"/>
          <w:color w:val="000000"/>
          <w:kern w:val="0"/>
          <w:sz w:val="24"/>
          <w:szCs w:val="24"/>
        </w:rPr>
        <w:t>GB/T15258-94</w:t>
      </w:r>
      <w:r w:rsidRPr="00677D1F">
        <w:rPr>
          <w:rFonts w:asciiTheme="minorEastAsia" w:hAnsiTheme="minorEastAsia" w:cs="宋体" w:hint="eastAsia"/>
          <w:color w:val="000000"/>
          <w:kern w:val="0"/>
          <w:sz w:val="24"/>
          <w:szCs w:val="24"/>
        </w:rPr>
        <w:t>《危险化学品标签编写导则》中的规定执行。危险货物运输包装结构合理，具有一定强度，防护性能好。包装的材质、形式、规格、方法和单件质量（重量）与所装货物的性质和用途相适应，并便于装卸、运输和存储。汽车运输危险货物选择远离人群活动和居住区的固定路线，避开人流和车流高峰时间运送危险品，多数选择夜间行驶；汽车在敏感地带不停留。驾驶员要经过运送危险物品的专门训练，有应付紧急事故情况的方法和措施。企业设置运送危险品的专车，并备有消防、应付紧急情况防毒面具等安全常用设施，做到有备无患。</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8.6.1.3</w:t>
      </w:r>
      <w:r w:rsidRPr="00677D1F">
        <w:rPr>
          <w:rFonts w:ascii="宋体" w:eastAsia="宋体" w:hAnsi="宋体" w:cs="宋体" w:hint="eastAsia"/>
          <w:b/>
          <w:bCs/>
          <w:color w:val="000000"/>
          <w:kern w:val="0"/>
          <w:sz w:val="24"/>
          <w:szCs w:val="24"/>
        </w:rPr>
        <w:t>工艺技术设计安全防范措施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总要求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工艺技术选用国内成熟的技术；设计时对设备、管线、阀门、垫片、密封材料的使用与耐腐性认真选择，避免因设计不当引起腐蚀与泄露；各反应装置设置联锁系统，以及时发现和解决反应故障；各主要装置均设计废气收集处理系统以处理可燃有毒废气，使废气排放达标；接触有毒有害物质处设防护面具、氧气呼吸器、防护手套、防护眼镜、防护工作服等；有毒有害物料的储罐、贮槽、槽车等严格按装</w:t>
      </w:r>
      <w:r w:rsidRPr="00677D1F">
        <w:rPr>
          <w:rFonts w:asciiTheme="minorEastAsia" w:hAnsiTheme="minorEastAsia" w:cs="宋体" w:hint="eastAsia"/>
          <w:color w:val="000000"/>
          <w:kern w:val="0"/>
          <w:sz w:val="24"/>
          <w:szCs w:val="24"/>
        </w:rPr>
        <w:lastRenderedPageBreak/>
        <w:t>料系数装存物料，避免因装料过满发生爆炸或泄漏。氯气输送管线上的垫片、阀门、软管要定期更换，避免漏料；购置超声探伤仪器，提高对压力容器管道的探伤能力，尤其是对氯气设备管道的探测，健全探伤记录，主动掌握压力容器的伤损信息，杜绝恶性事故的发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钛生产安全防范措施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●在整个生产过程中，工艺过程的监控一般都在控制室内进行，对许多电气设备还增加了现场就地开关，设有自动调节系统，另设有声光报警和连锁系统；以保护设备和人身安全，保证生产的正常运行。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●在钛渣电炉顶设置排气口。当温度及压力超过设定值时，切断通入钛渣电炉母线电源；排气口管道的阀门打开，气体进入尾气利用系统或排放。在炉内物料反应剧烈时停止加料使反应不能继续进行。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●在氯化炉顶设置有防爆口。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●钛渣电炉电极、电极壳的安装设绝缘和绝缘平台。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炉炉底设通风和测温防止电炉漏电；设置压力和各点温度的测定；为避免钛渣电炉塌料将熔体溅出，工艺设计专门的捣炉机，结合实际生产，定时安排捣炉。为保证高温熔体的平稳输送，设计选用了两端都有牵引机构的卷扬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●电炉操作工人配戴安全帽和墨镜，防止灼伤。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●氯气管道设置缓冲罐，缓冲罐设置压力表、浓度标尺，对氯化系统进行检测、防漏。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●氯化厂房为敞开式加强自然通风。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●氯化厂房地面铺设花岗岩，墙面、柱、梁等刷高氯化聚乙烯防腐漆。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●氯化、精制两工段设有</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浓度报警装置。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●为预防氯化炉</w:t>
      </w:r>
      <w:r w:rsidRPr="00677D1F">
        <w:rPr>
          <w:rFonts w:asciiTheme="minorEastAsia" w:hAnsiTheme="minorEastAsia" w:cs="宋体"/>
          <w:color w:val="000000"/>
          <w:kern w:val="0"/>
          <w:sz w:val="24"/>
          <w:szCs w:val="24"/>
        </w:rPr>
        <w:t>CO</w:t>
      </w:r>
      <w:r w:rsidRPr="00677D1F">
        <w:rPr>
          <w:rFonts w:asciiTheme="minorEastAsia" w:hAnsiTheme="minorEastAsia" w:cs="宋体" w:hint="eastAsia"/>
          <w:color w:val="000000"/>
          <w:kern w:val="0"/>
          <w:sz w:val="24"/>
          <w:szCs w:val="24"/>
        </w:rPr>
        <w:t>爆炸事故，除在炉顶设置防爆孔外，在炉启动和停产时不停止尾气引风机的运转。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●当氯化工段的</w:t>
      </w:r>
      <w:r w:rsidRPr="00677D1F">
        <w:rPr>
          <w:rFonts w:asciiTheme="minorEastAsia" w:hAnsiTheme="minorEastAsia" w:cs="宋体"/>
          <w:color w:val="000000"/>
          <w:kern w:val="0"/>
          <w:sz w:val="24"/>
          <w:szCs w:val="24"/>
        </w:rPr>
        <w:t>TiCl4</w:t>
      </w:r>
      <w:r w:rsidRPr="00677D1F">
        <w:rPr>
          <w:rFonts w:asciiTheme="minorEastAsia" w:hAnsiTheme="minorEastAsia" w:cs="宋体" w:hint="eastAsia"/>
          <w:color w:val="000000"/>
          <w:kern w:val="0"/>
          <w:sz w:val="24"/>
          <w:szCs w:val="24"/>
        </w:rPr>
        <w:t>设备出现跑、冒、滴、漏现象时，采用大量水冲洗和加强通风。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●为使还原蒸馏炉炉盖内的胶垫不变形而具有良好的密闭性，还原蒸馏炉循环冷却水泵用电属一级负荷。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●还原蒸馏炉电加热使用绝缘和安全操作电压。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●还原蒸馏炉设置压力和各点温度的测定。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●液氯蒸发及透平机室配置与周围建构筑物之间距离满足规范规定。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●液氯蒸发及透平机室设有事故碱池，液氯槽罐发生泄漏时，立即用碱液中和，避免</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大量溢散。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●为避免高温蒸汽管道泄露而引起的人员伤害，防止高温管道烫伤人员，热水管道及炉体、烟道等外表面温度大于</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℃的设备和管道外部设置保温层或采取隔离措施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设置有效遮蔽物</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保证保温层外部温度低于</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℃。保温工程的施工必须符合现行的《工业设备及管道绝热工程施工及验收规范》和国家建筑设计标准图集的要求。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镁生产安全防范措施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●镁电解过程中逸出电解质升华物，升华物主要成分是</w:t>
      </w:r>
      <w:r w:rsidRPr="00677D1F">
        <w:rPr>
          <w:rFonts w:asciiTheme="minorEastAsia" w:hAnsiTheme="minorEastAsia" w:cs="宋体"/>
          <w:color w:val="000000"/>
          <w:kern w:val="0"/>
          <w:sz w:val="24"/>
          <w:szCs w:val="24"/>
        </w:rPr>
        <w:t>MgCl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MgCl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具有很强的吸水性，故电解厂房内楼板、墙壁等各处较潮湿，因此特别设计了电解工段电器、电气绝缘，确保操作人员安全。电解厂房内的带电体或间接带电体，以及操作楼板均应对大地进行绝缘，使人与带电体处于等电位，不受电击，保障人身安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●电解槽基础、楼板分区</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台槽一个区</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绝缘，楼板沿电解槽纵向设</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条通长绝缘缝；楼板</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梁</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柱</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基础之间绝缘；楼板</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墙之间绝缘，楼板</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梯</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地坪之间绝缘。电解槽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楼板、电解槽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支墩</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基础之间绝缘；母线</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支座之间绝缘。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氯气导管和临时氯气导管与支墩绝缘，电解槽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氯气支管、氯气总管</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支墩</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基础之间绝缘。氯气支管与槽绝缘采用一段石棉水泥管。压缩空气管道和真空管道分段绝缘，管与管架之间绝缘。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真空管和压缩空气管与管架间绝缘，且管道分段</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抬槽</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段</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绝缘。天车，钩</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钢丝绳、卷筒</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小车、小车</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吊车梁之间绝缘，每道绝缘电阻</w:t>
      </w:r>
      <w:r w:rsidRPr="00677D1F">
        <w:rPr>
          <w:rFonts w:asciiTheme="minorEastAsia" w:hAnsiTheme="minorEastAsia" w:cs="宋体"/>
          <w:color w:val="000000"/>
          <w:kern w:val="0"/>
          <w:sz w:val="24"/>
          <w:szCs w:val="24"/>
        </w:rPr>
        <w:t>≥1MΩ</w:t>
      </w:r>
      <w:r w:rsidRPr="00677D1F">
        <w:rPr>
          <w:rFonts w:asciiTheme="minorEastAsia" w:hAnsiTheme="minorEastAsia" w:cs="宋体" w:hint="eastAsia"/>
          <w:color w:val="000000"/>
          <w:kern w:val="0"/>
          <w:sz w:val="24"/>
          <w:szCs w:val="24"/>
        </w:rPr>
        <w:t>，拖缆供电</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天车三级绝缘。电解槽槽壳、母线、天车对楼板、大地的绝缘电阻</w:t>
      </w:r>
      <w:r w:rsidRPr="00677D1F">
        <w:rPr>
          <w:rFonts w:asciiTheme="minorEastAsia" w:hAnsiTheme="minorEastAsia" w:cs="宋体"/>
          <w:color w:val="000000"/>
          <w:kern w:val="0"/>
          <w:sz w:val="24"/>
          <w:szCs w:val="24"/>
        </w:rPr>
        <w:t>≥500kΩ</w:t>
      </w:r>
      <w:r w:rsidRPr="00677D1F">
        <w:rPr>
          <w:rFonts w:asciiTheme="minorEastAsia" w:hAnsiTheme="minorEastAsia" w:cs="宋体" w:hint="eastAsia"/>
          <w:color w:val="000000"/>
          <w:kern w:val="0"/>
          <w:sz w:val="24"/>
          <w:szCs w:val="24"/>
        </w:rPr>
        <w:t>；楼板对大地电阻</w:t>
      </w:r>
      <w:r w:rsidRPr="00677D1F">
        <w:rPr>
          <w:rFonts w:asciiTheme="minorEastAsia" w:hAnsiTheme="minorEastAsia" w:cs="宋体"/>
          <w:color w:val="000000"/>
          <w:kern w:val="0"/>
          <w:sz w:val="24"/>
          <w:szCs w:val="24"/>
        </w:rPr>
        <w:t>≥120kΩ</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●对所有的高压和低压电器设备均采取了保护性安全接零措施。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●各楼板、平台、抬包架、地坑等均设有防护栏和安全围栏，对裸露的传动设备如开启式齿轮、皮带、轮带等均设有安全防护罩。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●氯压机室设置强制通风机；发生事故时通过强制通风机排出厂房内的</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●破碎系统与油压机的油压系统隔离。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氩气的安全防范措施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●除备有自给式呼吸器</w:t>
      </w:r>
      <w:r w:rsidRPr="00677D1F">
        <w:rPr>
          <w:rFonts w:asciiTheme="minorEastAsia" w:hAnsiTheme="minorEastAsia" w:cs="宋体"/>
          <w:color w:val="000000"/>
          <w:kern w:val="0"/>
          <w:sz w:val="24"/>
          <w:szCs w:val="24"/>
        </w:rPr>
        <w:t>（SCBA）</w:t>
      </w:r>
      <w:r w:rsidRPr="00677D1F">
        <w:rPr>
          <w:rFonts w:asciiTheme="minorEastAsia" w:hAnsiTheme="minorEastAsia" w:cs="宋体" w:hint="eastAsia"/>
          <w:color w:val="000000"/>
          <w:kern w:val="0"/>
          <w:sz w:val="24"/>
          <w:szCs w:val="24"/>
        </w:rPr>
        <w:t>或空气管呼吸器，任何人包括救援人员，都不能进入氧浓度低于</w:t>
      </w:r>
      <w:r w:rsidRPr="00677D1F">
        <w:rPr>
          <w:rFonts w:asciiTheme="minorEastAsia" w:hAnsiTheme="minorEastAsia" w:cs="宋体"/>
          <w:color w:val="000000"/>
          <w:kern w:val="0"/>
          <w:sz w:val="24"/>
          <w:szCs w:val="24"/>
        </w:rPr>
        <w:t>19.5%</w:t>
      </w:r>
      <w:r w:rsidRPr="00677D1F">
        <w:rPr>
          <w:rFonts w:asciiTheme="minorEastAsia" w:hAnsiTheme="minorEastAsia" w:cs="宋体" w:hint="eastAsia"/>
          <w:color w:val="000000"/>
          <w:kern w:val="0"/>
          <w:sz w:val="24"/>
          <w:szCs w:val="24"/>
        </w:rPr>
        <w:t>的区域。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●储存和使用液氩的地方要充分通风，禁止储存在狭窄空间内，一般室内最少不宜低于每小时换气</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次。低温容器要配备有减压装置，以控制内部压力。正常情况下这些容器要定时排出部分产品。禁止拉拽、移动或堵塞任何减压装置。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●禁止身体任何没有得到保护的部分接触不隔热管道或装有低温产品的设备。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●钢瓶搬运使用合适的手推车。操作和储存时容器要处于垂直位置。禁止拖拉、旋转或滑动容器。禁止移动或交换接头。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●对于气体排出系统，使用止回阀或其它保护性装置以防止回流。为了防止低温液体或低温气体积聚在阀门之间的管道内，要给管道配备减压装置。设计使用低温液体的转移管。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●避免使用在低温下会变脆，从而容易破裂的材料。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●眼睛最容易受到氩液体和蒸气的极低温的影响。要求个人防护使用装备有套在安全眼镜外的全封闭面罩、干净的宽松的隔热或皮手套、长袖衬衣和无翻边裤子。当操作或使用液氩时，或任何有</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液氮</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溢出而存在暴露的可能性的时候，都要穿戴个人防护装备。另外，操作容器有关的人员要求使用安全鞋。同时应随时携带自给式呼吸器。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●如果皮肤接触到液氩，脱掉任何可能限制冻伤区域血液循环的衣服。如果眼睛暴露于液氩或蒸气的低温环境中，马上用不超过</w:t>
      </w:r>
      <w:r w:rsidRPr="00677D1F">
        <w:rPr>
          <w:rFonts w:asciiTheme="minorEastAsia" w:hAnsiTheme="minorEastAsia" w:cs="宋体"/>
          <w:color w:val="000000"/>
          <w:kern w:val="0"/>
          <w:sz w:val="24"/>
          <w:szCs w:val="24"/>
        </w:rPr>
        <w:t>40</w:t>
      </w:r>
      <w:r w:rsidRPr="00677D1F">
        <w:rPr>
          <w:rFonts w:asciiTheme="minorEastAsia" w:hAnsiTheme="minorEastAsia" w:cs="宋体" w:hint="eastAsia"/>
          <w:color w:val="000000"/>
          <w:kern w:val="0"/>
          <w:sz w:val="24"/>
          <w:szCs w:val="24"/>
        </w:rPr>
        <w:t>℃的温水温暖冻伤部位。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●由于氩不可燃，不需要特殊的救火设备。但要禁止直接让水流在设备关口冲洗。水会结冰并堵塞减压装置的出口，这会造成容器故障。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氯气的安全防范措施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●氯气生产、使用的工段，通过采取尾气净化措施使工作场所卫生和环境条件符合《工业企业设计卫生标准》</w:t>
      </w:r>
      <w:r w:rsidRPr="00677D1F">
        <w:rPr>
          <w:rFonts w:asciiTheme="minorEastAsia" w:hAnsiTheme="minorEastAsia" w:cs="宋体"/>
          <w:color w:val="000000"/>
          <w:kern w:val="0"/>
          <w:sz w:val="24"/>
          <w:szCs w:val="24"/>
        </w:rPr>
        <w:t>（GBZ1-2010）</w:t>
      </w:r>
      <w:r w:rsidRPr="00677D1F">
        <w:rPr>
          <w:rFonts w:asciiTheme="minorEastAsia" w:hAnsiTheme="minorEastAsia" w:cs="宋体" w:hint="eastAsia"/>
          <w:color w:val="000000"/>
          <w:kern w:val="0"/>
          <w:sz w:val="24"/>
          <w:szCs w:val="24"/>
        </w:rPr>
        <w:t>和《工作场所有害因素职业接触限值第</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部分：化学有害因素》</w:t>
      </w:r>
      <w:r w:rsidRPr="00677D1F">
        <w:rPr>
          <w:rFonts w:asciiTheme="minorEastAsia" w:hAnsiTheme="minorEastAsia" w:cs="宋体"/>
          <w:color w:val="000000"/>
          <w:kern w:val="0"/>
          <w:sz w:val="24"/>
          <w:szCs w:val="24"/>
        </w:rPr>
        <w:t>（GBZ2.1-2007）</w:t>
      </w:r>
      <w:r w:rsidRPr="00677D1F">
        <w:rPr>
          <w:rFonts w:asciiTheme="minorEastAsia" w:hAnsiTheme="minorEastAsia" w:cs="宋体" w:hint="eastAsia"/>
          <w:color w:val="000000"/>
          <w:kern w:val="0"/>
          <w:sz w:val="24"/>
          <w:szCs w:val="24"/>
        </w:rPr>
        <w:t>、《工作场所有害因素职业接触限值第</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部分：物理因素》</w:t>
      </w:r>
      <w:r w:rsidRPr="00677D1F">
        <w:rPr>
          <w:rFonts w:asciiTheme="minorEastAsia" w:hAnsiTheme="minorEastAsia" w:cs="宋体"/>
          <w:color w:val="000000"/>
          <w:kern w:val="0"/>
          <w:sz w:val="24"/>
          <w:szCs w:val="24"/>
        </w:rPr>
        <w:t>（GBZ2.2-2007）</w:t>
      </w:r>
      <w:r w:rsidRPr="00677D1F">
        <w:rPr>
          <w:rFonts w:asciiTheme="minorEastAsia" w:hAnsiTheme="minorEastAsia" w:cs="宋体" w:hint="eastAsia"/>
          <w:color w:val="000000"/>
          <w:kern w:val="0"/>
          <w:sz w:val="24"/>
          <w:szCs w:val="24"/>
        </w:rPr>
        <w:t>中的有关规定。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●氯气生产、使用、贮存、运输等现场，配备抢修器材、有效防护用具及消防器材。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●氯化设备和管道处的连接垫料应选用石棉板、石棉橡胶板、氟胶料、浸石墨的石棉绳等，严禁使用橡胶垫。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●氯化系统管道必须完好，连接紧密，无泄漏。并定期清除滞留在反应设备和管道内的反应生成物，消除堵塞。</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●氯属于Ⅱ级</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高度危害</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物质，直接接触氯气生产、使用、贮存、运输等作业人员，必须经专业培训，考试合格，取得特种作业合格证后，方可上岗操作。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●做好泄漏燃爆、被腐蚀和中毒的预防工作，以利防灾消灾。制定应急救援预案，一旦出现灾情，迅速采取有力措施，尽快消除灾害。若有人中毒或受伤，应及时送医院抢救。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皮肤接触时，按酸灼伤进行处理。应立即脱去污染的衣着，用大量流动清水冲洗。氯痤疮可用地塞米松软膏涂患处；眼睛接触时，提起眼睑，用流动清水或生理盐水彻底冲洗，滴眼药水；若吸入，则应迅速脱离现场至空气新鲜处。如果呼吸心跳停止，应立即进行人工呼吸和胸外心脏按压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●日常防护措施：紧急事态抢救或撤离时，必须佩戴氧气呼吸器；穿带面罩式胶布防毒衣；戴橡胶手套；进入罐、限制性空间或其它高浓度区作业，须有人监护。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●氯气泄漏时，应先设法止漏，然后迅速撤离污染区人员至上风处，并立即进行隔离。少量泄漏时隔离</w:t>
      </w:r>
      <w:r w:rsidRPr="00677D1F">
        <w:rPr>
          <w:rFonts w:asciiTheme="minorEastAsia" w:hAnsiTheme="minorEastAsia" w:cs="宋体"/>
          <w:color w:val="000000"/>
          <w:kern w:val="0"/>
          <w:sz w:val="24"/>
          <w:szCs w:val="24"/>
        </w:rPr>
        <w:t>150m</w:t>
      </w:r>
      <w:r w:rsidRPr="00677D1F">
        <w:rPr>
          <w:rFonts w:asciiTheme="minorEastAsia" w:hAnsiTheme="minorEastAsia" w:cs="宋体" w:hint="eastAsia"/>
          <w:color w:val="000000"/>
          <w:kern w:val="0"/>
          <w:sz w:val="24"/>
          <w:szCs w:val="24"/>
        </w:rPr>
        <w:t>，大量泄漏时隔离</w:t>
      </w:r>
      <w:r w:rsidRPr="00677D1F">
        <w:rPr>
          <w:rFonts w:asciiTheme="minorEastAsia" w:hAnsiTheme="minorEastAsia" w:cs="宋体"/>
          <w:color w:val="000000"/>
          <w:kern w:val="0"/>
          <w:sz w:val="24"/>
          <w:szCs w:val="24"/>
        </w:rPr>
        <w:t>450m</w:t>
      </w:r>
      <w:r w:rsidRPr="00677D1F">
        <w:rPr>
          <w:rFonts w:asciiTheme="minorEastAsia" w:hAnsiTheme="minorEastAsia" w:cs="宋体" w:hint="eastAsia"/>
          <w:color w:val="000000"/>
          <w:kern w:val="0"/>
          <w:sz w:val="24"/>
          <w:szCs w:val="24"/>
        </w:rPr>
        <w:t>，严格限制非工作人员出入。应急处理人员应戴自给正压式呼吸器，穿防毒服。合理通风，加速扩散。喷雾状水稀释、溶解。构筑围堤或挖坑收容产生的大量废水。如有可能，用管道将泄漏物引至还原剂</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酸式硫酸钠或酸式碳酸钠</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溶液中。也可以将漏气钢瓶浸入碱液中。漏气容器要妥善处理，修复、检验合格后方可再用。若失火，消防人员必须佩戴过滤式全面罩防毒面具或隔离式呼吸器，穿全身防火防毒服，在上风处灭火，切断气源，可能的话将容器从火场移至空旷处。灭火剂用雾状水、泡沫和干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四氯化钛安全防范措施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泄漏应急处理：疏散泄漏污染区人员至安全区，禁止无关人员进入污染区，建议应急处理人员戴正压自给式呼吸器，穿化学防护服。不要直接接触泄漏物，在确保安全情况下堵漏。喷雾状水冷却和稀释蒸汽，但不要对泄漏物或泄漏点直接喷</w:t>
      </w:r>
      <w:r w:rsidRPr="00677D1F">
        <w:rPr>
          <w:rFonts w:asciiTheme="minorEastAsia" w:hAnsiTheme="minorEastAsia" w:cs="宋体" w:hint="eastAsia"/>
          <w:color w:val="000000"/>
          <w:kern w:val="0"/>
          <w:sz w:val="24"/>
          <w:szCs w:val="24"/>
        </w:rPr>
        <w:lastRenderedPageBreak/>
        <w:t>水。将地面洒上苏打灰，然后用大量水冲洗，经稀释的洗水放入废水系统。如果大量泄漏，构筑围堤或挖坑收容，在技术人员指导下清除。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●呼吸系统防护：可能接触其蒸气时，应该佩带防毒口罩。必要时佩带防毒面具；眼睛防护：戴化学安全防护眼镜。防护服：穿工作服</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防腐材料制作</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。手防护：戴橡皮手套。其它：工作后，淋浴更衣。单独存放被毒物污染的衣服，洗后再用。保持良好的卫生习惯。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●皮肤接触要尽快用软纸或棉花等擦去毒物，然后用水彻底冲洗。若有灼伤，就医治疗；眼睛接触要立即提起眼睑，用流动清水冲洗</w:t>
      </w:r>
      <w:r w:rsidRPr="00677D1F">
        <w:rPr>
          <w:rFonts w:asciiTheme="minorEastAsia" w:hAnsiTheme="minorEastAsia" w:cs="宋体"/>
          <w:color w:val="000000"/>
          <w:kern w:val="0"/>
          <w:sz w:val="24"/>
          <w:szCs w:val="24"/>
        </w:rPr>
        <w:t>10</w:t>
      </w:r>
      <w:r w:rsidRPr="00677D1F">
        <w:rPr>
          <w:rFonts w:asciiTheme="minorEastAsia" w:hAnsiTheme="minorEastAsia" w:cs="宋体" w:hint="eastAsia"/>
          <w:color w:val="000000"/>
          <w:kern w:val="0"/>
          <w:sz w:val="24"/>
          <w:szCs w:val="24"/>
        </w:rPr>
        <w:t>分钟或用</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碳酸氢钠溶液冲洗，就医；吸入要迅速脱离现场至空气新鲜处，保持呼吸道通畅。呼吸困难时给输氧，给予</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碳酸氢钠溶液雾化吸入，就医；如食入，患者清醒时立即漱口，给饮牛奶或蛋清。立即就医。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钛加工系统安全措施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●为改善劳动条件，减少事故发生几率，车间内原料及成品运输为机械化作业，生产工序之间的物料传递和运输基本为机械化作业；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●生产车间设备设计满足安全规范要求，且在易伤人、裸露的旋转部分或存在安全隐患的地方加装防护罩、围栏或设置危险标志。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●厂房内留有运输通道，方便运输，减少碰撞。</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●锻造过程中制品、工件温度很高，在物料运输过程中需严格按照操作规程，佩戴防护用具和穿耐热工作服，防止烫伤。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●生产过程中锻造油压系统间噪音较大，采用隔声措施。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●打磨工段产生粉尘和噪声，操作工人需佩戴专用防护工具并设置收尘设备。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●快锻机操作间玻璃和墙体均采用隔热处理。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●快锻机地下室和油压系统间设置温感、烟感探头及报警系统。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●板带车间设备自带警示标识，防止机械伤害。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●选择先进、成熟、可靠的生产工艺设备，车间合理布置，设备有足够的安全操作空间，留有安全通道。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●精锻机外设保护围栏，当打开围栏的门时，精锻机自动停止工作，可防止精锻机在动作过程中对人员的伤害。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●锻造箱配有过载保护，液压缸测量锻造力，超出最大允许锻造，锤头自动退回。另外，锻造主电机配有过载保护。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●无心车床、卧式车床、带锯床、无心磨床等均配置防碎屑飞溅装置，保护操作者安全。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●物料的运输均采用机械，车间内设专门的安全通道，有利于操作者安全。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●残钛车间内加热炉均以电加热，设高温报警装置。高温、带电区域均设醒目提醒标志。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●车间物料的运输采用起重机、叉车与电动平车（过跨车）的结合方式，降低工人劳动强度。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●各楼板、平台、地坑等均设有防护栏和安全围栏，，且在易伤人、裸露的旋转部分或存在安全隐患的地方加装防护罩、围栏或设置危险标志。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●酸洗工段设计安全阀，设备内衬采用防酸材料，外设保温层，工序设安全冲洗水。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●盐酸储存及卸酸设施系统封闭、槽内衬防酸材料，工序设安全冲洗水。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天然气安全防范措施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●管道材质和附件的选择，根据输送介质流体的工作压力、温度、耐腐蚀等特性设计，其中天然气管道材质选用无缝钢管或焊接钢管，材质</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号钢。蒸汽管道选用无缝钢管材质</w:t>
      </w:r>
      <w:r w:rsidRPr="00677D1F">
        <w:rPr>
          <w:rFonts w:asciiTheme="minorEastAsia" w:hAnsiTheme="minorEastAsia" w:cs="宋体"/>
          <w:color w:val="000000"/>
          <w:kern w:val="0"/>
          <w:sz w:val="24"/>
          <w:szCs w:val="24"/>
        </w:rPr>
        <w:t>20</w:t>
      </w:r>
      <w:r w:rsidRPr="00677D1F">
        <w:rPr>
          <w:rFonts w:asciiTheme="minorEastAsia" w:hAnsiTheme="minorEastAsia" w:cs="宋体" w:hint="eastAsia"/>
          <w:color w:val="000000"/>
          <w:kern w:val="0"/>
          <w:sz w:val="24"/>
          <w:szCs w:val="24"/>
        </w:rPr>
        <w:t>号钢或</w:t>
      </w:r>
      <w:r w:rsidRPr="00677D1F">
        <w:rPr>
          <w:rFonts w:asciiTheme="minorEastAsia" w:hAnsiTheme="minorEastAsia" w:cs="宋体"/>
          <w:color w:val="000000"/>
          <w:kern w:val="0"/>
          <w:sz w:val="24"/>
          <w:szCs w:val="24"/>
        </w:rPr>
        <w:t>Q235A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●天然气管道和蒸汽管道均采用沿墙柱架空敷设。热力管道设置热补偿装置。首先考虑自然补偿，当自然补偿不能满足要求，煤气管道采用补偿器，蒸汽管道采用</w:t>
      </w:r>
      <w:r w:rsidRPr="00677D1F">
        <w:rPr>
          <w:rFonts w:asciiTheme="minorEastAsia" w:hAnsiTheme="minorEastAsia" w:cs="宋体"/>
          <w:color w:val="000000"/>
          <w:kern w:val="0"/>
          <w:sz w:val="24"/>
          <w:szCs w:val="24"/>
        </w:rPr>
        <w:t>П</w:t>
      </w:r>
      <w:r w:rsidRPr="00677D1F">
        <w:rPr>
          <w:rFonts w:asciiTheme="minorEastAsia" w:hAnsiTheme="minorEastAsia" w:cs="宋体" w:hint="eastAsia"/>
          <w:color w:val="000000"/>
          <w:kern w:val="0"/>
          <w:sz w:val="24"/>
          <w:szCs w:val="24"/>
        </w:rPr>
        <w:t>型补偿器。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●厂区天然气管道和吹扫蒸汽管道采用高支架架空敷设，敷设在非燃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烧体的支柱或栈桥上。天然气管道与输送腐蚀性介质管道共架敷设时，天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然气管道架设在上方。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●厂区架空敷设的天然气管道，每隔一定距离设置导除静电的接地设施。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氯气生产系统安全措施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●总图布置在满足防火、防爆及安全标准和规范要求的前提下，尽量采用露天化、集中化和按流程布置，并考虑同类设备相对集中。便于安全生产和检修管理，实现本质安全化。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建筑设计防火规范》和装置生产的火灾危险性分类的不同，进行建筑物的防火设计。装置建筑物的耐火等级按不低于二级设计。有火灾爆炸危险性的生产厂房、设备采用露天布置；建构筑物的结构形式采用钢筋混凝土柱或框架结构，选用材料符合防火防爆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有爆炸危险的甲、乙类厂房宜独立设置，并宜采用敞开或半敞开式。本项目氢气处理的洗涤塔、缓冲罐等设备露天布置，利用自然通风，排除氢气，防止可燃气体聚集；采用先进可靠的电解设备和仪表控制系统，保证电解槽中没有氢气和氯气的混合；保证阳极室及阴极室中压力的控制，保护离子膜不发生破损；电解厂房上设通风器，利用氢气密度远远小于空气的特点，排除氢气，其浓度低于燃爆下限，达到防火的目的；易燃易爆的物质在设备和管路中，必须保持密封，严禁破损、防止与空气形成爆炸性混合物，严格禁止贮槽与火源接触；电气照明和电气设备采用防爆型。在设计中，总图、建筑、结构、自控、电气、工艺设备等专业均按照国家规范标准执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●在有爆炸性气体危险环境内，设置可燃探测器，报警信号通讯至</w:t>
      </w:r>
      <w:r w:rsidRPr="00677D1F">
        <w:rPr>
          <w:rFonts w:asciiTheme="minorEastAsia" w:hAnsiTheme="minorEastAsia" w:cs="宋体"/>
          <w:color w:val="000000"/>
          <w:kern w:val="0"/>
          <w:sz w:val="24"/>
          <w:szCs w:val="24"/>
        </w:rPr>
        <w:t>DCS</w:t>
      </w:r>
      <w:r w:rsidRPr="00677D1F">
        <w:rPr>
          <w:rFonts w:asciiTheme="minorEastAsia" w:hAnsiTheme="minorEastAsia" w:cs="宋体" w:hint="eastAsia"/>
          <w:color w:val="000000"/>
          <w:kern w:val="0"/>
          <w:sz w:val="24"/>
          <w:szCs w:val="24"/>
        </w:rPr>
        <w:t>中控室</w:t>
      </w:r>
      <w:r w:rsidRPr="00677D1F">
        <w:rPr>
          <w:rFonts w:asciiTheme="minorEastAsia" w:hAnsiTheme="minorEastAsia" w:cs="宋体"/>
          <w:color w:val="000000"/>
          <w:kern w:val="0"/>
          <w:sz w:val="24"/>
          <w:szCs w:val="24"/>
        </w:rPr>
        <w:t>FGDS</w:t>
      </w:r>
      <w:r w:rsidRPr="00677D1F">
        <w:rPr>
          <w:rFonts w:asciiTheme="minorEastAsia" w:hAnsiTheme="minorEastAsia" w:cs="宋体" w:hint="eastAsia"/>
          <w:color w:val="000000"/>
          <w:kern w:val="0"/>
          <w:sz w:val="24"/>
          <w:szCs w:val="24"/>
        </w:rPr>
        <w:t>系统，实行全天候监控。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●防静电措施：化工装置防静电符合《化工企业静电接地设计规程》（</w:t>
      </w:r>
      <w:r w:rsidRPr="00677D1F">
        <w:rPr>
          <w:rFonts w:asciiTheme="minorEastAsia" w:hAnsiTheme="minorEastAsia" w:cs="宋体"/>
          <w:color w:val="000000"/>
          <w:kern w:val="0"/>
          <w:sz w:val="24"/>
          <w:szCs w:val="24"/>
        </w:rPr>
        <w:t>HG/T20675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1990</w:t>
      </w:r>
      <w:r w:rsidRPr="00677D1F">
        <w:rPr>
          <w:rFonts w:asciiTheme="minorEastAsia" w:hAnsiTheme="minorEastAsia" w:cs="宋体" w:hint="eastAsia"/>
          <w:color w:val="000000"/>
          <w:kern w:val="0"/>
          <w:sz w:val="24"/>
          <w:szCs w:val="24"/>
        </w:rPr>
        <w:t>）的规定。具有火灾、爆炸危险的场所，所有的金属用具、设备部件均设计接地。对产生静电的工作场所，配置个人防静电防护用品及静电检测仪。</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●防雷措施：有火灾、爆炸危险生产装置设计防直击雷设施和静电接地网，对平行布置间距小于</w:t>
      </w:r>
      <w:r w:rsidRPr="00677D1F">
        <w:rPr>
          <w:rFonts w:asciiTheme="minorEastAsia" w:hAnsiTheme="minorEastAsia" w:cs="宋体"/>
          <w:color w:val="000000"/>
          <w:kern w:val="0"/>
          <w:sz w:val="24"/>
          <w:szCs w:val="24"/>
        </w:rPr>
        <w:t>100mm</w:t>
      </w:r>
      <w:r w:rsidRPr="00677D1F">
        <w:rPr>
          <w:rFonts w:asciiTheme="minorEastAsia" w:hAnsiTheme="minorEastAsia" w:cs="宋体" w:hint="eastAsia"/>
          <w:color w:val="000000"/>
          <w:kern w:val="0"/>
          <w:sz w:val="24"/>
          <w:szCs w:val="24"/>
        </w:rPr>
        <w:t>金属管道或交叉距离小于</w:t>
      </w:r>
      <w:r w:rsidRPr="00677D1F">
        <w:rPr>
          <w:rFonts w:asciiTheme="minorEastAsia" w:hAnsiTheme="minorEastAsia" w:cs="宋体"/>
          <w:color w:val="000000"/>
          <w:kern w:val="0"/>
          <w:sz w:val="24"/>
          <w:szCs w:val="24"/>
        </w:rPr>
        <w:t>100mm</w:t>
      </w:r>
      <w:r w:rsidRPr="00677D1F">
        <w:rPr>
          <w:rFonts w:asciiTheme="minorEastAsia" w:hAnsiTheme="minorEastAsia" w:cs="宋体" w:hint="eastAsia"/>
          <w:color w:val="000000"/>
          <w:kern w:val="0"/>
          <w:sz w:val="24"/>
          <w:szCs w:val="24"/>
        </w:rPr>
        <w:t>的金属管设计防雷电感应装置。架空管道以及变配电装置低压供电线路终端，设计防雷电波侵入的防护措施。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●所有的有毒有害物均在密闭的设备或管道中运行，正常情况下无有毒有害物的泄漏。加强维护与管理，严禁跑、冒、滴、露现象的发生。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●采用先进的</w:t>
      </w:r>
      <w:r w:rsidRPr="00677D1F">
        <w:rPr>
          <w:rFonts w:asciiTheme="minorEastAsia" w:hAnsiTheme="minorEastAsia" w:cs="宋体"/>
          <w:color w:val="000000"/>
          <w:kern w:val="0"/>
          <w:sz w:val="24"/>
          <w:szCs w:val="24"/>
        </w:rPr>
        <w:t>DCS</w:t>
      </w:r>
      <w:r w:rsidRPr="00677D1F">
        <w:rPr>
          <w:rFonts w:asciiTheme="minorEastAsia" w:hAnsiTheme="minorEastAsia" w:cs="宋体" w:hint="eastAsia"/>
          <w:color w:val="000000"/>
          <w:kern w:val="0"/>
          <w:sz w:val="24"/>
          <w:szCs w:val="24"/>
        </w:rPr>
        <w:t>控制技术。操作人员在控制室内对生产进行集中监控，对安全生产密切相关的参数进行自动分析、自动调节和自动报警，确保了生产安全。采用完善的仪表控制系统，对温度、压力、流量、配比等参数进行监控、报警，设置报警连锁和快速切断设施，保证生产安全运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●生产系统一旦出现异常现象或发生剧毒物泄漏事故时，应通过自控联锁装置启动紧急停车并自动切断所有进出生产装置的物料，将事故部位的有毒气体排至处理系统。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化学危险物品必须储存在专用仓库、专用场地或专用储存室（柜）内，并设专人管理。如本项目碳酸钠、三氯化铁（中度危害）虽用量较小，但考虑到其毒性会带来人身危害，设计中单独设储存库，对其使用制定严格的管理条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化验工采样分析时，应根据不同的介质配带相应的手套、防毒面具、防护服等防护用品。防止逸出剧毒物中毒。接触有毒有害物的工作岗位配备空气呼吸器及防毒面具等防护器材，接触硫酸、盐酸、液碱的岗位设事故冲洗装置，事故状态时保证操作工的安全。</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8.6.1.4</w:t>
      </w:r>
      <w:r w:rsidRPr="00677D1F">
        <w:rPr>
          <w:rFonts w:ascii="宋体" w:eastAsia="宋体" w:hAnsi="宋体" w:cs="宋体" w:hint="eastAsia"/>
          <w:b/>
          <w:bCs/>
          <w:color w:val="000000"/>
          <w:kern w:val="0"/>
          <w:sz w:val="24"/>
          <w:szCs w:val="24"/>
        </w:rPr>
        <w:t>自动控制设计安全防范措施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在生产车间设置完整的检测控制仪表，在控制系统方面，采用</w:t>
      </w:r>
      <w:r w:rsidRPr="00677D1F">
        <w:rPr>
          <w:rFonts w:asciiTheme="minorEastAsia" w:hAnsiTheme="minorEastAsia" w:cs="宋体"/>
          <w:color w:val="000000"/>
          <w:kern w:val="0"/>
          <w:sz w:val="24"/>
          <w:szCs w:val="24"/>
        </w:rPr>
        <w:t>DCS</w:t>
      </w:r>
      <w:r w:rsidRPr="00677D1F">
        <w:rPr>
          <w:rFonts w:asciiTheme="minorEastAsia" w:hAnsiTheme="minorEastAsia" w:cs="宋体" w:hint="eastAsia"/>
          <w:color w:val="000000"/>
          <w:kern w:val="0"/>
          <w:sz w:val="24"/>
          <w:szCs w:val="24"/>
        </w:rPr>
        <w:t>系统或</w:t>
      </w:r>
      <w:r w:rsidRPr="00677D1F">
        <w:rPr>
          <w:rFonts w:asciiTheme="minorEastAsia" w:hAnsiTheme="minorEastAsia" w:cs="宋体"/>
          <w:color w:val="000000"/>
          <w:kern w:val="0"/>
          <w:sz w:val="24"/>
          <w:szCs w:val="24"/>
        </w:rPr>
        <w:t>PLC</w:t>
      </w:r>
      <w:r w:rsidRPr="00677D1F">
        <w:rPr>
          <w:rFonts w:asciiTheme="minorEastAsia" w:hAnsiTheme="minorEastAsia" w:cs="宋体" w:hint="eastAsia"/>
          <w:color w:val="000000"/>
          <w:kern w:val="0"/>
          <w:sz w:val="24"/>
          <w:szCs w:val="24"/>
        </w:rPr>
        <w:t>系统对生产过程数据进行采集、运算、控制、报警、记录，并在中央控制室集中进行监视和操作。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本工程对工艺设备的主要运行参数，设置了必要的仪表检测装置、自动调节系统，并有可靠的报警联锁保护</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能确保机组的安全经济运行。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●氯化原料库：干燥器冷水管出口水量断流报警。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车间：车间循环进水总管温度、压力显示报警；车间干燥压缩空气进气总管温度、压力显示报警；氯气进气总管温度、压力显示报警；蒸发氯气进气总管温度、压力显示报警；四氯化钛高位槽料位显示报警；呼吸罐料位显示报警；钛渣、焦碳料仓重量显示、报警、累积并联锁启</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停进料闸阀；氯化炉顶部混合气体温度、压力显示报警；氯化炉内物熔化温度显示报警；氯化车间循环矿浆罐泵出口压力显示报警；氯化车间底流槽泵出口压力显示报警；氯化车间喷射装置罐左侧料位显示报警；氯化车间底流槽料位显示报警；氯化车间中间槽料位显示报警；氯化炉料仓料位显示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及精制尾气处理：换热器冷却回水断流报警；高位槽料位显示、报警并联锁进液开关阀；循环槽料位显示报警；碱液循环槽料位显示报警；水洗循环槽料位显示报警；酸储槽料位显示报警；盐酸储槽料位显示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●液氯贮库：液氯储罐压力的显示报警；氯气缓冲罐出口总管氯气压力显示报警。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●冷冻站：各低温盐水机出口循环水断流报警。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还蒸车间：还原电炉冷却循环水出水流量、温度显示报警；固定液位槽入口四氯化钛的压力显示报警；固定液位槽液位检测，高低液位报警；四氯化钛储罐液位显示报警；四氯化钛储罐内压力显示报警；四氯化钛储罐内氩气中氧含量显示报警；车间氩气总管压力显示报警；车间压缩空气总管压力显示报警；炉冷却冷却水出水各支管的流量检测，低流量报警；还原剂接收罐下的氩气管出口压力检测，高低报警；氩气净化罐出口压力检测，高低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●海绵钛加工车间：海绵钛切片机冷却回水管温度显示报警；加工线海绵钛收集箱料位显示报警。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●镁电解</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镁精炼车间：头槽冷却循环水出水管线上温度显示报警；镁电解流水线槽底部温度检测、报警及联锁；分离槽内熔液温度检测、报警及控制；头槽冷却循环水进水管线上压力显示报警；分离槽干燥空气进气管线上压力检测、报警及联锁；粗镁真空台包内液位显示报警；多功能真空台包内液位显示报警；槽内液位检测、报警及联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●氯压机室：车间内泄漏氯气浓度的在线检测及报警，一旦超高限，立即启动保护联锁装置。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●氯气生产系统：</w:t>
      </w: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效</w:t>
      </w:r>
      <w:r w:rsidRPr="00677D1F">
        <w:rPr>
          <w:rFonts w:asciiTheme="minorEastAsia" w:hAnsiTheme="minorEastAsia" w:cs="宋体"/>
          <w:color w:val="000000"/>
          <w:kern w:val="0"/>
          <w:sz w:val="24"/>
          <w:szCs w:val="24"/>
        </w:rPr>
        <w:t>~III</w:t>
      </w:r>
      <w:r w:rsidRPr="00677D1F">
        <w:rPr>
          <w:rFonts w:asciiTheme="minorEastAsia" w:hAnsiTheme="minorEastAsia" w:cs="宋体" w:hint="eastAsia"/>
          <w:color w:val="000000"/>
          <w:kern w:val="0"/>
          <w:sz w:val="24"/>
          <w:szCs w:val="24"/>
        </w:rPr>
        <w:t>效降膜蒸发器压力、温度高低报警；降膜浓缩器压力、温度高低报警；液氯储槽压力、温度高报警；离子膜电解槽压力、温度高低报警；滤液槽、预处理器温度高低报警；滤液槽、碱液高位槽、淡盐水槽、阳</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阴极液排放槽、液氯储槽、尾气洗涤循环槽液位高低报警；车间操作区域空气中</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含量高报警；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●空压站：空压机排水管断流报警。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●循环水：水池液位高低报警。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（3）在氯气生产车间尾气烟囱处设置</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在线监测仪、</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在线监测仪和粉尘在线监测仪，实时监测排放的处理后烟气中</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及粉尘的含量。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（4）液氯储罐区域必须设置</w:t>
      </w:r>
      <w:r w:rsidRPr="00677D1F">
        <w:rPr>
          <w:rFonts w:asciiTheme="minorEastAsia" w:hAnsiTheme="minorEastAsia" w:cs="宋体"/>
          <w:color w:val="000000"/>
          <w:kern w:val="0"/>
          <w:sz w:val="24"/>
          <w:szCs w:val="24"/>
        </w:rPr>
        <w:t>SIS</w:t>
      </w:r>
      <w:r w:rsidRPr="00677D1F">
        <w:rPr>
          <w:rFonts w:asciiTheme="minorEastAsia" w:hAnsiTheme="minorEastAsia" w:cs="宋体" w:hint="eastAsia"/>
          <w:color w:val="000000"/>
          <w:kern w:val="0"/>
          <w:sz w:val="24"/>
          <w:szCs w:val="24"/>
        </w:rPr>
        <w:t>系统，即安全仪表系统。有</w:t>
      </w:r>
      <w:r w:rsidRPr="00677D1F">
        <w:rPr>
          <w:rFonts w:asciiTheme="minorEastAsia" w:hAnsiTheme="minorEastAsia" w:cs="宋体"/>
          <w:color w:val="000000"/>
          <w:kern w:val="0"/>
          <w:sz w:val="24"/>
          <w:szCs w:val="24"/>
        </w:rPr>
        <w:t>SIS</w:t>
      </w:r>
      <w:r w:rsidRPr="00677D1F">
        <w:rPr>
          <w:rFonts w:asciiTheme="minorEastAsia" w:hAnsiTheme="minorEastAsia" w:cs="宋体" w:hint="eastAsia"/>
          <w:color w:val="000000"/>
          <w:kern w:val="0"/>
          <w:sz w:val="24"/>
          <w:szCs w:val="24"/>
        </w:rPr>
        <w:t>对液氯罐区的紧急通风等安全设备进行控制。</w:t>
      </w:r>
      <w:r w:rsidRPr="00677D1F">
        <w:rPr>
          <w:rFonts w:asciiTheme="minorEastAsia" w:hAnsiTheme="minorEastAsia" w:cs="宋体"/>
          <w:color w:val="000000"/>
          <w:kern w:val="0"/>
          <w:sz w:val="24"/>
          <w:szCs w:val="24"/>
        </w:rPr>
        <w:t>SIS</w:t>
      </w:r>
      <w:r w:rsidRPr="00677D1F">
        <w:rPr>
          <w:rFonts w:asciiTheme="minorEastAsia" w:hAnsiTheme="minorEastAsia" w:cs="宋体" w:hint="eastAsia"/>
          <w:color w:val="000000"/>
          <w:kern w:val="0"/>
          <w:sz w:val="24"/>
          <w:szCs w:val="24"/>
        </w:rPr>
        <w:t>独立于</w:t>
      </w:r>
      <w:r w:rsidRPr="00677D1F">
        <w:rPr>
          <w:rFonts w:asciiTheme="minorEastAsia" w:hAnsiTheme="minorEastAsia" w:cs="宋体"/>
          <w:color w:val="000000"/>
          <w:kern w:val="0"/>
          <w:sz w:val="24"/>
          <w:szCs w:val="24"/>
        </w:rPr>
        <w:t>DCS</w:t>
      </w:r>
      <w:r w:rsidRPr="00677D1F">
        <w:rPr>
          <w:rFonts w:asciiTheme="minorEastAsia" w:hAnsiTheme="minorEastAsia" w:cs="宋体" w:hint="eastAsia"/>
          <w:color w:val="000000"/>
          <w:kern w:val="0"/>
          <w:sz w:val="24"/>
          <w:szCs w:val="24"/>
        </w:rPr>
        <w:t>，通过交换机与</w:t>
      </w:r>
      <w:r w:rsidRPr="00677D1F">
        <w:rPr>
          <w:rFonts w:asciiTheme="minorEastAsia" w:hAnsiTheme="minorEastAsia" w:cs="宋体"/>
          <w:color w:val="000000"/>
          <w:kern w:val="0"/>
          <w:sz w:val="24"/>
          <w:szCs w:val="24"/>
        </w:rPr>
        <w:t>DCS</w:t>
      </w:r>
      <w:r w:rsidRPr="00677D1F">
        <w:rPr>
          <w:rFonts w:asciiTheme="minorEastAsia" w:hAnsiTheme="minorEastAsia" w:cs="宋体" w:hint="eastAsia"/>
          <w:color w:val="000000"/>
          <w:kern w:val="0"/>
          <w:sz w:val="24"/>
          <w:szCs w:val="24"/>
        </w:rPr>
        <w:t>进行数据通讯。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（5）厂内设有紧急救援站、浴室等辅助用室，工段内设有更衣室和休息室，并按照相应规范要求配备必须的设施及设备，紧急救援站内配备苏生器、急救箱、担架、洗眼器等应急救援器材。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（6）检测报警器配备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为确保人身和生产设备安全，在氯化、精制、镁电解等厂房内设置一定数量的有毒气体</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检测报警器见表</w:t>
      </w:r>
      <w:r w:rsidRPr="00677D1F">
        <w:rPr>
          <w:rFonts w:asciiTheme="minorEastAsia" w:hAnsiTheme="minorEastAsia" w:cs="宋体"/>
          <w:color w:val="000000"/>
          <w:kern w:val="0"/>
          <w:sz w:val="24"/>
          <w:szCs w:val="24"/>
        </w:rPr>
        <w:t>8.6-1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表8.6-1有毒气体（HCl、Cl2）检测报警器配备一览表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8.6.1.5</w:t>
      </w:r>
      <w:r w:rsidRPr="00677D1F">
        <w:rPr>
          <w:rFonts w:ascii="宋体" w:eastAsia="宋体" w:hAnsi="宋体" w:cs="宋体" w:hint="eastAsia"/>
          <w:b/>
          <w:bCs/>
          <w:color w:val="000000"/>
          <w:kern w:val="0"/>
          <w:sz w:val="24"/>
          <w:szCs w:val="24"/>
        </w:rPr>
        <w:t>电气、电讯安全防范措施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）采用双回路双变压器供电，仪表负荷、事故照明、消防报警等按一类负荷设计。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根据装置原料及产品的特点。按《爆炸和火灾危险环境电力装置设计规范》选用电气设备，全厂可能产生静电的设备、管道等均采取防静电接地措施，电气防静电接地与保护接地公用接地装置，有关设备、管道接在接地干线上。在较高建筑、构筑物上设避雷装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）应急照明由应急电源装置不间断供电，部分装置设有局部照明和检修照明，爆炸危险场所配防爆灯具、防爆开关，并在各主要装置、太平门设火灾疏散标志。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）值班室内设置消防报警外线电话及与工厂安全相关生产相关重要设施、储罐区消防值班室之间的消防之通电话。</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）电气设计均按环境要求选择相应等级的</w:t>
      </w:r>
      <w:r w:rsidRPr="00677D1F">
        <w:rPr>
          <w:rFonts w:asciiTheme="minorEastAsia" w:hAnsiTheme="minorEastAsia" w:cs="宋体"/>
          <w:color w:val="000000"/>
          <w:kern w:val="0"/>
          <w:sz w:val="24"/>
          <w:szCs w:val="24"/>
        </w:rPr>
        <w:t>F1</w:t>
      </w:r>
      <w:r w:rsidRPr="00677D1F">
        <w:rPr>
          <w:rFonts w:asciiTheme="minorEastAsia" w:hAnsiTheme="minorEastAsia" w:cs="宋体" w:hint="eastAsia"/>
          <w:color w:val="000000"/>
          <w:kern w:val="0"/>
          <w:sz w:val="24"/>
          <w:szCs w:val="24"/>
        </w:rPr>
        <w:t>级防腐型和户外级防腐型动力及照明电气设备。根据车间的不同环境特性，选用防腐、防水、防尘的电气设备，并设置防雷、防静电设施和接地保护。在设计中应强调执行《电气装置安装工程施工和验收规范》</w:t>
      </w:r>
      <w:r w:rsidRPr="00677D1F">
        <w:rPr>
          <w:rFonts w:asciiTheme="minorEastAsia" w:hAnsiTheme="minorEastAsia" w:cs="宋体"/>
          <w:color w:val="000000"/>
          <w:kern w:val="0"/>
          <w:sz w:val="24"/>
          <w:szCs w:val="24"/>
        </w:rPr>
        <w:t>GB50254-96</w:t>
      </w:r>
      <w:r w:rsidRPr="00677D1F">
        <w:rPr>
          <w:rFonts w:asciiTheme="minorEastAsia" w:hAnsiTheme="minorEastAsia" w:cs="宋体" w:hint="eastAsia"/>
          <w:color w:val="000000"/>
          <w:kern w:val="0"/>
          <w:sz w:val="24"/>
          <w:szCs w:val="24"/>
        </w:rPr>
        <w:t>等的要求，确保工程建成后电气安全符合要求。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供电变压器、配电箱开关等设施外壳，除接零外还应设置可靠的触电保护接地装置及安全围栏，并在现场挂警示标志。配电室必须设置挡鼠板及金属网，以防飞行物、小动物进入室内。地下电缆沟应设支撑架，用沙填埋；电缆使用带钢甲电缆。沿地面或低支架敷设的管道，不应环绕工艺装置或罐组四周布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）在爆炸危险区域内选用防爆型电气、仪表及通信设备；所有可能产生爆炸危险和产生静电的设备及管道均设有防静电接地设施；装置区内建、构筑物的防</w:t>
      </w:r>
      <w:r w:rsidRPr="00677D1F">
        <w:rPr>
          <w:rFonts w:asciiTheme="minorEastAsia" w:hAnsiTheme="minorEastAsia" w:cs="宋体" w:hint="eastAsia"/>
          <w:color w:val="000000"/>
          <w:kern w:val="0"/>
          <w:sz w:val="24"/>
          <w:szCs w:val="24"/>
        </w:rPr>
        <w:lastRenderedPageBreak/>
        <w:t>雷保护按《建筑物防雷设计规范》设计；不同区域的照明设施将根据不同环境特点，选用防爆、防水、防尘或普通型灯具。</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8.6.1.6</w:t>
      </w:r>
      <w:r w:rsidRPr="00677D1F">
        <w:rPr>
          <w:rFonts w:ascii="宋体" w:eastAsia="宋体" w:hAnsi="宋体" w:cs="宋体" w:hint="eastAsia"/>
          <w:b/>
          <w:bCs/>
          <w:color w:val="000000"/>
          <w:kern w:val="0"/>
          <w:sz w:val="24"/>
          <w:szCs w:val="24"/>
        </w:rPr>
        <w:t>消防及火灾报警系统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）室外消防给水管网按环状独立敷设，观望压力不小于</w:t>
      </w:r>
      <w:r w:rsidRPr="00677D1F">
        <w:rPr>
          <w:rFonts w:asciiTheme="minorEastAsia" w:hAnsiTheme="minorEastAsia" w:cs="宋体"/>
          <w:color w:val="000000"/>
          <w:kern w:val="0"/>
          <w:sz w:val="24"/>
          <w:szCs w:val="24"/>
        </w:rPr>
        <w:t>0.9Mpa</w:t>
      </w:r>
      <w:r w:rsidRPr="00677D1F">
        <w:rPr>
          <w:rFonts w:asciiTheme="minorEastAsia" w:hAnsiTheme="minorEastAsia" w:cs="宋体" w:hint="eastAsia"/>
          <w:color w:val="000000"/>
          <w:kern w:val="0"/>
          <w:sz w:val="24"/>
          <w:szCs w:val="24"/>
        </w:rPr>
        <w:t>管网上设有室内外消火栓、消防水炮（枪）消防冷却水喷淋等。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）依据《建筑灭火器配置设计规范》</w:t>
      </w:r>
      <w:r w:rsidRPr="00677D1F">
        <w:rPr>
          <w:rFonts w:asciiTheme="minorEastAsia" w:hAnsiTheme="minorEastAsia" w:cs="宋体"/>
          <w:color w:val="000000"/>
          <w:kern w:val="0"/>
          <w:sz w:val="24"/>
          <w:szCs w:val="24"/>
        </w:rPr>
        <w:t>GBJ140-90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1997</w:t>
      </w:r>
      <w:r w:rsidRPr="00677D1F">
        <w:rPr>
          <w:rFonts w:asciiTheme="minorEastAsia" w:hAnsiTheme="minorEastAsia" w:cs="宋体" w:hint="eastAsia"/>
          <w:color w:val="000000"/>
          <w:kern w:val="0"/>
          <w:sz w:val="24"/>
          <w:szCs w:val="24"/>
        </w:rPr>
        <w:t>版），在厂区及厂前区的生产及辅助设施内设置移动式磷酸铵盐灭火器。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依据相应法律及规范，对以下车间实施消防控制，即设置区域火灾自动报警系统设置见表</w:t>
      </w:r>
      <w:r w:rsidRPr="00677D1F">
        <w:rPr>
          <w:rFonts w:asciiTheme="minorEastAsia" w:hAnsiTheme="minorEastAsia" w:cs="宋体"/>
          <w:color w:val="000000"/>
          <w:kern w:val="0"/>
          <w:sz w:val="24"/>
          <w:szCs w:val="24"/>
        </w:rPr>
        <w:t>8.6-2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表8.6-2火灾自动报警系统</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8.6.1.7</w:t>
      </w:r>
      <w:r w:rsidRPr="00677D1F">
        <w:rPr>
          <w:rFonts w:ascii="宋体" w:eastAsia="宋体" w:hAnsi="宋体" w:cs="宋体" w:hint="eastAsia"/>
          <w:b/>
          <w:bCs/>
          <w:color w:val="000000"/>
          <w:kern w:val="0"/>
          <w:sz w:val="24"/>
          <w:szCs w:val="24"/>
        </w:rPr>
        <w:t>全厂事故、消防水设置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事故污水收集系统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防范和控制污水处理设施、项目工艺装置和罐区等发生事故时，在事故处理过程中产生的污水、泄漏的物料以及消防水对周边水体环境造成污染，降低环境风险，设置事故水池一座。事故水池为钢筋混凝土结构，有效容积</w:t>
      </w:r>
      <w:r w:rsidRPr="00677D1F">
        <w:rPr>
          <w:rFonts w:asciiTheme="minorEastAsia" w:hAnsiTheme="minorEastAsia" w:cs="宋体"/>
          <w:color w:val="000000"/>
          <w:kern w:val="0"/>
          <w:sz w:val="24"/>
          <w:szCs w:val="24"/>
        </w:rPr>
        <w:t>5514m3</w:t>
      </w:r>
      <w:r w:rsidRPr="00677D1F">
        <w:rPr>
          <w:rFonts w:asciiTheme="minorEastAsia" w:hAnsiTheme="minorEastAsia" w:cs="宋体" w:hint="eastAsia"/>
          <w:color w:val="000000"/>
          <w:kern w:val="0"/>
          <w:sz w:val="24"/>
          <w:szCs w:val="24"/>
        </w:rPr>
        <w:t>。根据《化工建设项目环境保护设计规范》</w:t>
      </w:r>
      <w:r w:rsidRPr="00677D1F">
        <w:rPr>
          <w:rFonts w:asciiTheme="minorEastAsia" w:hAnsiTheme="minorEastAsia" w:cs="宋体"/>
          <w:color w:val="000000"/>
          <w:kern w:val="0"/>
          <w:sz w:val="24"/>
          <w:szCs w:val="24"/>
        </w:rPr>
        <w:t>（GB50483-2009）</w:t>
      </w:r>
      <w:r w:rsidRPr="00677D1F">
        <w:rPr>
          <w:rFonts w:asciiTheme="minorEastAsia" w:hAnsiTheme="minorEastAsia" w:cs="宋体" w:hint="eastAsia"/>
          <w:color w:val="000000"/>
          <w:kern w:val="0"/>
          <w:sz w:val="24"/>
          <w:szCs w:val="24"/>
        </w:rPr>
        <w:t>相关内容，要求事故水池为地下式。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发生事故时，待处理的污水、工艺装置区或储罐区围堰内的物料及受污染的消防水全部由废水管道收集后贮存于事故水池内，以防止对周边水体环境造成污染及危害。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事故水池容积的合理性分析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根据《水体污染防控紧急措施设计导则》，事故储存设施总有效容积：</w:t>
      </w:r>
    </w:p>
    <w:p w:rsidR="00D228BE" w:rsidRPr="00677D1F" w:rsidRDefault="00332EB6" w:rsidP="00677D1F">
      <w:pPr>
        <w:widowControl/>
        <w:spacing w:line="360" w:lineRule="auto"/>
        <w:contextualSpacing/>
        <w:jc w:val="center"/>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w:t>
      </w:r>
      <w:r w:rsidRPr="00677D1F">
        <w:rPr>
          <w:rFonts w:asciiTheme="minorEastAsia" w:hAnsiTheme="minorEastAsia" w:cs="宋体" w:hint="eastAsia"/>
          <w:color w:val="000000"/>
          <w:kern w:val="0"/>
          <w:sz w:val="24"/>
          <w:szCs w:val="24"/>
        </w:rPr>
        <w:t>总</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V1+V2-V3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max+V4+V5</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注：</w:t>
      </w:r>
      <w:r w:rsidRPr="00677D1F">
        <w:rPr>
          <w:rFonts w:asciiTheme="minorEastAsia" w:hAnsiTheme="minorEastAsia" w:cs="宋体"/>
          <w:color w:val="000000"/>
          <w:kern w:val="0"/>
          <w:sz w:val="24"/>
          <w:szCs w:val="24"/>
        </w:rPr>
        <w:t>V1——</w:t>
      </w:r>
      <w:r w:rsidRPr="00677D1F">
        <w:rPr>
          <w:rFonts w:asciiTheme="minorEastAsia" w:hAnsiTheme="minorEastAsia" w:cs="宋体" w:hint="eastAsia"/>
          <w:color w:val="000000"/>
          <w:kern w:val="0"/>
          <w:sz w:val="24"/>
          <w:szCs w:val="24"/>
        </w:rPr>
        <w:t>收集系统范围内发生事故的一个罐组或一套装置的物料量。</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V2——</w:t>
      </w:r>
      <w:r w:rsidRPr="00677D1F">
        <w:rPr>
          <w:rFonts w:asciiTheme="minorEastAsia" w:hAnsiTheme="minorEastAsia" w:cs="宋体" w:hint="eastAsia"/>
          <w:color w:val="000000"/>
          <w:kern w:val="0"/>
          <w:sz w:val="24"/>
          <w:szCs w:val="24"/>
        </w:rPr>
        <w:t>发生事故的储罐或装置的消防水量，</w:t>
      </w:r>
      <w:r w:rsidRPr="00677D1F">
        <w:rPr>
          <w:rFonts w:asciiTheme="minorEastAsia" w:hAnsiTheme="minorEastAsia" w:cs="宋体"/>
          <w:color w:val="000000"/>
          <w:kern w:val="0"/>
          <w:sz w:val="24"/>
          <w:szCs w:val="24"/>
        </w:rPr>
        <w:t>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V2=∑Q</w:t>
      </w:r>
      <w:r w:rsidRPr="00677D1F">
        <w:rPr>
          <w:rFonts w:asciiTheme="minorEastAsia" w:hAnsiTheme="minorEastAsia" w:cs="宋体" w:hint="eastAsia"/>
          <w:color w:val="000000"/>
          <w:kern w:val="0"/>
          <w:sz w:val="24"/>
          <w:szCs w:val="24"/>
        </w:rPr>
        <w:t>消</w:t>
      </w:r>
      <w:r w:rsidRPr="00677D1F">
        <w:rPr>
          <w:rFonts w:asciiTheme="minorEastAsia" w:hAnsiTheme="minorEastAsia" w:cs="宋体"/>
          <w:color w:val="000000"/>
          <w:kern w:val="0"/>
          <w:sz w:val="24"/>
          <w:szCs w:val="24"/>
        </w:rPr>
        <w:t>t</w:t>
      </w:r>
      <w:r w:rsidRPr="00677D1F">
        <w:rPr>
          <w:rFonts w:asciiTheme="minorEastAsia" w:hAnsiTheme="minorEastAsia" w:cs="宋体" w:hint="eastAsia"/>
          <w:color w:val="000000"/>
          <w:kern w:val="0"/>
          <w:sz w:val="24"/>
          <w:szCs w:val="24"/>
        </w:rPr>
        <w:t>消</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w:t>
      </w:r>
      <w:r w:rsidRPr="00677D1F">
        <w:rPr>
          <w:rFonts w:asciiTheme="minorEastAsia" w:hAnsiTheme="minorEastAsia" w:cs="宋体" w:hint="eastAsia"/>
          <w:color w:val="000000"/>
          <w:kern w:val="0"/>
          <w:sz w:val="24"/>
          <w:szCs w:val="24"/>
        </w:rPr>
        <w:t>消</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发生事故的储罐或装置的同时使用的消防设施给水流量，</w:t>
      </w:r>
      <w:r w:rsidRPr="00677D1F">
        <w:rPr>
          <w:rFonts w:asciiTheme="minorEastAsia" w:hAnsiTheme="minorEastAsia" w:cs="宋体"/>
          <w:color w:val="000000"/>
          <w:kern w:val="0"/>
          <w:sz w:val="24"/>
          <w:szCs w:val="24"/>
        </w:rPr>
        <w:t>m3/h</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t</w:t>
      </w:r>
      <w:r w:rsidRPr="00677D1F">
        <w:rPr>
          <w:rFonts w:asciiTheme="minorEastAsia" w:hAnsiTheme="minorEastAsia" w:cs="宋体" w:hint="eastAsia"/>
          <w:color w:val="000000"/>
          <w:kern w:val="0"/>
          <w:sz w:val="24"/>
          <w:szCs w:val="24"/>
        </w:rPr>
        <w:t>消</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消防设施对应的设计消防历时，</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V3——</w:t>
      </w:r>
      <w:r w:rsidRPr="00677D1F">
        <w:rPr>
          <w:rFonts w:asciiTheme="minorEastAsia" w:hAnsiTheme="minorEastAsia" w:cs="宋体" w:hint="eastAsia"/>
          <w:color w:val="000000"/>
          <w:kern w:val="0"/>
          <w:sz w:val="24"/>
          <w:szCs w:val="24"/>
        </w:rPr>
        <w:t>发生事故时可以转输到其他储存或处理设施的物料量，</w:t>
      </w:r>
      <w:r w:rsidRPr="00677D1F">
        <w:rPr>
          <w:rFonts w:asciiTheme="minorEastAsia" w:hAnsiTheme="minorEastAsia" w:cs="宋体"/>
          <w:color w:val="000000"/>
          <w:kern w:val="0"/>
          <w:sz w:val="24"/>
          <w:szCs w:val="24"/>
        </w:rPr>
        <w:t>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V4——</w:t>
      </w:r>
      <w:r w:rsidRPr="00677D1F">
        <w:rPr>
          <w:rFonts w:asciiTheme="minorEastAsia" w:hAnsiTheme="minorEastAsia" w:cs="宋体" w:hint="eastAsia"/>
          <w:color w:val="000000"/>
          <w:kern w:val="0"/>
          <w:sz w:val="24"/>
          <w:szCs w:val="24"/>
        </w:rPr>
        <w:t>发生事故时仍必须进入该收集系统的生产废水量，</w:t>
      </w:r>
      <w:r w:rsidRPr="00677D1F">
        <w:rPr>
          <w:rFonts w:asciiTheme="minorEastAsia" w:hAnsiTheme="minorEastAsia" w:cs="宋体"/>
          <w:color w:val="000000"/>
          <w:kern w:val="0"/>
          <w:sz w:val="24"/>
          <w:szCs w:val="24"/>
        </w:rPr>
        <w:t>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V5——</w:t>
      </w:r>
      <w:r w:rsidRPr="00677D1F">
        <w:rPr>
          <w:rFonts w:asciiTheme="minorEastAsia" w:hAnsiTheme="minorEastAsia" w:cs="宋体" w:hint="eastAsia"/>
          <w:color w:val="000000"/>
          <w:kern w:val="0"/>
          <w:sz w:val="24"/>
          <w:szCs w:val="24"/>
        </w:rPr>
        <w:t>发生事故时可能进入该收集系统的降雨量，</w:t>
      </w:r>
      <w:r w:rsidRPr="00677D1F">
        <w:rPr>
          <w:rFonts w:asciiTheme="minorEastAsia" w:hAnsiTheme="minorEastAsia" w:cs="宋体"/>
          <w:color w:val="000000"/>
          <w:kern w:val="0"/>
          <w:sz w:val="24"/>
          <w:szCs w:val="24"/>
        </w:rPr>
        <w:t>m3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V5=10qF</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w:t>
      </w:r>
      <w:r w:rsidRPr="00677D1F">
        <w:rPr>
          <w:rFonts w:asciiTheme="minorEastAsia" w:hAnsiTheme="minorEastAsia" w:cs="宋体" w:hint="eastAsia"/>
          <w:color w:val="000000"/>
          <w:kern w:val="0"/>
          <w:sz w:val="24"/>
          <w:szCs w:val="24"/>
        </w:rPr>
        <w:t>降雨强度，</w:t>
      </w:r>
      <w:r w:rsidRPr="00677D1F">
        <w:rPr>
          <w:rFonts w:asciiTheme="minorEastAsia" w:hAnsiTheme="minorEastAsia" w:cs="宋体"/>
          <w:color w:val="000000"/>
          <w:kern w:val="0"/>
          <w:sz w:val="24"/>
          <w:szCs w:val="24"/>
        </w:rPr>
        <w:t>mm</w:t>
      </w:r>
      <w:r w:rsidRPr="00677D1F">
        <w:rPr>
          <w:rFonts w:asciiTheme="minorEastAsia" w:hAnsiTheme="minorEastAsia" w:cs="宋体" w:hint="eastAsia"/>
          <w:color w:val="000000"/>
          <w:kern w:val="0"/>
          <w:sz w:val="24"/>
          <w:szCs w:val="24"/>
        </w:rPr>
        <w:t>；按平均日降雨量；</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q=qa/n</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qa——</w:t>
      </w:r>
      <w:r w:rsidRPr="00677D1F">
        <w:rPr>
          <w:rFonts w:asciiTheme="minorEastAsia" w:hAnsiTheme="minorEastAsia" w:cs="宋体" w:hint="eastAsia"/>
          <w:color w:val="000000"/>
          <w:kern w:val="0"/>
          <w:sz w:val="24"/>
          <w:szCs w:val="24"/>
        </w:rPr>
        <w:t>年平均降雨量，</w:t>
      </w:r>
      <w:r w:rsidRPr="00677D1F">
        <w:rPr>
          <w:rFonts w:asciiTheme="minorEastAsia" w:hAnsiTheme="minorEastAsia" w:cs="宋体"/>
          <w:color w:val="000000"/>
          <w:kern w:val="0"/>
          <w:sz w:val="24"/>
          <w:szCs w:val="24"/>
        </w:rPr>
        <w:t>mm</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n——</w:t>
      </w:r>
      <w:r w:rsidRPr="00677D1F">
        <w:rPr>
          <w:rFonts w:asciiTheme="minorEastAsia" w:hAnsiTheme="minorEastAsia" w:cs="宋体" w:hint="eastAsia"/>
          <w:color w:val="000000"/>
          <w:kern w:val="0"/>
          <w:sz w:val="24"/>
          <w:szCs w:val="24"/>
        </w:rPr>
        <w:t>年平均降雨日数。</w:t>
      </w:r>
    </w:p>
    <w:p w:rsidR="00D228BE" w:rsidRPr="00677D1F" w:rsidRDefault="00332EB6" w:rsidP="00677D1F">
      <w:pPr>
        <w:widowControl/>
        <w:spacing w:line="360" w:lineRule="auto"/>
        <w:ind w:firstLineChars="400" w:firstLine="96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必须进入事故废水收集系统的雨水汇水面积，</w:t>
      </w:r>
      <w:r w:rsidRPr="00677D1F">
        <w:rPr>
          <w:rFonts w:asciiTheme="minorEastAsia" w:hAnsiTheme="minorEastAsia" w:cs="宋体"/>
          <w:color w:val="000000"/>
          <w:kern w:val="0"/>
          <w:sz w:val="24"/>
          <w:szCs w:val="24"/>
        </w:rPr>
        <w:t>ha</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事故池容积计算结果分析见表</w:t>
      </w:r>
      <w:r w:rsidRPr="00677D1F">
        <w:rPr>
          <w:rFonts w:asciiTheme="minorEastAsia" w:hAnsiTheme="minorEastAsia" w:cs="宋体"/>
          <w:color w:val="000000"/>
          <w:kern w:val="0"/>
          <w:sz w:val="24"/>
          <w:szCs w:val="24"/>
        </w:rPr>
        <w:t>8.6-3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表8.6-3事故池容积计算结果分析一览表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从表</w:t>
      </w:r>
      <w:r w:rsidRPr="00677D1F">
        <w:rPr>
          <w:rFonts w:asciiTheme="minorEastAsia" w:hAnsiTheme="minorEastAsia" w:cs="宋体"/>
          <w:color w:val="000000"/>
          <w:kern w:val="0"/>
          <w:sz w:val="24"/>
          <w:szCs w:val="24"/>
        </w:rPr>
        <w:t>8.6-3</w:t>
      </w:r>
      <w:r w:rsidRPr="00677D1F">
        <w:rPr>
          <w:rFonts w:asciiTheme="minorEastAsia" w:hAnsiTheme="minorEastAsia" w:cs="宋体" w:hint="eastAsia"/>
          <w:color w:val="000000"/>
          <w:kern w:val="0"/>
          <w:sz w:val="24"/>
          <w:szCs w:val="24"/>
        </w:rPr>
        <w:t>计算可以算出，事故池容积计算值为</w:t>
      </w:r>
      <w:r w:rsidRPr="00677D1F">
        <w:rPr>
          <w:rFonts w:asciiTheme="minorEastAsia" w:hAnsiTheme="minorEastAsia" w:cs="宋体"/>
          <w:color w:val="000000"/>
          <w:kern w:val="0"/>
          <w:sz w:val="24"/>
          <w:szCs w:val="24"/>
        </w:rPr>
        <w:t>3701m3</w:t>
      </w:r>
      <w:r w:rsidRPr="00677D1F">
        <w:rPr>
          <w:rFonts w:asciiTheme="minorEastAsia" w:hAnsiTheme="minorEastAsia" w:cs="宋体" w:hint="eastAsia"/>
          <w:color w:val="000000"/>
          <w:kern w:val="0"/>
          <w:sz w:val="24"/>
          <w:szCs w:val="24"/>
        </w:rPr>
        <w:t>，考虑到事故期间可能存在雨水，且消防污水产生量的不确定性，可留有一定的富余库容，厂区事故水池设计容积为</w:t>
      </w:r>
      <w:r w:rsidRPr="00677D1F">
        <w:rPr>
          <w:rFonts w:asciiTheme="minorEastAsia" w:hAnsiTheme="minorEastAsia" w:cs="宋体"/>
          <w:color w:val="000000"/>
          <w:kern w:val="0"/>
          <w:sz w:val="24"/>
          <w:szCs w:val="24"/>
        </w:rPr>
        <w:t>5514m3</w:t>
      </w:r>
      <w:r w:rsidRPr="00677D1F">
        <w:rPr>
          <w:rFonts w:asciiTheme="minorEastAsia" w:hAnsiTheme="minorEastAsia" w:cs="宋体" w:hint="eastAsia"/>
          <w:color w:val="000000"/>
          <w:kern w:val="0"/>
          <w:sz w:val="24"/>
          <w:szCs w:val="24"/>
        </w:rPr>
        <w:t>可满足要求。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事故状态下排水系统及方式的控制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建设项目排水系统采用清污分流制，雨水系统污染区和非污染区单独设置，生产装置区、库区为污染区，厂区办公区、调度区等不使用危险化学品的区域为非污染区。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一旦本项目发生事故，厂区污水处理厂将立即检查处理设施运行情况，如事故对整个污水处理设施不造成任何影响，则立即启动事故应急监测，确保废水出水仍能达标；如果事故扩大到污水处理设施内，造成负荷冲击或其他问题，导致污水处理设施不能发挥正常的处理功能，则立即关闭排水总阀，所有废水送至事故池暂存，直到所有事故、故障解决，废水处理系统能力恢复，出水监控池内经检测达到回用标准后，厂内回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设置污水泵房，切断阀门采用远程自动控制与人工手动控制相结合的方式。自动控制可保证切断反应的及时性，人工手动控制作为补充和后备，在自动控制失效的情况下，保证关闭切断阀，可以在发生极端环境风险事故，排放的事故污水不能满足要求时，保证污水泵房停止运行，确保污水不外排。</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8.6.1.8</w:t>
      </w:r>
      <w:r w:rsidRPr="00677D1F">
        <w:rPr>
          <w:rFonts w:ascii="宋体" w:eastAsia="宋体" w:hAnsi="宋体" w:cs="宋体" w:hint="eastAsia"/>
          <w:b/>
          <w:bCs/>
          <w:color w:val="000000"/>
          <w:kern w:val="0"/>
          <w:sz w:val="24"/>
          <w:szCs w:val="24"/>
        </w:rPr>
        <w:t>渗透、渗漏事故污染防治措施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工程防渗措施是一个系统工程，应做好基础防渗工作，抓好重点部位防渗，防渗起点级别为刚性防渗。厂区应分为污染区和非污染区，装置区及排污管线等具有污染物的管道敷设必须做到可视化，方便监测及时发现渗漏。项目厂区防渗分区和处理方案见图</w:t>
      </w:r>
      <w:r w:rsidRPr="00677D1F">
        <w:rPr>
          <w:rFonts w:asciiTheme="minorEastAsia" w:hAnsiTheme="minorEastAsia" w:cs="宋体"/>
          <w:color w:val="000000"/>
          <w:kern w:val="0"/>
          <w:sz w:val="24"/>
          <w:szCs w:val="24"/>
        </w:rPr>
        <w:t>8.6-1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图8.6-1厂区内污染区划分及防渗方案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污染区包括生产装置、事故水池、输料、排污管线、污水处理站及原料、产品储存区；非污染区包括生活办公区、钛材加工、钛熔炼及综合修理。其中污染区的重点污染部分包括海绵钛生产界区、氯气生产界区、事故水池及输料、排污管线，其余为一般污染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评价根据不同等级的污染区分别要求进行如图</w:t>
      </w:r>
      <w:r w:rsidRPr="00677D1F">
        <w:rPr>
          <w:rFonts w:asciiTheme="minorEastAsia" w:hAnsiTheme="minorEastAsia" w:cs="宋体"/>
          <w:color w:val="000000"/>
          <w:kern w:val="0"/>
          <w:sz w:val="24"/>
          <w:szCs w:val="24"/>
        </w:rPr>
        <w:t>8.6-2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8.6-3</w:t>
      </w:r>
      <w:r w:rsidRPr="00677D1F">
        <w:rPr>
          <w:rFonts w:asciiTheme="minorEastAsia" w:hAnsiTheme="minorEastAsia" w:cs="宋体" w:hint="eastAsia"/>
          <w:color w:val="000000"/>
          <w:kern w:val="0"/>
          <w:sz w:val="24"/>
          <w:szCs w:val="24"/>
        </w:rPr>
        <w:t>的防渗措施。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其中：土工布基本渗透系数在</w:t>
      </w:r>
      <w:r w:rsidRPr="00677D1F">
        <w:rPr>
          <w:rFonts w:asciiTheme="minorEastAsia" w:hAnsiTheme="minorEastAsia" w:cs="宋体"/>
          <w:color w:val="000000"/>
          <w:kern w:val="0"/>
          <w:sz w:val="24"/>
          <w:szCs w:val="24"/>
        </w:rPr>
        <w:t>10-1</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10-3cm/s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1mm</w:t>
      </w:r>
      <w:r w:rsidRPr="00677D1F">
        <w:rPr>
          <w:rFonts w:asciiTheme="minorEastAsia" w:hAnsiTheme="minorEastAsia" w:cs="宋体" w:hint="eastAsia"/>
          <w:color w:val="000000"/>
          <w:kern w:val="0"/>
          <w:sz w:val="24"/>
          <w:szCs w:val="24"/>
        </w:rPr>
        <w:t>厚聚乙烯膜的基础防渗系数</w:t>
      </w:r>
      <w:r w:rsidRPr="00677D1F">
        <w:rPr>
          <w:rFonts w:asciiTheme="minorEastAsia" w:hAnsiTheme="minorEastAsia" w:cs="宋体"/>
          <w:color w:val="000000"/>
          <w:kern w:val="0"/>
          <w:sz w:val="24"/>
          <w:szCs w:val="24"/>
        </w:rPr>
        <w:t>10-12cm/s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BST</w:t>
      </w:r>
      <w:r w:rsidRPr="00677D1F">
        <w:rPr>
          <w:rFonts w:asciiTheme="minorEastAsia" w:hAnsiTheme="minorEastAsia" w:cs="宋体" w:hint="eastAsia"/>
          <w:color w:val="000000"/>
          <w:kern w:val="0"/>
          <w:sz w:val="24"/>
          <w:szCs w:val="24"/>
        </w:rPr>
        <w:t>膨润土防渗毯渗透系数</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10-9cm/s</w:t>
      </w:r>
      <w:r w:rsidRPr="00677D1F">
        <w:rPr>
          <w:rFonts w:asciiTheme="minorEastAsia" w:hAnsiTheme="minorEastAsia" w:cs="宋体" w:hint="eastAsia"/>
          <w:color w:val="000000"/>
          <w:kern w:val="0"/>
          <w:sz w:val="24"/>
          <w:szCs w:val="24"/>
        </w:rPr>
        <w:t>。故评价提出的防渗结构中，非重点区采用</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层土工布、</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层聚乙烯膜、</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层膨润土防渗毯，其防渗系数将≤</w:t>
      </w:r>
      <w:r w:rsidRPr="00677D1F">
        <w:rPr>
          <w:rFonts w:asciiTheme="minorEastAsia" w:hAnsiTheme="minorEastAsia" w:cs="宋体"/>
          <w:color w:val="000000"/>
          <w:kern w:val="0"/>
          <w:sz w:val="24"/>
          <w:szCs w:val="24"/>
        </w:rPr>
        <w:t>10-12cm/s</w:t>
      </w:r>
      <w:r w:rsidRPr="00677D1F">
        <w:rPr>
          <w:rFonts w:asciiTheme="minorEastAsia" w:hAnsiTheme="minorEastAsia" w:cs="宋体" w:hint="eastAsia"/>
          <w:color w:val="000000"/>
          <w:kern w:val="0"/>
          <w:sz w:val="24"/>
          <w:szCs w:val="24"/>
        </w:rPr>
        <w:t>，重点防渗区采用</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层土工布、</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层聚乙烯膜、</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层膨润土防渗毯，其渗透系数将≤</w:t>
      </w:r>
      <w:r w:rsidRPr="00677D1F">
        <w:rPr>
          <w:rFonts w:asciiTheme="minorEastAsia" w:hAnsiTheme="minorEastAsia" w:cs="宋体"/>
          <w:color w:val="000000"/>
          <w:kern w:val="0"/>
          <w:sz w:val="24"/>
          <w:szCs w:val="24"/>
        </w:rPr>
        <w:t>10-12cm/s</w:t>
      </w:r>
      <w:r w:rsidRPr="00677D1F">
        <w:rPr>
          <w:rFonts w:asciiTheme="minorEastAsia" w:hAnsiTheme="minorEastAsia" w:cs="宋体" w:hint="eastAsia"/>
          <w:color w:val="000000"/>
          <w:kern w:val="0"/>
          <w:sz w:val="24"/>
          <w:szCs w:val="24"/>
        </w:rPr>
        <w:t>，能够满足防渗控制要求。</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图8.6-2非重点污染区装置防渗结构示意图</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图8.6-3重点污染区装置防渗结构示意图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）输料、排污管线</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①爆炸、可燃、易燃类流体及可窒息性机制的流体、腐蚀性介质等工艺管线应地上敷设，若确实需要地下敷设时，应在不通行的管沟内敷设，沟底应设大于</w:t>
      </w:r>
      <w:r w:rsidRPr="00677D1F">
        <w:rPr>
          <w:rFonts w:asciiTheme="minorEastAsia" w:hAnsiTheme="minorEastAsia" w:cs="宋体"/>
          <w:color w:val="000000"/>
          <w:kern w:val="0"/>
          <w:sz w:val="24"/>
          <w:szCs w:val="24"/>
        </w:rPr>
        <w:t>0.02</w:t>
      </w:r>
      <w:r w:rsidRPr="00677D1F">
        <w:rPr>
          <w:rFonts w:asciiTheme="minorEastAsia" w:hAnsiTheme="minorEastAsia" w:cs="宋体" w:hint="eastAsia"/>
          <w:color w:val="000000"/>
          <w:kern w:val="0"/>
          <w:sz w:val="24"/>
          <w:szCs w:val="24"/>
        </w:rPr>
        <w:t>坡度坡向检漏井，检漏井内应设集水坑，集水坑的深度小于</w:t>
      </w:r>
      <w:r w:rsidRPr="00677D1F">
        <w:rPr>
          <w:rFonts w:asciiTheme="minorEastAsia" w:hAnsiTheme="minorEastAsia" w:cs="宋体"/>
          <w:color w:val="000000"/>
          <w:kern w:val="0"/>
          <w:sz w:val="24"/>
          <w:szCs w:val="24"/>
        </w:rPr>
        <w:t>30cm</w:t>
      </w:r>
      <w:r w:rsidRPr="00677D1F">
        <w:rPr>
          <w:rFonts w:asciiTheme="minorEastAsia" w:hAnsiTheme="minorEastAsia" w:cs="宋体" w:hint="eastAsia"/>
          <w:color w:val="000000"/>
          <w:kern w:val="0"/>
          <w:sz w:val="24"/>
          <w:szCs w:val="24"/>
        </w:rPr>
        <w:t>，管沟和集水坑应做防渗处理；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②上述管线除与阀门、仪表、设备等连接可以采用法兰外，应尽量采用焊接；对于输送有毒介质的管线应有明显标记；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③装置内除输送空气、惰性气体和小口径管道外，所有的螺纹连接管道均需密封焊接；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④装置外所有输送危险、有毒、腐蚀性介质及价格昂贵的介质管道螺纹连接要密封焊接；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⑤管道低点放净口附近宜设地漏、地沟或用软管接至地漏或地沟，不得随意排放，工艺介质调节阀前的排放口应布置在低围堰区；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⑥对于高压、</w:t>
      </w:r>
      <w:r w:rsidRPr="00677D1F">
        <w:rPr>
          <w:rFonts w:asciiTheme="minorEastAsia" w:hAnsiTheme="minorEastAsia" w:cs="宋体"/>
          <w:color w:val="000000"/>
          <w:kern w:val="0"/>
          <w:sz w:val="24"/>
          <w:szCs w:val="24"/>
        </w:rPr>
        <w:t>A1</w:t>
      </w:r>
      <w:r w:rsidRPr="00677D1F">
        <w:rPr>
          <w:rFonts w:asciiTheme="minorEastAsia" w:hAnsiTheme="minorEastAsia" w:cs="宋体" w:hint="eastAsia"/>
          <w:color w:val="000000"/>
          <w:kern w:val="0"/>
          <w:sz w:val="24"/>
          <w:szCs w:val="24"/>
        </w:rPr>
        <w:t>类流体管道排放采用双阀，对于所有与易燃、易爆、腐蚀性和有毒介质接触的管线和设备的排净口都必须用管帽或法兰盖、丝堵堵上。</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）生产装置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①生产装置区域内易产生泄露的设备应尽可能集中布置，对易泄漏的区域地面应采用不渗透的建筑材料铺砌地面，并设置围堰；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②为了防止物料泄漏到地面，对于存储和输送有毒有害介质的设备和管线排液阀门应设为双阀，设备及管道排放出的各种含有毒有害介质液体，应加以收集，不得任意排放；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③对于物料存储罐区除应按照《石油化工企业设计防火规范》（</w:t>
      </w:r>
      <w:r w:rsidRPr="00677D1F">
        <w:rPr>
          <w:rFonts w:asciiTheme="minorEastAsia" w:hAnsiTheme="minorEastAsia" w:cs="宋体"/>
          <w:color w:val="000000"/>
          <w:kern w:val="0"/>
          <w:sz w:val="24"/>
          <w:szCs w:val="24"/>
        </w:rPr>
        <w:t>GB50160-92</w:t>
      </w:r>
      <w:r w:rsidRPr="00677D1F">
        <w:rPr>
          <w:rFonts w:asciiTheme="minorEastAsia" w:hAnsiTheme="minorEastAsia" w:cs="宋体" w:hint="eastAsia"/>
          <w:color w:val="000000"/>
          <w:kern w:val="0"/>
          <w:sz w:val="24"/>
          <w:szCs w:val="24"/>
        </w:rPr>
        <w:t>）的要求设置防火堤外，防火堤的地面和围堤还应进行防渗处理；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④对于阶梯式布置装置区域，阶梯间应设有防止泄漏液体漫流的措施；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⑤对于储存、输送酸、碱等强腐蚀性化学物料的区域应设置围堰，围堰的容积应能够容纳酸罐、碱罐的全部容积。其围堰和地面应作防腐和防渗处理。围堰内的废水应排至中和池进行中和处理，中和池应设高液位报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⑥为了防止渗漏，管壳式换热器机械标准不得低于</w:t>
      </w:r>
      <w:r w:rsidRPr="00677D1F">
        <w:rPr>
          <w:rFonts w:asciiTheme="minorEastAsia" w:hAnsiTheme="minorEastAsia" w:cs="宋体"/>
          <w:color w:val="000000"/>
          <w:kern w:val="0"/>
          <w:sz w:val="24"/>
          <w:szCs w:val="24"/>
        </w:rPr>
        <w:t>TEMA</w:t>
      </w:r>
      <w:r w:rsidRPr="00677D1F">
        <w:rPr>
          <w:rFonts w:asciiTheme="minorEastAsia" w:hAnsiTheme="minorEastAsia" w:cs="宋体" w:hint="eastAsia"/>
          <w:color w:val="000000"/>
          <w:kern w:val="0"/>
          <w:sz w:val="24"/>
          <w:szCs w:val="24"/>
        </w:rPr>
        <w:t>中的</w:t>
      </w:r>
      <w:r w:rsidRPr="00677D1F">
        <w:rPr>
          <w:rFonts w:asciiTheme="minorEastAsia" w:hAnsiTheme="minorEastAsia" w:cs="宋体"/>
          <w:color w:val="000000"/>
          <w:kern w:val="0"/>
          <w:sz w:val="24"/>
          <w:szCs w:val="24"/>
        </w:rPr>
        <w:t>R</w:t>
      </w:r>
      <w:r w:rsidRPr="00677D1F">
        <w:rPr>
          <w:rFonts w:asciiTheme="minorEastAsia" w:hAnsiTheme="minorEastAsia" w:cs="宋体" w:hint="eastAsia"/>
          <w:color w:val="000000"/>
          <w:kern w:val="0"/>
          <w:sz w:val="24"/>
          <w:szCs w:val="24"/>
        </w:rPr>
        <w:t>级，平板式换热器易采用全焊式或半焊式；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⑦对于机泵基础周边易设置废液收集设施，确保泄漏物料统一收集至处理系统。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）事故水池</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①满足《危险废物填埋场污染控制标准》（</w:t>
      </w:r>
      <w:r w:rsidRPr="00677D1F">
        <w:rPr>
          <w:rFonts w:asciiTheme="minorEastAsia" w:hAnsiTheme="minorEastAsia" w:cs="宋体"/>
          <w:color w:val="000000"/>
          <w:kern w:val="0"/>
          <w:sz w:val="24"/>
          <w:szCs w:val="24"/>
        </w:rPr>
        <w:t>GB18598-20001</w:t>
      </w:r>
      <w:r w:rsidRPr="00677D1F">
        <w:rPr>
          <w:rFonts w:asciiTheme="minorEastAsia" w:hAnsiTheme="minorEastAsia" w:cs="宋体" w:hint="eastAsia"/>
          <w:color w:val="000000"/>
          <w:kern w:val="0"/>
          <w:sz w:val="24"/>
          <w:szCs w:val="24"/>
        </w:rPr>
        <w:t>）条例中对危险废物填埋场地质条件的要求，在自身地质条件未满足相应要求的前提下添加相应的防范措施；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②将地基进行硬化处理，可采用钢筋混凝土铺砌，厚度约</w:t>
      </w:r>
      <w:r w:rsidRPr="00677D1F">
        <w:rPr>
          <w:rFonts w:asciiTheme="minorEastAsia" w:hAnsiTheme="minorEastAsia" w:cs="宋体"/>
          <w:color w:val="000000"/>
          <w:kern w:val="0"/>
          <w:sz w:val="24"/>
          <w:szCs w:val="24"/>
        </w:rPr>
        <w:t>18cm</w:t>
      </w:r>
      <w:r w:rsidRPr="00677D1F">
        <w:rPr>
          <w:rFonts w:asciiTheme="minorEastAsia" w:hAnsiTheme="minorEastAsia" w:cs="宋体" w:hint="eastAsia"/>
          <w:color w:val="000000"/>
          <w:kern w:val="0"/>
          <w:sz w:val="24"/>
          <w:szCs w:val="24"/>
        </w:rPr>
        <w:t>，基层进行防渗处理，在天然地基压实后未达防渗系数要求，应增添人工防渗膜（土工膜）；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③水池池壁应采用钢筋混凝土构筑，应设置一定坡角，减少承载负荷时对池壁的压力。</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8.6.2</w:t>
      </w:r>
      <w:r w:rsidRPr="00677D1F">
        <w:rPr>
          <w:rFonts w:ascii="宋体" w:hAnsi="宋体" w:hint="eastAsia"/>
          <w:sz w:val="28"/>
          <w:szCs w:val="28"/>
        </w:rPr>
        <w:t>应急预案</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8.6.2.1</w:t>
      </w:r>
      <w:r w:rsidRPr="00677D1F">
        <w:rPr>
          <w:rFonts w:ascii="宋体" w:eastAsia="宋体" w:hAnsi="宋体" w:cs="宋体" w:hint="eastAsia"/>
          <w:b/>
          <w:bCs/>
          <w:color w:val="000000"/>
          <w:kern w:val="0"/>
          <w:sz w:val="24"/>
          <w:szCs w:val="24"/>
        </w:rPr>
        <w:t>事故应急处置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在发生突发性环境污染事故时，应急处置的首要工作是控制事故污染源和防。污染物扩散造成对周围人群、动植物的伤害，防止进一步污染环境。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根据本项目实际情况，设立应急救援小组，全面负责应急救援指挥部门人员的组成、职责和分工，争取社会救援，保证应急救援所需经费以及事故调查报告和处理结果的上报。事故应急处置程序见图</w:t>
      </w:r>
      <w:r w:rsidRPr="00677D1F">
        <w:rPr>
          <w:rFonts w:asciiTheme="minorEastAsia" w:hAnsiTheme="minorEastAsia" w:cs="宋体"/>
          <w:color w:val="000000"/>
          <w:kern w:val="0"/>
          <w:sz w:val="24"/>
          <w:szCs w:val="24"/>
        </w:rPr>
        <w:t>8.6-4</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8.6-4</w:t>
      </w:r>
      <w:r w:rsidRPr="00677D1F">
        <w:rPr>
          <w:rFonts w:ascii="黑体" w:eastAsia="黑体" w:hAnsi="黑体" w:cs="宋体" w:hint="eastAsia"/>
          <w:b/>
          <w:color w:val="000000"/>
          <w:kern w:val="0"/>
          <w:szCs w:val="21"/>
        </w:rPr>
        <w:t>事故应急处置程序</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8.6.2.2</w:t>
      </w:r>
      <w:r w:rsidRPr="00677D1F">
        <w:rPr>
          <w:rFonts w:ascii="宋体" w:eastAsia="宋体" w:hAnsi="宋体" w:cs="宋体" w:hint="eastAsia"/>
          <w:b/>
          <w:bCs/>
          <w:color w:val="000000"/>
          <w:kern w:val="0"/>
          <w:sz w:val="24"/>
          <w:szCs w:val="24"/>
        </w:rPr>
        <w:t>危险物质事故应急措施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当发生泄漏时，除事故应急处理人员外，其他人应立即切断电源、火源，迅速撤离到泄漏污染区上风向，应急处理人员戴自给正压式呼吸器，化学安全护目镜、护面罩，穿全身防护服，首先尽可能切断泄漏源，移开所有引火源，或用水稀释成非可燃物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）一旦发生燃烧，在切断泄漏源的条件下，小火可用二氧化碳、干粉、砂土，大火可用抗溶性泡沫，水雾可用来降低燃速。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）氯气应急处理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①泄漏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迅速撤离泄漏污染区人员至上风处，并立即进行隔离，小泄漏时隔离</w:t>
      </w:r>
      <w:r w:rsidRPr="00677D1F">
        <w:rPr>
          <w:rFonts w:asciiTheme="minorEastAsia" w:hAnsiTheme="minorEastAsia" w:cs="宋体"/>
          <w:color w:val="000000"/>
          <w:kern w:val="0"/>
          <w:sz w:val="24"/>
          <w:szCs w:val="24"/>
        </w:rPr>
        <w:t>150m</w:t>
      </w:r>
      <w:r w:rsidRPr="00677D1F">
        <w:rPr>
          <w:rFonts w:asciiTheme="minorEastAsia" w:hAnsiTheme="minorEastAsia" w:cs="宋体" w:hint="eastAsia"/>
          <w:color w:val="000000"/>
          <w:kern w:val="0"/>
          <w:sz w:val="24"/>
          <w:szCs w:val="24"/>
        </w:rPr>
        <w:t>，大泄漏时隔离</w:t>
      </w:r>
      <w:r w:rsidRPr="00677D1F">
        <w:rPr>
          <w:rFonts w:asciiTheme="minorEastAsia" w:hAnsiTheme="minorEastAsia" w:cs="宋体"/>
          <w:color w:val="000000"/>
          <w:kern w:val="0"/>
          <w:sz w:val="24"/>
          <w:szCs w:val="24"/>
        </w:rPr>
        <w:t>450m</w:t>
      </w:r>
      <w:r w:rsidRPr="00677D1F">
        <w:rPr>
          <w:rFonts w:asciiTheme="minorEastAsia" w:hAnsiTheme="minorEastAsia" w:cs="宋体" w:hint="eastAsia"/>
          <w:color w:val="000000"/>
          <w:kern w:val="0"/>
          <w:sz w:val="24"/>
          <w:szCs w:val="24"/>
        </w:rPr>
        <w:t>，严格限制出入。应急处理人员戴自给正压式呼吸器，穿防毒服。尽可能切断泄漏源。合理通风，加速扩散。喷雾状水稀释、溶解。构筑围堤或挖坑收容产生的大量废水。如有可能，用管道将泄漏物导至还原剂（硫酸钠或碳酸钠）溶液。</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②防护措施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空气中浓度超标时，佩戴空气呼吸器或氧气呼吸器。紧急事态抢救或撤离时，必须佩戴氧气呼吸器、穿带面罩式胶布防毒衣、戴橡胶手套。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③急救措施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皮肤接触时立即脱去被污染的衣着，用大量清水冲洗。就医。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眼睛接触时提起眼睑，用流动清水或生理盐水冲洗。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吸入情况下迅速脱离现场至空气新鲜处。呼吸心跳停止时，立即进行人工呼吸和胸外心脏按压术。就医。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④消防</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消防人员必须佩戴过滤式防毒面具（全面罩）或隔离式呼吸器、穿全身防火防毒服，在上风处灭火。切断气源。灭火剂为雾状水、泡沫、干粉。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）四氯化钛应急处理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迅速撤离泄漏污染区人员至安全区，并立即隔离</w:t>
      </w:r>
      <w:r w:rsidRPr="00677D1F">
        <w:rPr>
          <w:rFonts w:asciiTheme="minorEastAsia" w:hAnsiTheme="minorEastAsia" w:cs="宋体"/>
          <w:color w:val="000000"/>
          <w:kern w:val="0"/>
          <w:sz w:val="24"/>
          <w:szCs w:val="24"/>
        </w:rPr>
        <w:t>150m</w:t>
      </w:r>
      <w:r w:rsidRPr="00677D1F">
        <w:rPr>
          <w:rFonts w:asciiTheme="minorEastAsia" w:hAnsiTheme="minorEastAsia" w:cs="宋体" w:hint="eastAsia"/>
          <w:color w:val="000000"/>
          <w:kern w:val="0"/>
          <w:sz w:val="24"/>
          <w:szCs w:val="24"/>
        </w:rPr>
        <w:t>，严格限制出入。应急处理人员戴自给正压式呼吸器，穿防酸碱工作服。从上风处进入现场。尽可能切断泄漏源。小量泄漏时将地面洒上苏打灰，然后用大量水冲洗，洗水稀释后放入废水系统。大量泄漏时构筑围堤或挖坑收容。喷雾状水冷却和稀释蒸汽，保护现场人员，但不要对泄漏点直接喷水。在专家指导下清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）氯化氢应急处理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迅速撤离泄漏污染区人员至上风处，并进行隔离，小泄漏时隔离</w:t>
      </w:r>
      <w:r w:rsidRPr="00677D1F">
        <w:rPr>
          <w:rFonts w:asciiTheme="minorEastAsia" w:hAnsiTheme="minorEastAsia" w:cs="宋体"/>
          <w:color w:val="000000"/>
          <w:kern w:val="0"/>
          <w:sz w:val="24"/>
          <w:szCs w:val="24"/>
        </w:rPr>
        <w:t>150m</w:t>
      </w:r>
      <w:r w:rsidRPr="00677D1F">
        <w:rPr>
          <w:rFonts w:asciiTheme="minorEastAsia" w:hAnsiTheme="minorEastAsia" w:cs="宋体" w:hint="eastAsia"/>
          <w:color w:val="000000"/>
          <w:kern w:val="0"/>
          <w:sz w:val="24"/>
          <w:szCs w:val="24"/>
        </w:rPr>
        <w:t>，大泄漏时隔离</w:t>
      </w:r>
      <w:r w:rsidRPr="00677D1F">
        <w:rPr>
          <w:rFonts w:asciiTheme="minorEastAsia" w:hAnsiTheme="minorEastAsia" w:cs="宋体"/>
          <w:color w:val="000000"/>
          <w:kern w:val="0"/>
          <w:sz w:val="24"/>
          <w:szCs w:val="24"/>
        </w:rPr>
        <w:t>300m</w:t>
      </w:r>
      <w:r w:rsidRPr="00677D1F">
        <w:rPr>
          <w:rFonts w:asciiTheme="minorEastAsia" w:hAnsiTheme="minorEastAsia" w:cs="宋体" w:hint="eastAsia"/>
          <w:color w:val="000000"/>
          <w:kern w:val="0"/>
          <w:sz w:val="24"/>
          <w:szCs w:val="24"/>
        </w:rPr>
        <w:t>，严格限制出入。应急处理人员戴自给正压式呼吸器，穿防毒服。从上风处进入现场。尽可能切断泄漏源。合理通风，加速扩散。喷氨水或其它稀碱液中和。构筑围堤或挖坑收容产生的酸性废水，避免废水外流造成环境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空气中浓度超标时，佩戴过滤式防毒面具（半面罩）。紧急事态抢救或撤离时，佩戴空气呼吸器。必要时，戴化学安全防护眼镜、穿化学防护服、戴橡胶手套。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皮肤接触时立即脱去被污染的衣着，用大量流动清水冲洗，至少</w:t>
      </w:r>
      <w:r w:rsidRPr="00677D1F">
        <w:rPr>
          <w:rFonts w:asciiTheme="minorEastAsia" w:hAnsiTheme="minorEastAsia" w:cs="宋体"/>
          <w:color w:val="000000"/>
          <w:kern w:val="0"/>
          <w:sz w:val="24"/>
          <w:szCs w:val="24"/>
        </w:rPr>
        <w:t>15min</w:t>
      </w:r>
      <w:r w:rsidRPr="00677D1F">
        <w:rPr>
          <w:rFonts w:asciiTheme="minorEastAsia" w:hAnsiTheme="minorEastAsia" w:cs="宋体" w:hint="eastAsia"/>
          <w:color w:val="000000"/>
          <w:kern w:val="0"/>
          <w:sz w:val="24"/>
          <w:szCs w:val="24"/>
        </w:rPr>
        <w:t>。就医。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眼睛接触时立即提起眼睑，用大量流动清水或生理盐水彻底冲洗至少</w:t>
      </w:r>
      <w:r w:rsidRPr="00677D1F">
        <w:rPr>
          <w:rFonts w:asciiTheme="minorEastAsia" w:hAnsiTheme="minorEastAsia" w:cs="宋体"/>
          <w:color w:val="000000"/>
          <w:kern w:val="0"/>
          <w:sz w:val="24"/>
          <w:szCs w:val="24"/>
        </w:rPr>
        <w:t>15min</w:t>
      </w:r>
      <w:r w:rsidRPr="00677D1F">
        <w:rPr>
          <w:rFonts w:asciiTheme="minorEastAsia" w:hAnsiTheme="minorEastAsia" w:cs="宋体" w:hint="eastAsia"/>
          <w:color w:val="000000"/>
          <w:kern w:val="0"/>
          <w:sz w:val="24"/>
          <w:szCs w:val="24"/>
        </w:rPr>
        <w:t>。就医。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吸入时迅速脱离现场至空气新鲜处。保持呼吸道通畅。如呼吸困难，给输氧。如呼吸停止，立即进行人工呼吸。就医。</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8.6.2.3</w:t>
      </w:r>
      <w:r w:rsidRPr="00677D1F">
        <w:rPr>
          <w:rFonts w:ascii="宋体" w:eastAsia="宋体" w:hAnsi="宋体" w:cs="宋体" w:hint="eastAsia"/>
          <w:b/>
          <w:bCs/>
          <w:color w:val="000000"/>
          <w:kern w:val="0"/>
          <w:sz w:val="24"/>
          <w:szCs w:val="24"/>
        </w:rPr>
        <w:t>事故应急监测方案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（1）当以大气污染为主的环境风险事故发生后，监测人员应戴好防毒面具赶往事故点的下风向，在不同距离进行连续跟踪监测，并监测结果和空气质量变化情况及时通报相关部门。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（2）现场应急监测方法</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气体检测管法、便携式气相色谱法、直接进水样气相色谱法、气体速测管。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（3）当出现水体污染事故（或伴生水污染事故）时，监测人员同样需要对污染水体进行跟踪监测，并监测结果和水质变化情况及时通报相关部门。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（4）在危险化学品泄漏或爆炸事故发生后，根据当时的气象条件及事故情况，立即派分析人员到下风向处，尤其是环境敏感点，采用快速取样法监测空气中特征污染因子的浓度。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针对本项目可能发生的环境事故类型，环境风险应急监测方案见表</w:t>
      </w:r>
      <w:r w:rsidRPr="00677D1F">
        <w:rPr>
          <w:rFonts w:asciiTheme="minorEastAsia" w:hAnsiTheme="minorEastAsia" w:cs="宋体"/>
          <w:color w:val="000000"/>
          <w:kern w:val="0"/>
          <w:sz w:val="24"/>
          <w:szCs w:val="24"/>
        </w:rPr>
        <w:t>8.6-4</w:t>
      </w:r>
      <w:r w:rsidRPr="00677D1F">
        <w:rPr>
          <w:rFonts w:asciiTheme="minorEastAsia" w:hAnsiTheme="minorEastAsia" w:cs="宋体" w:hint="eastAsia"/>
          <w:color w:val="000000"/>
          <w:kern w:val="0"/>
          <w:sz w:val="24"/>
          <w:szCs w:val="24"/>
        </w:rPr>
        <w:t>。为了事故状态下快速获取当时的环境质量状况，从而指导疏散和应急预案的执行。厂区需配备监测设备，其中包括便携式氯气、氯化氢测定仪等。</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表8.6-4应急监测方案</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8.6.2.4</w:t>
      </w:r>
      <w:r w:rsidRPr="00677D1F">
        <w:rPr>
          <w:rFonts w:ascii="宋体" w:eastAsia="宋体" w:hAnsi="宋体" w:cs="宋体" w:hint="eastAsia"/>
          <w:b/>
          <w:bCs/>
          <w:color w:val="000000"/>
          <w:kern w:val="0"/>
          <w:sz w:val="24"/>
          <w:szCs w:val="24"/>
        </w:rPr>
        <w:t>应急预案培训计划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通过培训与演练要达到一下目的：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●在事故发生前暴露预案和程序的缺点；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●辨识出缺乏的资源（包括人力和设备、机具）；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●改善各种反应人员、部门和机构之间的协调水平；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●增强应急反应人员的熟练性和信心；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●明确每个人各自岗位和职责；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●明确公司应急预案与政府、社区应急预案之间的合作与协调；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●提高整体应急援救的反应能力。</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8.6.2.5</w:t>
      </w:r>
      <w:r w:rsidRPr="00677D1F">
        <w:rPr>
          <w:rFonts w:ascii="宋体" w:eastAsia="宋体" w:hAnsi="宋体" w:cs="宋体" w:hint="eastAsia"/>
          <w:b/>
          <w:bCs/>
          <w:color w:val="000000"/>
          <w:kern w:val="0"/>
          <w:sz w:val="24"/>
          <w:szCs w:val="24"/>
        </w:rPr>
        <w:t>风险事故撤离预案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）撤离方案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事故影响范围公告：根据事故发生的特点，判定事故影响的区域，依据事故影响情况对可能受影响区域进行信息通告，应做好充足的防范措施和物资供应。通告方式可采用媒体传播、地区广播、电视和移动通信以及口述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②对可能受影响区域、污染物扩散路线、污染物烟团下游进行跟踪监测，准确汇报实测数值，由专家和指挥组判定是否应对下游可能受影响区域进行人员撤离；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③撤离路线和方式确定：对于大面积受影响区域应及早做好撤离路线和方式决定。人员撤离方式应采用有效快速的交通工具，必要是应采用武警及政府协助，保持撤离有条不紊。</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●撤离对象应重点关注身体素质较差、体弱多病、女性及儿童等；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●撤离路线应在垂直于事故状态时风向的垂直方向；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●停留在受影响区域的居民应配备相应的防护措施，在资源受限值时应告之自身防护。譬如说用湿毛巾捂住口鼻、站处通风效果好的地方、配合救援人员的安排等；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●对于上述救援撤离措施应在事故发生时且尚未影响到该区域时做好充分的宣传和指导。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④应及时向大众公布事故撤离路线，在必要时可以由救护人员引导大众在最短的时间内自行撤离。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）受影响区域救援措施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撤离区域内应尽快做出恢复措施：拟定风险事故所泄漏的物料多为酸性气体，应在可能的情况下对有毒害气体进行中和。譬如说用人工喷洒石灰石水、空投石灰石粉，以及用水枪喷洒或冲刷受影响建筑和农田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应在事故影响区域对环境空气、地表水体以及土壤等做出即时监测，并汇报指挥组及专家，确定事故影响程度及进一步恶化的可能和程度，做出相关标志和公告，通知水体下游及当地居民做好相应的防护和恢复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③对受影响严重的土壤应进行石灰石粉中和掩埋，并用大量水冲洗；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④在危险区域，可配备武警进行驻守，以防止受影响区域内有人为活动导致意外事故发生。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）重点撤离对象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重点撤离对象为厂区附近的集中居民区村庄，事故发生时视事故源强而定，需要撤离时救援组织必须在</w:t>
      </w:r>
      <w:r w:rsidRPr="00677D1F">
        <w:rPr>
          <w:rFonts w:asciiTheme="minorEastAsia" w:hAnsiTheme="minorEastAsia" w:cs="宋体"/>
          <w:color w:val="000000"/>
          <w:kern w:val="0"/>
          <w:sz w:val="24"/>
          <w:szCs w:val="24"/>
        </w:rPr>
        <w:t>30min</w:t>
      </w:r>
      <w:r w:rsidRPr="00677D1F">
        <w:rPr>
          <w:rFonts w:asciiTheme="minorEastAsia" w:hAnsiTheme="minorEastAsia" w:cs="宋体" w:hint="eastAsia"/>
          <w:color w:val="000000"/>
          <w:kern w:val="0"/>
          <w:sz w:val="24"/>
          <w:szCs w:val="24"/>
        </w:rPr>
        <w:t>内通知并完成所有人员的撤离。撤离时选择事故时风向的侧风向为撤离方向，对撤离居民进行安全防护。</w:t>
      </w:r>
    </w:p>
    <w:p w:rsidR="00D228BE" w:rsidRPr="00677D1F" w:rsidRDefault="00332EB6" w:rsidP="00677D1F">
      <w:pPr>
        <w:widowControl/>
        <w:contextualSpacing/>
        <w:rPr>
          <w:rFonts w:ascii="宋体" w:eastAsia="宋体" w:hAnsi="宋体" w:cs="宋体"/>
          <w:kern w:val="0"/>
          <w:sz w:val="24"/>
          <w:szCs w:val="24"/>
        </w:rPr>
      </w:pPr>
      <w:r w:rsidRPr="00677D1F">
        <w:rPr>
          <w:rFonts w:ascii="Times New Roman" w:eastAsia="宋体" w:hAnsi="Times New Roman" w:cs="Times New Roman"/>
          <w:b/>
          <w:bCs/>
          <w:color w:val="000000"/>
          <w:kern w:val="0"/>
          <w:sz w:val="24"/>
          <w:szCs w:val="24"/>
        </w:rPr>
        <w:t>8.6.2.6</w:t>
      </w:r>
      <w:r w:rsidRPr="00677D1F">
        <w:rPr>
          <w:rFonts w:ascii="宋体" w:eastAsia="宋体" w:hAnsi="宋体" w:cs="宋体" w:hint="eastAsia"/>
          <w:b/>
          <w:bCs/>
          <w:color w:val="000000"/>
          <w:kern w:val="0"/>
          <w:sz w:val="24"/>
          <w:szCs w:val="24"/>
        </w:rPr>
        <w:t>应急预案总体要求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根据《国家突发环境事件应急预案》内容规定，本项目应急预案主要内容见表</w:t>
      </w:r>
      <w:r w:rsidRPr="00677D1F">
        <w:rPr>
          <w:rFonts w:asciiTheme="minorEastAsia" w:hAnsiTheme="minorEastAsia" w:cs="宋体"/>
          <w:color w:val="000000"/>
          <w:kern w:val="0"/>
          <w:sz w:val="24"/>
          <w:szCs w:val="24"/>
        </w:rPr>
        <w:t>8.6-5</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8.6-5</w:t>
      </w:r>
      <w:r w:rsidRPr="00677D1F">
        <w:rPr>
          <w:rFonts w:ascii="黑体" w:eastAsia="黑体" w:hAnsi="黑体" w:cs="宋体" w:hint="eastAsia"/>
          <w:b/>
          <w:color w:val="000000"/>
          <w:kern w:val="0"/>
          <w:szCs w:val="21"/>
        </w:rPr>
        <w:t>本项目应急预案一览表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应急预案要求见表</w:t>
      </w:r>
      <w:r w:rsidRPr="00677D1F">
        <w:rPr>
          <w:rFonts w:asciiTheme="minorEastAsia" w:hAnsiTheme="minorEastAsia" w:cs="宋体"/>
          <w:color w:val="000000"/>
          <w:kern w:val="0"/>
          <w:sz w:val="24"/>
          <w:szCs w:val="24"/>
        </w:rPr>
        <w:t>8.6-6</w:t>
      </w:r>
      <w:r w:rsidRPr="00677D1F">
        <w:rPr>
          <w:rFonts w:asciiTheme="minorEastAsia" w:hAnsiTheme="minorEastAsia" w:cs="宋体" w:hint="eastAsia"/>
          <w:color w:val="000000"/>
          <w:kern w:val="0"/>
          <w:sz w:val="24"/>
          <w:szCs w:val="24"/>
        </w:rPr>
        <w:t>。项目运行前必须有经专家论证认可的环境风险应急处置预案及防范措施。应急预案应在生产过程安全管理中具体化和进一步完善。</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表8.6-6应急预案要求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重大事故源的确定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根据可能引起重大事故的粗略分析，确定该项目的主要事故源为液气罐，同时要防止氯气输送管线的断裂造成的风险。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应急救援指挥中心的组成、职责及分工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企业的应急救援中心应成立企业主要领导，以及生产、安全环保、设备、保卫、卫生等部门领导组成的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指挥领导小组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，下设应急救援办公室。建议日常工作由建设单位安全环保处兼管，</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指挥领导小组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建议设在公司生产调度室。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应急救援指挥领导小组的公司领导负责重大事故应急预案的制定和修订；组建应急救援专业队伍，并组织实施平时的演练；检查督促事故预防措施和应急救援的准备工作。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指挥领导小组负责事故时的救援命令的发布、解除；组织应急救援专业队伍实施救援行动；向上级汇报和向社会救援组织通报事故情况，必要时发中救援请求；对事故应及时总结。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安全环保部门的主要职责为协助指挥领导小组作好事故报警、情况通报、监测及事故处置工作。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保卫部门负责灭火、警戒、治安保卫、人员疏散、道路管制等工作。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设备、生产部门负责事故时的开停车调度、事故现场的联络等工作。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救援队伍的组成及分工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建议建设单位根据实际情况组织救援队伍。救援队伍应包括通信联络、治安保卫、消防、抢修、医疗、物质供应、运输等相关人员。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现场事故处置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在发生重大事故时应根据拟定疏散方案及时疏散污染区人员，禁止无关人员进入污染区。应急人员处理事故时应戴自给式呼吸器，穿消防防护服。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社会救援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事故预测，发生事故后有毒有害物质泄漏到环境中，如果不采取措施，将对环境将造成较大危害，并且可能发生火灾爆炸事故，危及本厂及附近企业员工。这就要求该项目的应急救援预案要考虑与社会救援想结合，从而减少事故造成的损失，尤其要减小事故对人员的伤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建设单位在制定事故应急救援预案时，应包括社会救援组织的机构、联系方式、报警系统等信息，以保证应急救援指挥能随时与社会救援力量保持联络，请求支援。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（6）</w:t>
      </w:r>
      <w:r w:rsidRPr="00677D1F">
        <w:rPr>
          <w:rFonts w:asciiTheme="minorEastAsia" w:hAnsiTheme="minorEastAsia" w:cs="宋体" w:hint="eastAsia"/>
          <w:color w:val="000000"/>
          <w:kern w:val="0"/>
          <w:sz w:val="24"/>
          <w:szCs w:val="24"/>
        </w:rPr>
        <w:t>应急状态的终止和善后计划措施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应急状态终止由公司应总指挥中心根据现场情况和专家意见决策并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发布。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事故现场及受影响区域，根据实际情况采取有效善后措施，包括确认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事故状态彻底解除、清理现场、清除污染、恢复生产等现场工作；对处理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事故人员的污染检查、医学处理和受伤人员的及时治疗；对事故现场做进</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一步的安全检查，尤其是由于事故或抢救过程中留下的隐患，是否可能进</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一步引起新的事故；估算事故损失；分析事故原因和制定防止事故再发生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的防范措施，总结教训，写出事故报告，报有关主管部门。</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8.7</w:t>
      </w:r>
      <w:r w:rsidRPr="00677D1F">
        <w:rPr>
          <w:rFonts w:ascii="宋体" w:hAnsi="宋体" w:hint="eastAsia"/>
          <w:bCs w:val="0"/>
          <w:kern w:val="2"/>
          <w:sz w:val="30"/>
          <w:szCs w:val="30"/>
        </w:rPr>
        <w:t>风险防范措施</w:t>
      </w:r>
      <w:r w:rsidRPr="00677D1F">
        <w:rPr>
          <w:rFonts w:ascii="宋体" w:hAnsi="宋体"/>
          <w:bCs w:val="0"/>
          <w:kern w:val="2"/>
          <w:sz w:val="30"/>
          <w:szCs w:val="30"/>
        </w:rPr>
        <w:t>“</w:t>
      </w:r>
      <w:r w:rsidRPr="00677D1F">
        <w:rPr>
          <w:rFonts w:ascii="宋体" w:hAnsi="宋体" w:hint="eastAsia"/>
          <w:bCs w:val="0"/>
          <w:kern w:val="2"/>
          <w:sz w:val="30"/>
          <w:szCs w:val="30"/>
        </w:rPr>
        <w:t>三同时</w:t>
      </w:r>
      <w:r w:rsidRPr="00677D1F">
        <w:rPr>
          <w:rFonts w:ascii="宋体" w:hAnsi="宋体"/>
          <w:bCs w:val="0"/>
          <w:kern w:val="2"/>
          <w:sz w:val="30"/>
          <w:szCs w:val="30"/>
        </w:rPr>
        <w:t>”</w:t>
      </w:r>
      <w:r w:rsidRPr="00677D1F">
        <w:rPr>
          <w:rFonts w:ascii="宋体" w:hAnsi="宋体" w:hint="eastAsia"/>
          <w:bCs w:val="0"/>
          <w:kern w:val="2"/>
          <w:sz w:val="30"/>
          <w:szCs w:val="30"/>
        </w:rPr>
        <w:t>检查表和投资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本项目风险防范措施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三同时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检查表和投资见表</w:t>
      </w:r>
      <w:r w:rsidRPr="00677D1F">
        <w:rPr>
          <w:rFonts w:asciiTheme="minorEastAsia" w:hAnsiTheme="minorEastAsia" w:cs="宋体"/>
          <w:color w:val="000000"/>
          <w:kern w:val="0"/>
          <w:sz w:val="24"/>
          <w:szCs w:val="24"/>
        </w:rPr>
        <w:t>8.7-1</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8.7-1</w:t>
      </w:r>
      <w:r w:rsidRPr="00677D1F">
        <w:rPr>
          <w:rFonts w:ascii="黑体" w:eastAsia="黑体" w:hAnsi="黑体" w:cs="宋体" w:hint="eastAsia"/>
          <w:b/>
          <w:color w:val="000000"/>
          <w:kern w:val="0"/>
          <w:szCs w:val="21"/>
        </w:rPr>
        <w:t>风险防范措施</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三同时</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检查表和投资一览表</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8.8</w:t>
      </w:r>
      <w:r w:rsidRPr="00677D1F">
        <w:rPr>
          <w:rFonts w:ascii="宋体" w:hAnsi="宋体" w:hint="eastAsia"/>
          <w:bCs w:val="0"/>
          <w:kern w:val="2"/>
          <w:sz w:val="30"/>
          <w:szCs w:val="30"/>
        </w:rPr>
        <w:t>小结</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8.8.1</w:t>
      </w:r>
      <w:r w:rsidRPr="00677D1F">
        <w:rPr>
          <w:rFonts w:ascii="宋体" w:hAnsi="宋体" w:hint="eastAsia"/>
          <w:sz w:val="28"/>
          <w:szCs w:val="28"/>
        </w:rPr>
        <w:t>主要结论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本项目主要风险类型为有毒气体泄漏事故。泄漏事故发生后，不会造成厂区外人员死亡；</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的泄漏速率较小，扩散后的浓度不高，对周围的环境影响不大。项目的环境风险程度在落实各项风险防范措施的前提下是可接受的。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8.8.2</w:t>
      </w:r>
      <w:r w:rsidRPr="00677D1F">
        <w:rPr>
          <w:rFonts w:ascii="宋体" w:hAnsi="宋体" w:hint="eastAsia"/>
          <w:sz w:val="28"/>
          <w:szCs w:val="28"/>
        </w:rPr>
        <w:t>要求与建议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）要求建设单位针对可能发生的重大环境风险事故制定详细的环境风险应急预案，并经过专家评审，定期进行预案演练。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）建立企业环境风险应急机制，加强生产区、罐区及氯气及天然气输送管道巡查、监视力度，强化风险管理。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）厂区内应设一座安全防范事故池，事故池容积应不低于</w:t>
      </w:r>
      <w:r w:rsidRPr="00677D1F">
        <w:rPr>
          <w:rFonts w:asciiTheme="minorEastAsia" w:hAnsiTheme="minorEastAsia" w:cs="宋体"/>
          <w:color w:val="000000"/>
          <w:kern w:val="0"/>
          <w:sz w:val="24"/>
          <w:szCs w:val="24"/>
        </w:rPr>
        <w:t>4000m3</w:t>
      </w:r>
      <w:r w:rsidRPr="00677D1F">
        <w:rPr>
          <w:rFonts w:asciiTheme="minorEastAsia" w:hAnsiTheme="minorEastAsia" w:cs="宋体" w:hint="eastAsia"/>
          <w:color w:val="000000"/>
          <w:kern w:val="0"/>
          <w:sz w:val="24"/>
          <w:szCs w:val="24"/>
        </w:rPr>
        <w:t>；建议设计阶段进一步核实事故池的容积，并综合考虑厂区布局，合理设置事故池的位置。</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）设单位应委托有资质的单位做安全评价。</w:t>
      </w:r>
    </w:p>
    <w:p w:rsidR="00D228BE" w:rsidRPr="00677D1F" w:rsidRDefault="00D228BE" w:rsidP="00677D1F">
      <w:pPr>
        <w:widowControl/>
        <w:contextualSpacing/>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9环境保护措施及其经济、技术论证</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9.1</w:t>
      </w:r>
      <w:r w:rsidRPr="00677D1F">
        <w:rPr>
          <w:rFonts w:ascii="宋体" w:hAnsi="宋体" w:hint="eastAsia"/>
          <w:bCs w:val="0"/>
          <w:kern w:val="2"/>
          <w:sz w:val="30"/>
          <w:szCs w:val="30"/>
        </w:rPr>
        <w:t>废气治理措施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9.1.1</w:t>
      </w:r>
      <w:r w:rsidRPr="00677D1F">
        <w:rPr>
          <w:rFonts w:ascii="宋体" w:hAnsi="宋体" w:hint="eastAsia"/>
          <w:sz w:val="28"/>
          <w:szCs w:val="28"/>
        </w:rPr>
        <w:t xml:space="preserve"> 钛渣生产过程废气产生及治理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钛渣电炉烟气：本项目钛渣生产过程采用钛精矿与石油焦按一定比例加入钛渣电炉（两台25.5MVA钛渣电炉）中，经高温熔炼得到高钛渣和生铁。高温电炉产生的荒煤气经除尘净化后送至煤气柜储存，供电炉煤气锅炉（30t/h）使用。出渣出铁口含CO</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及粉尘的烟气分别经两套收尘系统净化后分别经不低于15m的两根排气筒排放。排放烟气量为：2×60000m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/h（出渣、出铁时间断排放），各污染浓度：SO2＜10mg/</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，粉尘≤20mg/m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，满足《镁、钛工业污染物排放标准》（GB25468-2010）的要求。蒸汽锅炉废气经过石灰-石膏脱硫除尘后经一根不低于 60 米的烟囱排放。烟气排放量为 30000 m3/h，各污染浓度：SO2＜35mg/m3，粉尘≤10mg/m3，满足《锅炉大气污染物排放标准》《GB13271-2014》要求。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原料库（钛精矿、还原剂）、氯化原料库、钛渣破碎及成品库、四氯化钛制备车间等工段均有粉尘散发，为减少粉尘污染，设计中对各散尘点采取密闭抽风并设高效除尘系统收尘达标后，由20m高排气筒排入大气环境。共设18套收尘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对海绵生产生产装置区的贮存、输送、配料、出料、破碎、筛分等产尘点设置密闭罩，并配布袋除尘技术，符合《大气污染治理工程技术导则》（HJ2000-2010）中“4总体要求”中“4.6运输、装卸和贮存有毒有害气体或粉尘物质，应采取密闭措施或其它防护措施”及“5污染气体的收集和输送”相关内容，措施在技术上可行。同时布袋除尘工程投资为10元/m3.h废气量，其经济上合理。布袋除尘技术对于粒径0.5</w:t>
      </w:r>
      <w:r w:rsidRPr="00677D1F">
        <w:rPr>
          <w:rFonts w:asciiTheme="minorEastAsia" w:hAnsiTheme="minorEastAsia" w:cs="宋体"/>
          <w:color w:val="000000"/>
          <w:kern w:val="0"/>
          <w:sz w:val="24"/>
          <w:szCs w:val="24"/>
        </w:rPr>
        <w:t>μ</w:t>
      </w:r>
      <w:r w:rsidRPr="00677D1F">
        <w:rPr>
          <w:rFonts w:asciiTheme="minorEastAsia" w:hAnsiTheme="minorEastAsia" w:cs="宋体" w:hint="eastAsia"/>
          <w:color w:val="000000"/>
          <w:kern w:val="0"/>
          <w:sz w:val="24"/>
          <w:szCs w:val="24"/>
        </w:rPr>
        <w:t>m的粉尘，除尘效率为99%，集气罩捕集效率90%，排放浓度可达50mg/m3或更低，可使粉尘排放浓度满足《镁、钛工业污染物排放标准》</w:t>
      </w:r>
      <w:r w:rsidRPr="00677D1F">
        <w:rPr>
          <w:rFonts w:asciiTheme="minorEastAsia" w:hAnsiTheme="minorEastAsia" w:cs="宋体" w:hint="eastAsia"/>
          <w:color w:val="000000"/>
          <w:kern w:val="0"/>
          <w:sz w:val="24"/>
          <w:szCs w:val="24"/>
        </w:rPr>
        <w:lastRenderedPageBreak/>
        <w:t>（GB25468-2010）表5标准，因此生产性粉尘采用集气罩+脉冲袋式除尘器处理处理措施是可行的。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9.1.2</w:t>
      </w:r>
      <w:r w:rsidRPr="00677D1F">
        <w:rPr>
          <w:rFonts w:ascii="宋体" w:hAnsi="宋体" w:hint="eastAsia"/>
          <w:sz w:val="28"/>
          <w:szCs w:val="28"/>
        </w:rPr>
        <w:t xml:space="preserve"> 海绵钛生产系统废气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（1）治理措施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本工程新建2台12500kVA高钛渣电弧炉，电炉尾气经热交换器利用余热后用于钛渣干燥，利用余热后的烟气进入脉冲布袋除尘器，经处理后的烟气从45m高排气筒达标排放。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氯化工段采用上排渣氯化炉4台及配套冷凝系统（3用1备），精制采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用4套除钒系统、精馏系统。氯化、精制尾气处理设置两套系统处理系统，氯化收尘渣等废气处理设置两套系统。氯化过程产生的氯化气流经收尘、冷凝处理后尾气中含有的主要污染物为HCl和Cl2；此外旋风分离除尘器排渣过程散发的废气、四氯化钛精制过程产生的尾气中主要污染物HCl。上述尾气最终经水洗（两级水洗），再经三级碱液洗涤净化处理后经80m烟囱排放大气中。氯化、精制尾气处理工艺流程见图9.1-1。</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图9.1-1氯化、精制尾气处理工艺流程图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炉尾气中主要污染物为颗粒物，项目采用的脉冲袋式除尘器技术成熟、设备可靠。袋式除尘器是利用纤维织物的过滤作用将含尘气体中的尘粒阻留在滤袋上，从而使颗粒物从废气中分离出来。除尘机理包括筛滤效应、惯性碰撞效应、拦截效应、扩散效应、重力沉降效应和静电效应。脉冲除尘器一种周期性的向滤袋内喷吹压缩空气来达到清除滤袋积尘的袋式除尘器，除尘效率可达99%以上，与电除尘器相比，附属设备少，投资省，节能。与湿式除尘器相比，无泥浆处理等问题，其性能稳定可靠，对氯化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负荷变化适应性好，运行管理简便，所收干尘便于处理或回收利用。脉冲除尘器主要优点有：处理能力大、除尘效率高、反吹气流阻力低、脉冲清灰效果好，灰仓锥角大，不易积灰，良好滤料的使用更能确保除尘器长期稳定运行。同时布袋除尘工程投资为10元/m3.h废气量，其经济上合理。布袋除尘技术对于粒径0.5</w:t>
      </w:r>
      <w:r w:rsidRPr="00677D1F">
        <w:rPr>
          <w:rFonts w:asciiTheme="minorEastAsia" w:hAnsiTheme="minorEastAsia" w:cs="宋体"/>
          <w:color w:val="000000"/>
          <w:kern w:val="0"/>
          <w:sz w:val="24"/>
          <w:szCs w:val="24"/>
        </w:rPr>
        <w:t>μ</w:t>
      </w:r>
      <w:r w:rsidRPr="00677D1F">
        <w:rPr>
          <w:rFonts w:asciiTheme="minorEastAsia" w:hAnsiTheme="minorEastAsia" w:cs="宋体" w:hint="eastAsia"/>
          <w:color w:val="000000"/>
          <w:kern w:val="0"/>
          <w:sz w:val="24"/>
          <w:szCs w:val="24"/>
        </w:rPr>
        <w:t>m的粉尘，除尘效率为99%，集气罩捕集效率90%，排放浓度可达50mg/m3或更低，可使粉尘排放浓度满足《镁、钛工业污染物排放标准》（GB25468-2010）表5标准，</w:t>
      </w:r>
      <w:r w:rsidRPr="00677D1F">
        <w:rPr>
          <w:rFonts w:asciiTheme="minorEastAsia" w:hAnsiTheme="minorEastAsia" w:cs="宋体" w:hint="eastAsia"/>
          <w:color w:val="000000"/>
          <w:kern w:val="0"/>
          <w:sz w:val="24"/>
          <w:szCs w:val="24"/>
        </w:rPr>
        <w:lastRenderedPageBreak/>
        <w:t>因此生产性粉尘采用集气罩+脉冲袋式除尘器处理处理措施是可行的。因烟气量大，而二氧化硫排放浓度较低，从技术角度安装脱硫设施难度较大，同时经济也不可行。同时二氧化硫能达标排放，因此安装脱硫设施是不必要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国内钛行业基本上设计采用该工艺处理氯化工段产生的尾气，根据国内采用两级水洗+三级碱液洗涤净化塔的厂家实践经验，该类型净化塔对HCl和Cl2净化效率可达91％～95.8％。因此，本项目只要在吸收液浓度配置合理、严把安装质量的条件下，净化塔的HCl和Cl2净化效率至少能够达到90％以上，且排放气体中Cl2排放浓度为33mg/Nm3，HCl排放浓度为14mg/m3，满足《镁、钛工业污染物排放标准》（GB25468-2010）表5标准，因此治理措施有效、可行。</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9.1.3</w:t>
      </w:r>
      <w:r w:rsidRPr="00677D1F">
        <w:rPr>
          <w:rFonts w:ascii="宋体" w:hAnsi="宋体" w:hint="eastAsia"/>
          <w:sz w:val="28"/>
          <w:szCs w:val="28"/>
        </w:rPr>
        <w:t>镁生产系统及还蒸废气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（1）治理措施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生产系统产生的废气主要来自于澄清槽、坩埚精炼炉、工具清洗炉及坩埚清渣机；氯压机室氯气导管和袋式过滤器排出的升华物含氯气，当升华物用水溶解时释放出的氯气；氯压机室袋式过滤器更换布袋时需排出的残留氯气；废硫酸槽净化酸时用压缩空气吹出的氯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电解槽定期除渣，渣与电解质被吸入真空抬包，放入澄清槽进行保温沉降，使渣沉至槽底，电解质在渣层上面，用真空抬包抽出返回电解槽。在渣沉降、出渣过程中有微量的含HCl的废气排出，将废气送入尾气处理工段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坩锅精炼炉用于精炼补充的固体镁锭和制备连续精炼炉的熔盐及坩锅精炼炉用的熔剂；工具清洗炉主要用于清洗坩锅精炼炉上的熔盐。生产过程中坩埚精炼炉、工具清洗炉、坩埚清渣机排气中含有微量的HCl，将废气送入尾气处理工段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压机室氯气导管和袋式过滤器排出的升华物含氯气，当升华物用水溶解时释放出的氯气；氯压机室袋式过滤器更换布袋时需排出的残留氯气；废硫酸槽净化酸时用压缩空气吹出的氯气，送尾气处理工段处理。还蒸抽真空废气与镁系统废气一起处理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尾气处理工段设置2套洗涤系统，每套系统设置3台串联洗涤塔，废气经碱液洗涤塔洗涤净化后通过50m高烟囱排放。镁生产系统及还蒸废气处理工艺流程见图</w:t>
      </w:r>
      <w:r w:rsidRPr="00677D1F">
        <w:rPr>
          <w:rFonts w:asciiTheme="minorEastAsia" w:hAnsiTheme="minorEastAsia" w:cs="宋体"/>
          <w:color w:val="000000"/>
          <w:kern w:val="0"/>
          <w:sz w:val="24"/>
          <w:szCs w:val="24"/>
        </w:rPr>
        <w:t>9.1-2</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9.1-2</w:t>
      </w:r>
      <w:r w:rsidRPr="00677D1F">
        <w:rPr>
          <w:rFonts w:ascii="黑体" w:eastAsia="黑体" w:hAnsi="黑体" w:cs="宋体" w:hint="eastAsia"/>
          <w:b/>
          <w:color w:val="000000"/>
          <w:kern w:val="0"/>
          <w:szCs w:val="21"/>
        </w:rPr>
        <w:t>镁生产系统及还蒸废气处理工艺流程图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国内钛行业基本上设计采用该工艺处理镁生产工段和还蒸产生的尾气，根据国内采用三级碱液洗涤净化塔的厂家实践经验，该类型净化塔对HCl和Cl2净化效率可达91％～95.8％。因此，本项目只要在吸收液浓度配置合理、严把安装质量的条件下，净化塔的HCl和Cl2净化效率至少能够达到90％以上，且经净化后的尾气中HCl排放浓度为10mg/m3、Cl2排放浓度为36mg/m3，满足《镁、钛工业污染物排放标准》（GB25468-2010）的表5标准，因此治理措施有效、可行。</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9.1.4</w:t>
      </w:r>
      <w:r w:rsidRPr="00677D1F">
        <w:rPr>
          <w:rFonts w:ascii="宋体" w:hAnsi="宋体" w:hint="eastAsia"/>
          <w:sz w:val="28"/>
          <w:szCs w:val="28"/>
        </w:rPr>
        <w:t>氯气生产系统废气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（1）治理措施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电解工序开、停车或事故状态下排放的废氯气，经管道送入事故氯气处理工序。废氯气在吸收塔中与15%稀碱液逆流接触，吸收塔顶部的达标尾气经25m排气筒排入大气。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生产产生废气中的主要污染物为废氯气，经与碱液反应后，对Cl2净化效率可达91％～95.8％。因此，本项目只要在吸收液浓度配置合理、严把安装质量的条件下，净化塔的Cl2净化效率至少能够达到90％以上，其氯气排放浓度及速率满足《大气污染物综合排放标准》（</w:t>
      </w:r>
      <w:r w:rsidRPr="00677D1F">
        <w:rPr>
          <w:rFonts w:asciiTheme="minorEastAsia" w:hAnsiTheme="minorEastAsia" w:cs="宋体"/>
          <w:color w:val="000000"/>
          <w:kern w:val="0"/>
          <w:sz w:val="24"/>
          <w:szCs w:val="24"/>
        </w:rPr>
        <w:t>GB16297-1996</w:t>
      </w:r>
      <w:r w:rsidRPr="00677D1F">
        <w:rPr>
          <w:rFonts w:asciiTheme="minorEastAsia" w:hAnsiTheme="minorEastAsia" w:cs="宋体" w:hint="eastAsia"/>
          <w:color w:val="000000"/>
          <w:kern w:val="0"/>
          <w:sz w:val="24"/>
          <w:szCs w:val="24"/>
        </w:rPr>
        <w:t>）新污染源中的二级标准。</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9.1.5</w:t>
      </w:r>
      <w:r w:rsidRPr="00677D1F">
        <w:rPr>
          <w:rFonts w:ascii="宋体" w:hAnsi="宋体" w:hint="eastAsia"/>
          <w:sz w:val="28"/>
          <w:szCs w:val="28"/>
        </w:rPr>
        <w:t>加热炉烟气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加热炉燃料采用天然气，含硫率较低，为清洁燃料，燃气炉排放的要污染物SO2、NOx、烟尘浓度水平较低，污染物排放浓度可达到《工业炉窑大气污染物排放标准》（GB9078-1996）中相应标准通过15m高排气筒排入大气，且措施符合《铸造防尘技术规程》中“GB8959-20079.4.1”的规定，因此治理措施有效、可行。</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9.1.6</w:t>
      </w:r>
      <w:r w:rsidRPr="00677D1F">
        <w:rPr>
          <w:rFonts w:ascii="宋体" w:hAnsi="宋体" w:hint="eastAsia"/>
          <w:sz w:val="28"/>
          <w:szCs w:val="28"/>
        </w:rPr>
        <w:t>酸性废气处理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）工艺技术及流程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钛加工系统中的酸洗槽或酸洗池酸洗机组及上方采用吸气罩将酸雾引入</w:t>
      </w:r>
      <w:r w:rsidRPr="00677D1F">
        <w:rPr>
          <w:rFonts w:asciiTheme="minorEastAsia" w:hAnsiTheme="minorEastAsia" w:cs="宋体"/>
          <w:color w:val="000000"/>
          <w:kern w:val="0"/>
          <w:sz w:val="24"/>
          <w:szCs w:val="24"/>
        </w:rPr>
        <w:t>BFN-35</w:t>
      </w:r>
      <w:r w:rsidRPr="00677D1F">
        <w:rPr>
          <w:rFonts w:asciiTheme="minorEastAsia" w:hAnsiTheme="minorEastAsia" w:cs="宋体" w:hint="eastAsia"/>
          <w:color w:val="000000"/>
          <w:kern w:val="0"/>
          <w:sz w:val="24"/>
          <w:szCs w:val="24"/>
        </w:rPr>
        <w:t>型二级串联酸雾净化塔，酸雾净化塔顶安装碱液喷淋系统，吸收液在塔底经专用耐碱泵增压后在塔顶喷淋而下，经过两层填料层的废气与氢氧化钠－硫化钠吸收液充分接触产生中和反应处理，经处理后的尾气由</w:t>
      </w:r>
      <w:r w:rsidRPr="00677D1F">
        <w:rPr>
          <w:rFonts w:asciiTheme="minorEastAsia" w:hAnsiTheme="minorEastAsia" w:cs="宋体"/>
          <w:color w:val="000000"/>
          <w:kern w:val="0"/>
          <w:sz w:val="24"/>
          <w:szCs w:val="24"/>
        </w:rPr>
        <w:t>15m</w:t>
      </w:r>
      <w:r w:rsidRPr="00677D1F">
        <w:rPr>
          <w:rFonts w:asciiTheme="minorEastAsia" w:hAnsiTheme="minorEastAsia" w:cs="宋体" w:hint="eastAsia"/>
          <w:color w:val="000000"/>
          <w:kern w:val="0"/>
          <w:sz w:val="24"/>
          <w:szCs w:val="24"/>
        </w:rPr>
        <w:t>高排气筒排入大气。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国内钛加工行业基本上设计采用湿法净化技术处理表面处理废气，湿法净化技术采用水、碱性溶液或某些盐类溶液来吸收酸雾废气中盐酸，从而达到净化回收的目的，此技术的优点在于设备体积小、净化效率高、效果好等优点，其技术是可行的。因此，本项目只要在吸收液浓度配置合理、严把安装质量的条件下，净化塔的盐酸的净化效率至少能够达到90％以上，其盐酸排放浓度及速率满足《大气污染物综合排放标准》（</w:t>
      </w:r>
      <w:r w:rsidRPr="00677D1F">
        <w:rPr>
          <w:rFonts w:asciiTheme="minorEastAsia" w:hAnsiTheme="minorEastAsia" w:cs="宋体"/>
          <w:color w:val="000000"/>
          <w:kern w:val="0"/>
          <w:sz w:val="24"/>
          <w:szCs w:val="24"/>
        </w:rPr>
        <w:t>GB16297-1996</w:t>
      </w:r>
      <w:r w:rsidRPr="00677D1F">
        <w:rPr>
          <w:rFonts w:asciiTheme="minorEastAsia" w:hAnsiTheme="minorEastAsia" w:cs="宋体" w:hint="eastAsia"/>
          <w:color w:val="000000"/>
          <w:kern w:val="0"/>
          <w:sz w:val="24"/>
          <w:szCs w:val="24"/>
        </w:rPr>
        <w:t>）新污染源中的二级标准，因此酸性废气利用酸雾净化塔碱液淋洗处理措施是可行的。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10.1.7</w:t>
      </w:r>
      <w:r w:rsidRPr="00677D1F">
        <w:rPr>
          <w:rFonts w:ascii="宋体" w:hAnsi="宋体" w:hint="eastAsia"/>
          <w:sz w:val="28"/>
          <w:szCs w:val="28"/>
        </w:rPr>
        <w:t>无组织废气控制措施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拟采用以下措施：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海绵钛生产的无组织废气主要是原料、贮存、输送、配料、海绵钛的输送、破碎及筛分等收尘溢失的粉尘和还原工艺设备散发的大量余热及车间内少量无组织排放的废气等，车间采用机械排风和自然通风相结合的通风措施，通过厂房顶设置天窗无组织排放到大气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）严格按照投料配比进行生产，采用密闭工艺，密封加料，减少生产过程中的粉尘等的无组织排放；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）废渣堆场采取防扬散、防流失、防渗漏措施，洒水，防止二次扬尘。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板带生产过程中冷轧机产生的油雾、表面处理产生的微量酸、碱，抛丸机产生的粉尘。油雾、酸、碱及烟（粉）尘均由设备随机带有的净化设备处理后外排。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焊接烟气、挤压过程有少量烟尘，厂房设置通风屋面。</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（6）</w:t>
      </w:r>
      <w:r w:rsidRPr="00677D1F">
        <w:rPr>
          <w:rFonts w:asciiTheme="minorEastAsia" w:hAnsiTheme="minorEastAsia" w:cs="宋体" w:hint="eastAsia"/>
          <w:color w:val="000000"/>
          <w:kern w:val="0"/>
          <w:sz w:val="24"/>
          <w:szCs w:val="24"/>
        </w:rPr>
        <w:t>屑状残钛在打磨过程中会有粉尘产生，工程设置了收尘装置，经收尘后排气筒排出气体。喷丸机产生的粉尘由设备随机带有的净化设备处理，车间机械通风。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根据预测结果，采取上述措施后，项目粉尘、</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的厂界浓度可以达到《镁、钛工业污染物排放标准》（</w:t>
      </w:r>
      <w:r w:rsidRPr="00677D1F">
        <w:rPr>
          <w:rFonts w:asciiTheme="minorEastAsia" w:hAnsiTheme="minorEastAsia" w:cs="宋体"/>
          <w:color w:val="000000"/>
          <w:kern w:val="0"/>
          <w:sz w:val="24"/>
          <w:szCs w:val="24"/>
        </w:rPr>
        <w:t>GB25468-2010</w:t>
      </w:r>
      <w:r w:rsidRPr="00677D1F">
        <w:rPr>
          <w:rFonts w:asciiTheme="minorEastAsia" w:hAnsiTheme="minorEastAsia" w:cs="宋体" w:hint="eastAsia"/>
          <w:color w:val="000000"/>
          <w:kern w:val="0"/>
          <w:sz w:val="24"/>
          <w:szCs w:val="24"/>
        </w:rPr>
        <w:t>）表</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标准，因此无组织防治措施是可行的。</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hint="eastAsia"/>
          <w:bCs w:val="0"/>
          <w:kern w:val="2"/>
          <w:sz w:val="30"/>
          <w:szCs w:val="30"/>
        </w:rPr>
        <w:t>9.2固废处置可行性分析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9.2.1</w:t>
      </w:r>
      <w:r w:rsidRPr="00677D1F">
        <w:rPr>
          <w:rFonts w:ascii="宋体" w:hAnsi="宋体" w:hint="eastAsia"/>
          <w:sz w:val="28"/>
          <w:szCs w:val="28"/>
        </w:rPr>
        <w:t>处置措施汇总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固体废物鉴别导则（试行）》对固体废物的相关规定，本项目产生的固体废物主要为氯化炉渣、镁电解及精炼炉渣、钛渣电炉、电解槽和氯化炉的大修渣（耐火材料）、废水处理污泥、氯气生产一次盐水工序中，预处理器和膜过滤器等排出的盐泥浆等及职工的生活垃圾、废螯合树脂和离子膜。氯化炉渣及收尘渣回收炭后送往哈密市工业固体废弃物贮存、处置场堆放处理。电解及精炼炉渣全部送至哈密市工业固体废弃物贮存、处置场堆放处理，钛渣电炉、电解槽和氯化炉的大修渣（耐火材料）送往哈密市工业固体废弃物贮存、处置场堆放处理，废水处理污泥（废水处理系统的中和压滤渣）及收尘渣送往哈密市工业固体废弃物贮存、处置场堆放处理。一次盐水工序中，预处理器和膜过滤器等排出的盐泥浆含固率约</w:t>
      </w:r>
      <w:r w:rsidRPr="00677D1F">
        <w:rPr>
          <w:rFonts w:asciiTheme="minorEastAsia" w:hAnsiTheme="minorEastAsia" w:cs="宋体"/>
          <w:color w:val="000000"/>
          <w:kern w:val="0"/>
          <w:sz w:val="24"/>
          <w:szCs w:val="24"/>
        </w:rPr>
        <w:t>28%</w:t>
      </w:r>
      <w:r w:rsidRPr="00677D1F">
        <w:rPr>
          <w:rFonts w:asciiTheme="minorEastAsia" w:hAnsiTheme="minorEastAsia" w:cs="宋体" w:hint="eastAsia"/>
          <w:color w:val="000000"/>
          <w:kern w:val="0"/>
          <w:sz w:val="24"/>
          <w:szCs w:val="24"/>
        </w:rPr>
        <w:t>采用板框压滤机进行过滤脱水</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该废渣可外运送作为铺路、制砖等综合用料。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根据中华人民共和国环境保护部和中华人民共和国国家发展和改革委员会〔</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〕第</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号令颁布的《国家危险废物名录》，本项目固体废物中的废离子膜、废离子交换树脂属于危险废物，送新疆危险废物处置中心进行安全处置。</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9.2.2</w:t>
      </w:r>
      <w:r w:rsidRPr="00677D1F">
        <w:rPr>
          <w:rFonts w:ascii="宋体" w:hAnsi="宋体" w:hint="eastAsia"/>
          <w:sz w:val="28"/>
          <w:szCs w:val="28"/>
        </w:rPr>
        <w:t>固废处置可行性分析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收尘渣、氯化炉渣、镁电解及精炼炉渣、钛渣电炉、电解槽和氯化炉的大修渣（耐火材料）送往哈密市工业固体废弃物贮存、处置场堆放处理，处理协议见附件。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（2）</w:t>
      </w:r>
      <w:r w:rsidRPr="00677D1F">
        <w:rPr>
          <w:rFonts w:asciiTheme="minorEastAsia" w:hAnsiTheme="minorEastAsia" w:cs="宋体" w:hint="eastAsia"/>
          <w:color w:val="000000"/>
          <w:kern w:val="0"/>
          <w:sz w:val="24"/>
          <w:szCs w:val="24"/>
        </w:rPr>
        <w:t>电解槽废弃的离子膜是由聚四氟乙烯纤维加强的全氟磺酸树脂和全氟羧酸树脂组成；盐水二次精制废弃的离子交换树脂皆属于危险废物。拟送新疆危险废物处置中心进行安全处置。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原盐电解之前，要对原盐进行精制，去除其中所含其它类型固形物以及</w:t>
      </w:r>
      <w:r w:rsidRPr="00677D1F">
        <w:rPr>
          <w:rFonts w:asciiTheme="minorEastAsia" w:hAnsiTheme="minorEastAsia" w:cs="宋体"/>
          <w:color w:val="000000"/>
          <w:kern w:val="0"/>
          <w:sz w:val="24"/>
          <w:szCs w:val="24"/>
        </w:rPr>
        <w:t>Ca2+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Mg2+</w:t>
      </w:r>
      <w:r w:rsidRPr="00677D1F">
        <w:rPr>
          <w:rFonts w:asciiTheme="minorEastAsia" w:hAnsiTheme="minorEastAsia" w:cs="宋体" w:hint="eastAsia"/>
          <w:color w:val="000000"/>
          <w:kern w:val="0"/>
          <w:sz w:val="24"/>
          <w:szCs w:val="24"/>
        </w:rPr>
        <w:t>等杂质离子，产生的盐泥和废渣经过板框压滤脱水后形成含水＜</w:t>
      </w:r>
      <w:r w:rsidRPr="00677D1F">
        <w:rPr>
          <w:rFonts w:asciiTheme="minorEastAsia" w:hAnsiTheme="minorEastAsia" w:cs="宋体"/>
          <w:color w:val="000000"/>
          <w:kern w:val="0"/>
          <w:sz w:val="24"/>
          <w:szCs w:val="24"/>
        </w:rPr>
        <w:t>28%</w:t>
      </w:r>
      <w:r w:rsidRPr="00677D1F">
        <w:rPr>
          <w:rFonts w:asciiTheme="minorEastAsia" w:hAnsiTheme="minorEastAsia" w:cs="宋体" w:hint="eastAsia"/>
          <w:color w:val="000000"/>
          <w:kern w:val="0"/>
          <w:sz w:val="24"/>
          <w:szCs w:val="24"/>
        </w:rPr>
        <w:t>的盐泥滤饼，盐泥滤饼可作为铺路、制砖等建材原辅材料综合利用。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氯气采用</w:t>
      </w:r>
      <w:r w:rsidRPr="00677D1F">
        <w:rPr>
          <w:rFonts w:asciiTheme="minorEastAsia" w:hAnsiTheme="minorEastAsia" w:cs="宋体"/>
          <w:color w:val="000000"/>
          <w:kern w:val="0"/>
          <w:sz w:val="24"/>
          <w:szCs w:val="24"/>
        </w:rPr>
        <w:t>98%</w:t>
      </w:r>
      <w:r w:rsidRPr="00677D1F">
        <w:rPr>
          <w:rFonts w:asciiTheme="minorEastAsia" w:hAnsiTheme="minorEastAsia" w:cs="宋体" w:hint="eastAsia"/>
          <w:color w:val="000000"/>
          <w:kern w:val="0"/>
          <w:sz w:val="24"/>
          <w:szCs w:val="24"/>
        </w:rPr>
        <w:t>的浓硫酸干燥脱水技术。硫酸浓度达到</w:t>
      </w:r>
      <w:r w:rsidRPr="00677D1F">
        <w:rPr>
          <w:rFonts w:asciiTheme="minorEastAsia" w:hAnsiTheme="minorEastAsia" w:cs="宋体"/>
          <w:color w:val="000000"/>
          <w:kern w:val="0"/>
          <w:sz w:val="24"/>
          <w:szCs w:val="24"/>
        </w:rPr>
        <w:t>75%</w:t>
      </w:r>
      <w:r w:rsidRPr="00677D1F">
        <w:rPr>
          <w:rFonts w:asciiTheme="minorEastAsia" w:hAnsiTheme="minorEastAsia" w:cs="宋体" w:hint="eastAsia"/>
          <w:color w:val="000000"/>
          <w:kern w:val="0"/>
          <w:sz w:val="24"/>
          <w:szCs w:val="24"/>
        </w:rPr>
        <w:t>时作为废硫酸外售，一部分用于钛材加工表面处理酸洗补充原料，其余的外售。处理协议见附件。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厂区污水处理站生化污水处理装置产生的污泥送往哈密市工业固体废弃物贮存、处置场堆放处理。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为了避免盐水中的硫酸根积累超标，淡盐水经膜过滤脱硝，其中渗透液作为脱硝淡盐水送至化盐单元配水槽，缩液连续送至冷冻脱硝单元。来自膜分离单元的浓缩液通过预冷、兑卤、冷冻及沉降过程回收芒硝，副产芒硝外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（7）各生产性粉尘经收集的粉尘返回各工艺流程中，因本身就是原料粉尘，利用到生产工艺是可行的。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（8）拟建项目生活垃圾送至当地垃圾填埋妥善处置，符合生活垃圾处理技术。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（9）锻造车间、板带车间产生的废料返回残钛车间回收处理后返回熔铸车间使用，减少了钛材加工的原料成本，且技术上可行。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通过以上的处理、处置措施，本项目的固体废物得到了安全有效处理和处置，且本工程固废处理处置符合《中华人民共和国固体废弃物污染防治法》相关要求，处理处置方法可行。</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9.2.3</w:t>
      </w:r>
      <w:r w:rsidRPr="00677D1F">
        <w:rPr>
          <w:rFonts w:ascii="宋体" w:hAnsi="宋体" w:hint="eastAsia"/>
          <w:sz w:val="28"/>
          <w:szCs w:val="28"/>
        </w:rPr>
        <w:t>危险废物临时储存设施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在化学品仓库内专设危险废物临时贮存设施，按产生量估计，贮存容积应为50m3。其设计、运行管理遵循的原则如下：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（1）危险废物贮存设施的设计原则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①地面与裙脚要用坚固、防渗的材料建造，建筑材料必须与危险废物相容。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②必须有泄漏液体收集装置、气体导出口及气体净化装置。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③设施内要有安全照明设施和观察窗口。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④用以存放装载液体、半固体危险废物容器的地方，必须有耐腐蚀的硬化地面，且表面无裂隙。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⑤应设计堵截泄漏的裙脚，地面与裙脚所围建的容积不低于堵截最大容器的最大储量或总储量的1/5。</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⑥不相容的危险废物必须分开存放，并设有隔离间隔断。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（2）危险废物贮存设施的运行与管理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①危险废物贮存前应进行检验，确保同预定接收的危险废物一致，并登记注册。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②按规定的标签填写的危险废物。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③盛装在容器内的同类危险废物可以堆叠存放。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④每个堆间应留有搬运通道。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⑤不得将不相容的废物混合或合并存放。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⑥作好危险废物情况的记录，记录上须注明危险废物的名称、来源、数量、特性和包装容器的类别、入库日期、存放库位、废物出库日期及接收单位名称。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⑦危险废物的记录和货单在危险废物回取后应继续保留3a。</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⑧必须定期对所贮存的危险废物包装容器及贮存设施进行检查，发现破损，应及时采取措施清理更换。</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（3）危险废物贮存设施的安全防护与监测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①危险废物贮存设施都必须按GB15562.2的规定设置警示标志。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②危险废物贮存设施周围应设置围墙或其他防护栅栏。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③危险废物贮存设施应配备通讯设备、照明设施、安全防护服装及工具，并设有应急防护设施。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④危险废物贮存设施内清理出来的泄漏物，一律按危险废物处理。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⑤按国家污染源管理要求对危险废物贮存设施进行监测。</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9.2.4</w:t>
      </w:r>
      <w:r w:rsidRPr="00677D1F">
        <w:rPr>
          <w:rFonts w:ascii="宋体" w:hAnsi="宋体" w:hint="eastAsia"/>
          <w:sz w:val="28"/>
          <w:szCs w:val="28"/>
        </w:rPr>
        <w:t>一般废物临时储存设施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（1）厂区暂存-渣棚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区设临时渣棚，渣棚建筑面积1482m2，为钢筋砼排架结构，容积为10800m3。临时渣棚位于四氯化钛系统区，位于厂区中心地带，且靠近氯化渣及收尘渣附近，因此选址是合理的。本项目产生的工业固体废物为第Ⅱ类一般工业固废，需经收集</w:t>
      </w:r>
      <w:r w:rsidRPr="00677D1F">
        <w:rPr>
          <w:rFonts w:asciiTheme="minorEastAsia" w:hAnsiTheme="minorEastAsia" w:cs="宋体" w:hint="eastAsia"/>
          <w:color w:val="000000"/>
          <w:kern w:val="0"/>
          <w:sz w:val="24"/>
          <w:szCs w:val="24"/>
        </w:rPr>
        <w:lastRenderedPageBreak/>
        <w:t>后先暂存于厂内渣棚，渣棚按Ⅱ类贮存场要求建设，需进行防渗处理。拟建项目运渣到临时渣棚处于厂区，且远离厂区生活区，因此厂区运渣扬尘影响较小。同时渣棚为封闭钢筋砼排架结构，不会因下雨造成淋溶水对地下水的影响，也不会因扬尘产生不利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（2）生活垃圾在厂内设垃圾箱暂存。</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9.2.5</w:t>
      </w:r>
      <w:r w:rsidRPr="00677D1F">
        <w:rPr>
          <w:rFonts w:ascii="宋体" w:hAnsi="宋体" w:hint="eastAsia"/>
          <w:sz w:val="28"/>
          <w:szCs w:val="28"/>
        </w:rPr>
        <w:t>依托处置废渣工程的可行性分析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（1）处理的废渣类别</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根据资料收集，钛厂废渣检测结果见表</w:t>
      </w:r>
      <w:r w:rsidRPr="00677D1F">
        <w:rPr>
          <w:rFonts w:asciiTheme="minorEastAsia" w:hAnsiTheme="minorEastAsia" w:cs="宋体"/>
          <w:color w:val="000000"/>
          <w:kern w:val="0"/>
          <w:sz w:val="24"/>
          <w:szCs w:val="24"/>
        </w:rPr>
        <w:t>9.2-1</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表9.2-1废渣的浸出液成分分析结果</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由以上检测结果可知，根据《危险废物鉴别标准——腐蚀性鉴别》</w:t>
      </w:r>
      <w:r w:rsidRPr="00677D1F">
        <w:rPr>
          <w:rFonts w:asciiTheme="minorEastAsia" w:hAnsiTheme="minorEastAsia" w:cs="宋体"/>
          <w:color w:val="000000"/>
          <w:kern w:val="0"/>
          <w:sz w:val="24"/>
          <w:szCs w:val="24"/>
        </w:rPr>
        <w:t>（GB5085.1-2007）</w:t>
      </w:r>
      <w:r w:rsidRPr="00677D1F">
        <w:rPr>
          <w:rFonts w:asciiTheme="minorEastAsia" w:hAnsiTheme="minorEastAsia" w:cs="宋体" w:hint="eastAsia"/>
          <w:color w:val="000000"/>
          <w:kern w:val="0"/>
          <w:sz w:val="24"/>
          <w:szCs w:val="24"/>
        </w:rPr>
        <w:t>，本项目废渣不属于危险废物。由于废渣的</w:t>
      </w:r>
      <w:r w:rsidRPr="00677D1F">
        <w:rPr>
          <w:rFonts w:asciiTheme="minorEastAsia" w:hAnsiTheme="minorEastAsia" w:cs="宋体"/>
          <w:color w:val="000000"/>
          <w:kern w:val="0"/>
          <w:sz w:val="24"/>
          <w:szCs w:val="24"/>
        </w:rPr>
        <w:t>pH</w:t>
      </w:r>
      <w:r w:rsidRPr="00677D1F">
        <w:rPr>
          <w:rFonts w:asciiTheme="minorEastAsia" w:hAnsiTheme="minorEastAsia" w:cs="宋体" w:hint="eastAsia"/>
          <w:color w:val="000000"/>
          <w:kern w:val="0"/>
          <w:sz w:val="24"/>
          <w:szCs w:val="24"/>
        </w:rPr>
        <w:t>值在</w:t>
      </w:r>
      <w:r w:rsidRPr="00677D1F">
        <w:rPr>
          <w:rFonts w:asciiTheme="minorEastAsia" w:hAnsiTheme="minorEastAsia" w:cs="宋体"/>
          <w:color w:val="000000"/>
          <w:kern w:val="0"/>
          <w:sz w:val="24"/>
          <w:szCs w:val="24"/>
        </w:rPr>
        <w:t>6~9</w:t>
      </w:r>
      <w:r w:rsidRPr="00677D1F">
        <w:rPr>
          <w:rFonts w:asciiTheme="minorEastAsia" w:hAnsiTheme="minorEastAsia" w:cs="宋体" w:hint="eastAsia"/>
          <w:color w:val="000000"/>
          <w:kern w:val="0"/>
          <w:sz w:val="24"/>
          <w:szCs w:val="24"/>
        </w:rPr>
        <w:t>之外，在</w:t>
      </w:r>
      <w:r w:rsidRPr="00677D1F">
        <w:rPr>
          <w:rFonts w:asciiTheme="minorEastAsia" w:hAnsiTheme="minorEastAsia" w:cs="宋体"/>
          <w:color w:val="000000"/>
          <w:kern w:val="0"/>
          <w:sz w:val="24"/>
          <w:szCs w:val="24"/>
        </w:rPr>
        <w:t>2.0~12.5</w:t>
      </w:r>
      <w:r w:rsidRPr="00677D1F">
        <w:rPr>
          <w:rFonts w:asciiTheme="minorEastAsia" w:hAnsiTheme="minorEastAsia" w:cs="宋体" w:hint="eastAsia"/>
          <w:color w:val="000000"/>
          <w:kern w:val="0"/>
          <w:sz w:val="24"/>
          <w:szCs w:val="24"/>
        </w:rPr>
        <w:t>之间，根据《一般工业固体废弃物贮存、处置场污染控制标准》</w:t>
      </w:r>
      <w:r w:rsidRPr="00677D1F">
        <w:rPr>
          <w:rFonts w:asciiTheme="minorEastAsia" w:hAnsiTheme="minorEastAsia" w:cs="宋体"/>
          <w:color w:val="000000"/>
          <w:kern w:val="0"/>
          <w:sz w:val="24"/>
          <w:szCs w:val="24"/>
        </w:rPr>
        <w:t>（GB18599-2001）</w:t>
      </w:r>
      <w:r w:rsidRPr="00677D1F">
        <w:rPr>
          <w:rFonts w:asciiTheme="minorEastAsia" w:hAnsiTheme="minorEastAsia" w:cs="宋体" w:hint="eastAsia"/>
          <w:color w:val="000000"/>
          <w:kern w:val="0"/>
          <w:sz w:val="24"/>
          <w:szCs w:val="24"/>
        </w:rPr>
        <w:t>，本项目废渣要堆放场为Ⅱ类一般工业固体废物。按《一般工业固体废物贮存、处置场污染控制标准》</w:t>
      </w:r>
      <w:r w:rsidRPr="00677D1F">
        <w:rPr>
          <w:rFonts w:asciiTheme="minorEastAsia" w:hAnsiTheme="minorEastAsia" w:cs="宋体"/>
          <w:color w:val="000000"/>
          <w:kern w:val="0"/>
          <w:sz w:val="24"/>
          <w:szCs w:val="24"/>
        </w:rPr>
        <w:t>（GB18599）</w:t>
      </w:r>
      <w:r w:rsidRPr="00677D1F">
        <w:rPr>
          <w:rFonts w:asciiTheme="minorEastAsia" w:hAnsiTheme="minorEastAsia" w:cs="宋体" w:hint="eastAsia"/>
          <w:color w:val="000000"/>
          <w:kern w:val="0"/>
          <w:sz w:val="24"/>
          <w:szCs w:val="24"/>
        </w:rPr>
        <w:t>，依托的堆场防渗层渗透系数应小于</w:t>
      </w:r>
      <w:r w:rsidRPr="00677D1F">
        <w:rPr>
          <w:rFonts w:asciiTheme="minorEastAsia" w:hAnsiTheme="minorEastAsia" w:cs="宋体"/>
          <w:color w:val="000000"/>
          <w:kern w:val="0"/>
          <w:sz w:val="24"/>
          <w:szCs w:val="24"/>
        </w:rPr>
        <w:t>1×10-7cm/s</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（2）依托处理废渣工程概况</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产生的工业废渣到哈密市工业固体废弃物贮存、处置场堆放处理。哈密市工业固体废弃物贮存、处置场的贮存、处置对象为哈密市区的工业废物主要是炉渣、尾矿、其它固废等；重工业园区工业废弃物主要是冶炼废渣、煤矸石、尾矿等，其固废主要为第Ⅱ类一般工业固体废弃物，且为无有毒有害固体废弃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哈密市工业固体废弃物贮存、处置场工程情况：四周修筑挡渣坝，为碾压土石坝。挡渣坝内设砂石滤液导流层和主、支盲沟，盲沟内敷设</w:t>
      </w:r>
      <w:r w:rsidRPr="00677D1F">
        <w:rPr>
          <w:rFonts w:asciiTheme="minorEastAsia" w:hAnsiTheme="minorEastAsia" w:cs="宋体"/>
          <w:color w:val="000000"/>
          <w:kern w:val="0"/>
          <w:sz w:val="24"/>
          <w:szCs w:val="24"/>
        </w:rPr>
        <w:t>HDPE</w:t>
      </w:r>
      <w:r w:rsidRPr="00677D1F">
        <w:rPr>
          <w:rFonts w:asciiTheme="minorEastAsia" w:hAnsiTheme="minorEastAsia" w:cs="宋体" w:hint="eastAsia"/>
          <w:color w:val="000000"/>
          <w:kern w:val="0"/>
          <w:sz w:val="24"/>
          <w:szCs w:val="24"/>
        </w:rPr>
        <w:t>集水管</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接入集水池。环场设置截洪沟。防渗层敷设三七灰土垫层，厚度不小于</w:t>
      </w:r>
      <w:r w:rsidRPr="00677D1F">
        <w:rPr>
          <w:rFonts w:asciiTheme="minorEastAsia" w:hAnsiTheme="minorEastAsia" w:cs="宋体"/>
          <w:color w:val="000000"/>
          <w:kern w:val="0"/>
          <w:sz w:val="24"/>
          <w:szCs w:val="24"/>
        </w:rPr>
        <w:t>1m</w:t>
      </w:r>
      <w:r w:rsidRPr="00677D1F">
        <w:rPr>
          <w:rFonts w:asciiTheme="minorEastAsia" w:hAnsiTheme="minorEastAsia" w:cs="宋体" w:hint="eastAsia"/>
          <w:color w:val="000000"/>
          <w:kern w:val="0"/>
          <w:sz w:val="24"/>
          <w:szCs w:val="24"/>
        </w:rPr>
        <w:t>，再敷设</w:t>
      </w:r>
      <w:r w:rsidRPr="00677D1F">
        <w:rPr>
          <w:rFonts w:asciiTheme="minorEastAsia" w:hAnsiTheme="minorEastAsia" w:cs="宋体"/>
          <w:color w:val="000000"/>
          <w:kern w:val="0"/>
          <w:sz w:val="24"/>
          <w:szCs w:val="24"/>
        </w:rPr>
        <w:t>GCL</w:t>
      </w:r>
      <w:r w:rsidRPr="00677D1F">
        <w:rPr>
          <w:rFonts w:asciiTheme="minorEastAsia" w:hAnsiTheme="minorEastAsia" w:cs="宋体" w:hint="eastAsia"/>
          <w:color w:val="000000"/>
          <w:kern w:val="0"/>
          <w:sz w:val="24"/>
          <w:szCs w:val="24"/>
        </w:rPr>
        <w:t>膨润土垫，其上敷设</w:t>
      </w:r>
      <w:r w:rsidRPr="00677D1F">
        <w:rPr>
          <w:rFonts w:asciiTheme="minorEastAsia" w:hAnsiTheme="minorEastAsia" w:cs="宋体"/>
          <w:color w:val="000000"/>
          <w:kern w:val="0"/>
          <w:sz w:val="24"/>
          <w:szCs w:val="24"/>
        </w:rPr>
        <w:t>1.5mm</w:t>
      </w:r>
      <w:r w:rsidRPr="00677D1F">
        <w:rPr>
          <w:rFonts w:asciiTheme="minorEastAsia" w:hAnsiTheme="minorEastAsia" w:cs="宋体" w:hint="eastAsia"/>
          <w:color w:val="000000"/>
          <w:kern w:val="0"/>
          <w:sz w:val="24"/>
          <w:szCs w:val="24"/>
        </w:rPr>
        <w:t>厚的</w:t>
      </w:r>
      <w:r w:rsidRPr="00677D1F">
        <w:rPr>
          <w:rFonts w:asciiTheme="minorEastAsia" w:hAnsiTheme="minorEastAsia" w:cs="宋体"/>
          <w:color w:val="000000"/>
          <w:kern w:val="0"/>
          <w:sz w:val="24"/>
          <w:szCs w:val="24"/>
        </w:rPr>
        <w:t>HDPE</w:t>
      </w:r>
      <w:r w:rsidRPr="00677D1F">
        <w:rPr>
          <w:rFonts w:asciiTheme="minorEastAsia" w:hAnsiTheme="minorEastAsia" w:cs="宋体" w:hint="eastAsia"/>
          <w:color w:val="000000"/>
          <w:kern w:val="0"/>
          <w:sz w:val="24"/>
          <w:szCs w:val="24"/>
        </w:rPr>
        <w:t>膜，膜上敷设一层</w:t>
      </w:r>
      <w:r w:rsidRPr="00677D1F">
        <w:rPr>
          <w:rFonts w:asciiTheme="minorEastAsia" w:hAnsiTheme="minorEastAsia" w:cs="宋体"/>
          <w:color w:val="000000"/>
          <w:kern w:val="0"/>
          <w:sz w:val="24"/>
          <w:szCs w:val="24"/>
        </w:rPr>
        <w:t>300g/m2</w:t>
      </w:r>
      <w:r w:rsidRPr="00677D1F">
        <w:rPr>
          <w:rFonts w:asciiTheme="minorEastAsia" w:hAnsiTheme="minorEastAsia" w:cs="宋体" w:hint="eastAsia"/>
          <w:color w:val="000000"/>
          <w:kern w:val="0"/>
          <w:sz w:val="24"/>
          <w:szCs w:val="24"/>
        </w:rPr>
        <w:t>的土工布。土工布采用短纤针刺非织造土工布。材质须符合</w:t>
      </w:r>
      <w:r w:rsidRPr="00677D1F">
        <w:rPr>
          <w:rFonts w:asciiTheme="minorEastAsia" w:hAnsiTheme="minorEastAsia" w:cs="宋体"/>
          <w:color w:val="000000"/>
          <w:kern w:val="0"/>
          <w:sz w:val="24"/>
          <w:szCs w:val="24"/>
        </w:rPr>
        <w:t>GB/T17638-1998</w:t>
      </w:r>
      <w:r w:rsidRPr="00677D1F">
        <w:rPr>
          <w:rFonts w:asciiTheme="minorEastAsia" w:hAnsiTheme="minorEastAsia" w:cs="宋体" w:hint="eastAsia"/>
          <w:color w:val="000000"/>
          <w:kern w:val="0"/>
          <w:sz w:val="24"/>
          <w:szCs w:val="24"/>
        </w:rPr>
        <w:t>《土工合成材料短纤针刺非织造土工布》要求。防渗膜采用</w:t>
      </w:r>
      <w:r w:rsidRPr="00677D1F">
        <w:rPr>
          <w:rFonts w:asciiTheme="minorEastAsia" w:hAnsiTheme="minorEastAsia" w:cs="宋体"/>
          <w:color w:val="000000"/>
          <w:kern w:val="0"/>
          <w:sz w:val="24"/>
          <w:szCs w:val="24"/>
        </w:rPr>
        <w:t>1.5mmHDPE</w:t>
      </w:r>
      <w:r w:rsidRPr="00677D1F">
        <w:rPr>
          <w:rFonts w:asciiTheme="minorEastAsia" w:hAnsiTheme="minorEastAsia" w:cs="宋体" w:hint="eastAsia"/>
          <w:color w:val="000000"/>
          <w:kern w:val="0"/>
          <w:sz w:val="24"/>
          <w:szCs w:val="24"/>
        </w:rPr>
        <w:t>膜，渗透系数</w:t>
      </w:r>
      <w:r w:rsidRPr="00677D1F">
        <w:rPr>
          <w:rFonts w:asciiTheme="minorEastAsia" w:hAnsiTheme="minorEastAsia" w:cs="宋体"/>
          <w:color w:val="000000"/>
          <w:kern w:val="0"/>
          <w:sz w:val="24"/>
          <w:szCs w:val="24"/>
        </w:rPr>
        <w:t>≤10-12cm/s</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（3）依托处理废渣的可行性分析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前面收集资料分析，本项目要处置的废渣为Ⅱ类一般工业固体废物，而哈密市工业固体废弃物贮存、处置场的贮存、处置对象第Ⅱ类一般工业固体废弃物，且为无有毒有害固体废弃物，因此本项目废渣符合入场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哈密市工业固体废弃物贮存、处置场的防渗膜采用</w:t>
      </w:r>
      <w:r w:rsidRPr="00677D1F">
        <w:rPr>
          <w:rFonts w:asciiTheme="minorEastAsia" w:hAnsiTheme="minorEastAsia" w:cs="宋体"/>
          <w:color w:val="000000"/>
          <w:kern w:val="0"/>
          <w:sz w:val="24"/>
          <w:szCs w:val="24"/>
        </w:rPr>
        <w:t>1.5mmHDPE</w:t>
      </w:r>
      <w:r w:rsidRPr="00677D1F">
        <w:rPr>
          <w:rFonts w:asciiTheme="minorEastAsia" w:hAnsiTheme="minorEastAsia" w:cs="宋体" w:hint="eastAsia"/>
          <w:color w:val="000000"/>
          <w:kern w:val="0"/>
          <w:sz w:val="24"/>
          <w:szCs w:val="24"/>
        </w:rPr>
        <w:t>膜，渗透系数</w:t>
      </w:r>
      <w:r w:rsidRPr="00677D1F">
        <w:rPr>
          <w:rFonts w:asciiTheme="minorEastAsia" w:hAnsiTheme="minorEastAsia" w:cs="宋体"/>
          <w:color w:val="000000"/>
          <w:kern w:val="0"/>
          <w:sz w:val="24"/>
          <w:szCs w:val="24"/>
        </w:rPr>
        <w:t>≤10-12cm/s</w:t>
      </w:r>
      <w:r w:rsidRPr="00677D1F">
        <w:rPr>
          <w:rFonts w:asciiTheme="minorEastAsia" w:hAnsiTheme="minorEastAsia" w:cs="宋体" w:hint="eastAsia"/>
          <w:color w:val="000000"/>
          <w:kern w:val="0"/>
          <w:sz w:val="24"/>
          <w:szCs w:val="24"/>
        </w:rPr>
        <w:t>，符合按《一般工业固体废物贮存、处置场污染控制标准》</w:t>
      </w:r>
      <w:r w:rsidRPr="00677D1F">
        <w:rPr>
          <w:rFonts w:asciiTheme="minorEastAsia" w:hAnsiTheme="minorEastAsia" w:cs="宋体"/>
          <w:color w:val="000000"/>
          <w:kern w:val="0"/>
          <w:sz w:val="24"/>
          <w:szCs w:val="24"/>
        </w:rPr>
        <w:t>（GB18599）</w:t>
      </w:r>
      <w:r w:rsidRPr="00677D1F">
        <w:rPr>
          <w:rFonts w:asciiTheme="minorEastAsia" w:hAnsiTheme="minorEastAsia" w:cs="宋体" w:hint="eastAsia"/>
          <w:color w:val="000000"/>
          <w:kern w:val="0"/>
          <w:sz w:val="24"/>
          <w:szCs w:val="24"/>
        </w:rPr>
        <w:t>渗透系数要求。</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9.3</w:t>
      </w:r>
      <w:r w:rsidRPr="00677D1F">
        <w:rPr>
          <w:rFonts w:ascii="宋体" w:hAnsi="宋体" w:hint="eastAsia"/>
          <w:bCs w:val="0"/>
          <w:kern w:val="2"/>
          <w:sz w:val="30"/>
          <w:szCs w:val="30"/>
        </w:rPr>
        <w:t xml:space="preserve"> 噪声防治措施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噪声污染主要从声源、传播途径和受体防护三个方面进行防治。尽可能选用低噪声设备、设备消声、设备隔振、设备减振等措施从声源上控制噪声。采用隔声、吸声、绿化等措施在传播途径上降噪。</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9.3.1</w:t>
      </w:r>
      <w:r w:rsidRPr="00677D1F">
        <w:rPr>
          <w:rFonts w:ascii="宋体" w:hAnsi="宋体" w:hint="eastAsia"/>
          <w:sz w:val="28"/>
          <w:szCs w:val="28"/>
        </w:rPr>
        <w:t xml:space="preserve"> 总图布置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在厂区总平面布置时，对噪声污染严重的车间要远离居住区或办公室；并在车间、生活区、道路两侧及零星空地进行绿化，以达到降尘降噪的目的。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9.3.2</w:t>
      </w:r>
      <w:r w:rsidRPr="00677D1F">
        <w:rPr>
          <w:rFonts w:ascii="宋体" w:hAnsi="宋体" w:hint="eastAsia"/>
          <w:sz w:val="28"/>
          <w:szCs w:val="28"/>
        </w:rPr>
        <w:t xml:space="preserve"> 降低声源噪声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（1）泵机组和电机处可设隔声罩或局部隔声罩、内衬吸声材料；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（2）电机部分可根据型号配置消声器；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（3）泵房做吸声、隔声处理。如利用吸声材料做吸声吊顶，墙体做吸声处理；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（4）泵的进出口接管做挠性连接或弹性连接；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（5）泵机组做金属弹簧、橡胶减震器等隔振、减振处理；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（6）泵的进出口管尺寸要合适、匹配，避免流速过高产生气蚀而引起强烈噪声。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（7）设置隔声罩，但要充分考虑通风散热问题；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（8）风机进、出口加设合适型号的消声器；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（9）在满足风机特性参数的前提下选用低噪声风机；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（10）在满足工艺条件的情况下，尽量配置专用风机房，并采取相应综合治理措施；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（11）对震动较大的风机机组的基础采用隔振与减振措施，其管路选用弹性软连接。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12）在压缩机类进气口安装消声器，对低频和脉动的噪声特性，采用抗性消声器，对中高频特性采用微孔抗性复合型消声器；对压缩机类采取隔声罩降低噪声；设置压缩机站房，对站房进行吸声、隔声处理，在一般情况下站房内设置操作室或控制室。控制室内采用隔声和吸声处理，包括隔声门、窗以及吸声材料（吸声吊顶等）；压缩机类管道和阀门采用噪声隔声包扎；压缩机组联网隔振、减振，管道采取弹性连接，并在管道中加设孔板降低管道中的气流脉冲而减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（13）确保烟气通过风机与排气筒时顺利排出，不反复折叠和产生湍流；除尘风机与排气筒之间设置为软连接。</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9.3.3</w:t>
      </w:r>
      <w:r w:rsidRPr="00677D1F">
        <w:rPr>
          <w:rFonts w:ascii="宋体" w:hAnsi="宋体" w:hint="eastAsia"/>
          <w:sz w:val="28"/>
          <w:szCs w:val="28"/>
        </w:rPr>
        <w:t xml:space="preserve"> 控制传播途径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进行厂区及厂界绿化，其绿化设计如下：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（1）道路绿化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厂区道路绿化设计与厂区通道设计统一考虑，并与通道两侧建构筑物、地上管架、地下管线、道路布置相协调。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道路绿化以种植行道树为主，考虑在道路两侧种植高大乔木，形成行列式的林荫道。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行道树树种快生树与慢生树比例为1:1。种植初期间距为5m，以求尽快达到绿化效果。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（2）建筑物周围绿化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为了节约用地，本工程绿化没有增加特别的、专门的绿化用地。本工程绿化利用建筑物之间、管线之间的合理间距而必须留有的空地进行绿化，达到了既节约土地，又绿化厂区和环境的目的。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在厂前区布置花坛、花架，适当种植景观树和四季花草，以景观设计为主。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利用厂区通道埋设地下管线地段的上部土质地面种植草坪、花卉或矮小灌木，充分利用土地，提高绿化覆盖率，既能起到净化美化作用，又能防止尘土飞扬，以利于保证产品质量。</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9.3.4</w:t>
      </w:r>
      <w:r w:rsidRPr="00677D1F">
        <w:rPr>
          <w:rFonts w:ascii="宋体" w:hAnsi="宋体" w:hint="eastAsia"/>
          <w:sz w:val="28"/>
          <w:szCs w:val="28"/>
        </w:rPr>
        <w:t xml:space="preserve"> 噪声个人防护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在接触高噪声作业的环境中，采取对操作人员发放护耳器、耳罩等防护用具。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经预测，本项目厂界噪声排放值最大为</w:t>
      </w:r>
      <w:r w:rsidRPr="00677D1F">
        <w:rPr>
          <w:rFonts w:asciiTheme="minorEastAsia" w:hAnsiTheme="minorEastAsia" w:cs="宋体"/>
          <w:color w:val="000000"/>
          <w:kern w:val="0"/>
          <w:sz w:val="24"/>
          <w:szCs w:val="24"/>
        </w:rPr>
        <w:t>53.4dB（A）</w:t>
      </w:r>
      <w:r w:rsidRPr="00677D1F">
        <w:rPr>
          <w:rFonts w:asciiTheme="minorEastAsia" w:hAnsiTheme="minorEastAsia" w:cs="宋体" w:hint="eastAsia"/>
          <w:color w:val="000000"/>
          <w:kern w:val="0"/>
          <w:sz w:val="24"/>
          <w:szCs w:val="24"/>
        </w:rPr>
        <w:t>，厂界周围各预测点昼、夜间场界排放噪声均达到</w:t>
      </w:r>
      <w:r w:rsidRPr="00677D1F">
        <w:rPr>
          <w:rFonts w:asciiTheme="minorEastAsia" w:hAnsiTheme="minorEastAsia" w:cs="宋体"/>
          <w:color w:val="000000"/>
          <w:kern w:val="0"/>
          <w:sz w:val="24"/>
          <w:szCs w:val="24"/>
        </w:rPr>
        <w:t>GB12348-2008</w:t>
      </w:r>
      <w:r w:rsidRPr="00677D1F">
        <w:rPr>
          <w:rFonts w:asciiTheme="minorEastAsia" w:hAnsiTheme="minorEastAsia" w:cs="宋体" w:hint="eastAsia"/>
          <w:color w:val="000000"/>
          <w:kern w:val="0"/>
          <w:sz w:val="24"/>
          <w:szCs w:val="24"/>
        </w:rPr>
        <w:t>《工业企业厂界环境噪声排放标准》</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类声环境功能区厂界环境噪声排放限值：昼间</w:t>
      </w:r>
      <w:r w:rsidRPr="00677D1F">
        <w:rPr>
          <w:rFonts w:asciiTheme="minorEastAsia" w:hAnsiTheme="minorEastAsia" w:cs="宋体"/>
          <w:color w:val="000000"/>
          <w:kern w:val="0"/>
          <w:sz w:val="24"/>
          <w:szCs w:val="24"/>
        </w:rPr>
        <w:t>≤65dB（A）</w:t>
      </w:r>
      <w:r w:rsidRPr="00677D1F">
        <w:rPr>
          <w:rFonts w:asciiTheme="minorEastAsia" w:hAnsiTheme="minorEastAsia" w:cs="宋体" w:hint="eastAsia"/>
          <w:color w:val="000000"/>
          <w:kern w:val="0"/>
          <w:sz w:val="24"/>
          <w:szCs w:val="24"/>
        </w:rPr>
        <w:t>，夜间</w:t>
      </w:r>
      <w:r w:rsidRPr="00677D1F">
        <w:rPr>
          <w:rFonts w:asciiTheme="minorEastAsia" w:hAnsiTheme="minorEastAsia" w:cs="宋体"/>
          <w:color w:val="000000"/>
          <w:kern w:val="0"/>
          <w:sz w:val="24"/>
          <w:szCs w:val="24"/>
        </w:rPr>
        <w:t>≤55dB（A）</w:t>
      </w:r>
      <w:r w:rsidRPr="00677D1F">
        <w:rPr>
          <w:rFonts w:asciiTheme="minorEastAsia" w:hAnsiTheme="minorEastAsia" w:cs="宋体" w:hint="eastAsia"/>
          <w:color w:val="000000"/>
          <w:kern w:val="0"/>
          <w:sz w:val="24"/>
          <w:szCs w:val="24"/>
        </w:rPr>
        <w:t>。因此噪声处置措施可行。</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9.4</w:t>
      </w:r>
      <w:r w:rsidRPr="00677D1F">
        <w:rPr>
          <w:rFonts w:ascii="宋体" w:hAnsi="宋体" w:hint="eastAsia"/>
          <w:bCs w:val="0"/>
          <w:kern w:val="2"/>
          <w:sz w:val="30"/>
          <w:szCs w:val="30"/>
        </w:rPr>
        <w:t xml:space="preserve"> 废水治理措施及可行性分析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9.4.1</w:t>
      </w:r>
      <w:r w:rsidRPr="00677D1F">
        <w:rPr>
          <w:rFonts w:ascii="宋体" w:hAnsi="宋体" w:hint="eastAsia"/>
          <w:sz w:val="28"/>
          <w:szCs w:val="28"/>
        </w:rPr>
        <w:t xml:space="preserve"> 生产废水治理措施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本项目废水分为两类，即生产废水及生活污水。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废物主要来源于海绵钛系统的设备冷却排水、还原蒸馏事故水、透平机及液氯蒸发排水、废盐水脱盐处理废水、氯压机室升华物溶解废水、尾气及事故氯气处理废水、循环水排水；氯气生产系统的螯合树脂塔排放的离子再生水、脱盐水单元混床再生时排放的酸碱废水以及氯气干燥塔排放稀硫酸及高温湿氢气经冷却、洗涤、分离后产生冷凝水、洗涤水；钛加工系统的熔铸冷却水废乳液；板带含酸废水、脱脂含碱废水、含油废水；残钛清洗废水等。生产排水分类进行处理，其中为节约新水用量，对设备冷却水设置循环水系统循环利用，本工程共设</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个循环水系统；收尘渣冲渣水、四氯化钛制备尾气洗涤废液、电解系统废气洗涤废液、升华物溶解废液、加工系统产生的含酸废水先经中和处理后与其他生产废水和初期雨水一起进入废水处理站的生产废水处理设备进行处理，再采用二级反渗透处理工艺处理后用于循环水补充。生产废水处理系统处理能力3</w:t>
      </w:r>
      <w:r w:rsidRPr="00677D1F">
        <w:rPr>
          <w:rFonts w:asciiTheme="minorEastAsia" w:hAnsiTheme="minorEastAsia" w:cs="宋体"/>
          <w:color w:val="000000"/>
          <w:kern w:val="0"/>
          <w:sz w:val="24"/>
          <w:szCs w:val="24"/>
        </w:rPr>
        <w:t>00m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。本工程最大日生产排水量3065</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本项目生活污水主要包括食堂、浴室、办公楼等处排水，生活污水量为297</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，经生活污水管网收集排入废水处理站的生活污水处理系统采用生活污水处理设备处理，生活污水处理系统污水处理能力为2</w:t>
      </w:r>
      <w:r w:rsidRPr="00677D1F">
        <w:rPr>
          <w:rFonts w:asciiTheme="minorEastAsia" w:hAnsiTheme="minorEastAsia" w:cs="宋体"/>
          <w:color w:val="000000"/>
          <w:kern w:val="0"/>
          <w:sz w:val="24"/>
          <w:szCs w:val="24"/>
        </w:rPr>
        <w:t>0m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，生活污水经处理后进入生产废水处理系统调节池与生产废水一起再进行处理，不外排。</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9.4.2</w:t>
      </w:r>
      <w:r w:rsidRPr="00677D1F">
        <w:rPr>
          <w:rFonts w:ascii="宋体" w:hAnsi="宋体" w:hint="eastAsia"/>
          <w:sz w:val="28"/>
          <w:szCs w:val="28"/>
        </w:rPr>
        <w:t xml:space="preserve"> 污水处理站</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9.4.2.1</w:t>
      </w:r>
      <w:r w:rsidRPr="00677D1F">
        <w:rPr>
          <w:rFonts w:asciiTheme="minorEastAsia" w:hAnsiTheme="minorEastAsia" w:cs="Times New Roman" w:hint="eastAsia"/>
          <w:b/>
          <w:bCs/>
          <w:color w:val="000000"/>
          <w:kern w:val="0"/>
          <w:sz w:val="24"/>
          <w:szCs w:val="24"/>
        </w:rPr>
        <w:t xml:space="preserve"> 废水处理工艺说明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全厂设置一座污水处理站。污水处理站设置两套独立的处理系统，分别处理全厂生活污水和生产废水及初期雨水。生活污水处理后回到生产废水调节池与生产废水一起处理，经处理后的生活污水、生产废水处理达标后回用于循环水补充用水。正常生产情况下无外排水。生活处理系统及生产处理系统产生的污泥经污泥脱水系统处理后汽车外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）生活污水处理系统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本工程最大日生活污水量为297</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，生活污水设置一套处理水量为2</w:t>
      </w:r>
      <w:r w:rsidRPr="00677D1F">
        <w:rPr>
          <w:rFonts w:asciiTheme="minorEastAsia" w:hAnsiTheme="minorEastAsia" w:cs="宋体"/>
          <w:color w:val="000000"/>
          <w:kern w:val="0"/>
          <w:sz w:val="24"/>
          <w:szCs w:val="24"/>
        </w:rPr>
        <w:t>0m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的一体化生活污水处理设备。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生活污水处理设备采用生化处理技术接触氧化法，水质参数按一般生活污水水质设计，进水</w:t>
      </w:r>
      <w:r w:rsidRPr="00677D1F">
        <w:rPr>
          <w:rFonts w:asciiTheme="minorEastAsia" w:hAnsiTheme="minorEastAsia" w:cs="宋体"/>
          <w:color w:val="000000"/>
          <w:kern w:val="0"/>
          <w:sz w:val="24"/>
          <w:szCs w:val="24"/>
        </w:rPr>
        <w:t>BOD5=100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300mg/L</w:t>
      </w:r>
      <w:r w:rsidRPr="00677D1F">
        <w:rPr>
          <w:rFonts w:asciiTheme="minorEastAsia" w:hAnsiTheme="minorEastAsia" w:cs="宋体" w:hint="eastAsia"/>
          <w:color w:val="000000"/>
          <w:kern w:val="0"/>
          <w:sz w:val="24"/>
          <w:szCs w:val="24"/>
        </w:rPr>
        <w:t>，出水</w:t>
      </w:r>
      <w:r w:rsidRPr="00677D1F">
        <w:rPr>
          <w:rFonts w:asciiTheme="minorEastAsia" w:hAnsiTheme="minorEastAsia" w:cs="宋体"/>
          <w:color w:val="000000"/>
          <w:kern w:val="0"/>
          <w:sz w:val="24"/>
          <w:szCs w:val="24"/>
        </w:rPr>
        <w:t>BOD5≤20mg/L</w:t>
      </w:r>
      <w:r w:rsidRPr="00677D1F">
        <w:rPr>
          <w:rFonts w:asciiTheme="minorEastAsia" w:hAnsiTheme="minorEastAsia" w:cs="宋体" w:hint="eastAsia"/>
          <w:color w:val="000000"/>
          <w:kern w:val="0"/>
          <w:sz w:val="24"/>
          <w:szCs w:val="24"/>
        </w:rPr>
        <w:t>。接触氧化池分为三级，总停留时间为</w:t>
      </w:r>
      <w:r w:rsidRPr="00677D1F">
        <w:rPr>
          <w:rFonts w:asciiTheme="minorEastAsia" w:hAnsiTheme="minorEastAsia" w:cs="宋体"/>
          <w:color w:val="000000"/>
          <w:kern w:val="0"/>
          <w:sz w:val="24"/>
          <w:szCs w:val="24"/>
        </w:rPr>
        <w:t>4h</w:t>
      </w:r>
      <w:r w:rsidRPr="00677D1F">
        <w:rPr>
          <w:rFonts w:asciiTheme="minorEastAsia" w:hAnsiTheme="minorEastAsia" w:cs="宋体" w:hint="eastAsia"/>
          <w:color w:val="000000"/>
          <w:kern w:val="0"/>
          <w:sz w:val="24"/>
          <w:szCs w:val="24"/>
        </w:rPr>
        <w:t>以上，填料为新型梯形填料，易结膜，不堵塞，填料比表面积为</w:t>
      </w:r>
      <w:r w:rsidRPr="00677D1F">
        <w:rPr>
          <w:rFonts w:asciiTheme="minorEastAsia" w:hAnsiTheme="minorEastAsia" w:cs="宋体"/>
          <w:color w:val="000000"/>
          <w:kern w:val="0"/>
          <w:sz w:val="24"/>
          <w:szCs w:val="24"/>
        </w:rPr>
        <w:t>160m</w:t>
      </w:r>
      <w:r w:rsidRPr="00677D1F">
        <w:rPr>
          <w:rFonts w:asciiTheme="minorEastAsia" w:hAnsiTheme="minorEastAsia" w:cs="宋体"/>
          <w:color w:val="000000"/>
          <w:kern w:val="0"/>
          <w:sz w:val="24"/>
          <w:szCs w:val="24"/>
          <w:vertAlign w:val="superscript"/>
        </w:rPr>
        <w:t>2</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hint="eastAsia"/>
          <w:color w:val="000000"/>
          <w:kern w:val="0"/>
          <w:sz w:val="24"/>
          <w:szCs w:val="24"/>
        </w:rPr>
        <w:t>，接触氧化池气水比为</w:t>
      </w:r>
      <w:r w:rsidRPr="00677D1F">
        <w:rPr>
          <w:rFonts w:asciiTheme="minorEastAsia" w:hAnsiTheme="minorEastAsia" w:cs="宋体"/>
          <w:color w:val="000000"/>
          <w:kern w:val="0"/>
          <w:sz w:val="24"/>
          <w:szCs w:val="24"/>
        </w:rPr>
        <w:t>12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以上。生活污水处理工艺流程见图</w:t>
      </w:r>
      <w:r w:rsidRPr="00677D1F">
        <w:rPr>
          <w:rFonts w:asciiTheme="minorEastAsia" w:hAnsiTheme="minorEastAsia" w:cs="宋体"/>
          <w:color w:val="000000"/>
          <w:kern w:val="0"/>
          <w:sz w:val="24"/>
          <w:szCs w:val="24"/>
        </w:rPr>
        <w:t>9.4-1</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rPr>
          <w:rFonts w:ascii="宋体" w:eastAsia="宋体" w:hAnsi="宋体" w:cs="宋体"/>
          <w:kern w:val="0"/>
          <w:sz w:val="24"/>
          <w:szCs w:val="24"/>
        </w:rPr>
      </w:pPr>
      <w:r w:rsidRPr="00677D1F">
        <w:object w:dxaOrig="6580" w:dyaOrig="1758">
          <v:shape id="_x0000_i1028" type="#_x0000_t75" style="width:329.15pt;height:87.9pt" o:ole="">
            <v:imagedata r:id="rId35" o:title=""/>
          </v:shape>
          <o:OLEObject Type="Embed" ProgID="Visio.Drawing.11" ShapeID="_x0000_i1028" DrawAspect="Content" ObjectID="_1652080680" r:id="rId36"/>
        </w:objec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图9.4-1  生活污水处理系统工艺流程图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）生产废水处理系统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本工程最大日生产排水量3065</w:t>
      </w:r>
      <w:r w:rsidRPr="00677D1F">
        <w:rPr>
          <w:rFonts w:asciiTheme="minorEastAsia" w:hAnsiTheme="minorEastAsia" w:cs="宋体"/>
          <w:color w:val="000000"/>
          <w:kern w:val="0"/>
          <w:sz w:val="24"/>
          <w:szCs w:val="24"/>
        </w:rPr>
        <w:t>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，适当考虑少量初期雨水。生产废水设置两套电控一体化净水器</w:t>
      </w:r>
      <w:r w:rsidRPr="00677D1F">
        <w:rPr>
          <w:rFonts w:asciiTheme="minorEastAsia" w:hAnsiTheme="minorEastAsia" w:cs="宋体"/>
          <w:color w:val="000000"/>
          <w:kern w:val="0"/>
          <w:sz w:val="24"/>
          <w:szCs w:val="24"/>
        </w:rPr>
        <w:t>YZJ-</w:t>
      </w:r>
      <w:r w:rsidRPr="00677D1F">
        <w:rPr>
          <w:rFonts w:asciiTheme="minorEastAsia" w:hAnsiTheme="minorEastAsia" w:cs="宋体" w:hint="eastAsia"/>
          <w:color w:val="000000"/>
          <w:kern w:val="0"/>
          <w:sz w:val="24"/>
          <w:szCs w:val="24"/>
        </w:rPr>
        <w:t>Ⅱ</w:t>
      </w:r>
      <w:r w:rsidRPr="00677D1F">
        <w:rPr>
          <w:rFonts w:asciiTheme="minorEastAsia" w:hAnsiTheme="minorEastAsia" w:cs="宋体"/>
          <w:color w:val="000000"/>
          <w:kern w:val="0"/>
          <w:sz w:val="24"/>
          <w:szCs w:val="24"/>
        </w:rPr>
        <w:t>-100D</w:t>
      </w:r>
      <w:r w:rsidRPr="00677D1F">
        <w:rPr>
          <w:rFonts w:asciiTheme="minorEastAsia" w:hAnsiTheme="minorEastAsia" w:cs="宋体" w:hint="eastAsia"/>
          <w:color w:val="000000"/>
          <w:kern w:val="0"/>
          <w:sz w:val="24"/>
          <w:szCs w:val="24"/>
        </w:rPr>
        <w:t>型设备，设计处理能力3</w:t>
      </w:r>
      <w:r w:rsidRPr="00677D1F">
        <w:rPr>
          <w:rFonts w:asciiTheme="minorEastAsia" w:hAnsiTheme="minorEastAsia" w:cs="宋体"/>
          <w:color w:val="000000"/>
          <w:kern w:val="0"/>
          <w:sz w:val="24"/>
          <w:szCs w:val="24"/>
        </w:rPr>
        <w:t>00m</w:t>
      </w:r>
      <w:r w:rsidRPr="00677D1F">
        <w:rPr>
          <w:rFonts w:asciiTheme="minorEastAsia" w:hAnsiTheme="minorEastAsia" w:cs="宋体"/>
          <w:color w:val="000000"/>
          <w:kern w:val="0"/>
          <w:sz w:val="24"/>
          <w:szCs w:val="24"/>
          <w:vertAlign w:val="superscript"/>
        </w:rPr>
        <w:t>3</w:t>
      </w: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本项目生产废水具有微量酸性，</w:t>
      </w:r>
      <w:r w:rsidRPr="00677D1F">
        <w:rPr>
          <w:rFonts w:asciiTheme="minorEastAsia" w:hAnsiTheme="minorEastAsia" w:cs="宋体"/>
          <w:color w:val="000000"/>
          <w:kern w:val="0"/>
          <w:sz w:val="24"/>
          <w:szCs w:val="24"/>
        </w:rPr>
        <w:t>pH</w:t>
      </w:r>
      <w:r w:rsidRPr="00677D1F">
        <w:rPr>
          <w:rFonts w:asciiTheme="minorEastAsia" w:hAnsiTheme="minorEastAsia" w:cs="宋体" w:hint="eastAsia"/>
          <w:color w:val="000000"/>
          <w:kern w:val="0"/>
          <w:sz w:val="24"/>
          <w:szCs w:val="24"/>
        </w:rPr>
        <w:t>值约为</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，其中主要含悬浮物</w:t>
      </w:r>
      <w:r w:rsidRPr="00677D1F">
        <w:rPr>
          <w:rFonts w:asciiTheme="minorEastAsia" w:hAnsiTheme="minorEastAsia" w:cs="宋体"/>
          <w:color w:val="000000"/>
          <w:kern w:val="0"/>
          <w:sz w:val="24"/>
          <w:szCs w:val="24"/>
        </w:rPr>
        <w:t>SS</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500mg/L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COD</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800mg/L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NaC</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l0.02%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MgCl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20.02%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KCl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0.04%</w:t>
      </w:r>
      <w:r w:rsidRPr="00677D1F">
        <w:rPr>
          <w:rFonts w:asciiTheme="minorEastAsia" w:hAnsiTheme="minorEastAsia" w:cs="宋体" w:hint="eastAsia"/>
          <w:color w:val="000000"/>
          <w:kern w:val="0"/>
          <w:sz w:val="24"/>
          <w:szCs w:val="24"/>
        </w:rPr>
        <w:t>等。生产废水处理流程：生产废水</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调节池（中和）</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潜水排污泵</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生产废水净化设备（沉淀、过滤）</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循环水补充水回用，处理工艺流程见图</w:t>
      </w:r>
      <w:r w:rsidRPr="00677D1F">
        <w:rPr>
          <w:rFonts w:asciiTheme="minorEastAsia" w:hAnsiTheme="minorEastAsia" w:cs="宋体"/>
          <w:color w:val="000000"/>
          <w:kern w:val="0"/>
          <w:sz w:val="24"/>
          <w:szCs w:val="24"/>
        </w:rPr>
        <w:t>9.4-2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rPr>
          <w:rFonts w:asciiTheme="minorEastAsia" w:hAnsiTheme="minorEastAsia" w:cs="宋体"/>
          <w:color w:val="000000"/>
          <w:kern w:val="0"/>
          <w:sz w:val="24"/>
          <w:szCs w:val="24"/>
        </w:rPr>
      </w:pPr>
      <w:r w:rsidRPr="00677D1F">
        <w:object w:dxaOrig="8288" w:dyaOrig="3181">
          <v:shape id="_x0000_i1029" type="#_x0000_t75" style="width:414.25pt;height:158.95pt" o:ole="">
            <v:imagedata r:id="rId37" o:title=""/>
          </v:shape>
          <o:OLEObject Type="Embed" ProgID="Visio.Drawing.11" ShapeID="_x0000_i1029" DrawAspect="Content" ObjectID="_1652080681" r:id="rId38"/>
        </w:objec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图9.4-2  生产废水处理系统工艺流程图</w:t>
      </w:r>
    </w:p>
    <w:p w:rsidR="00D228BE" w:rsidRPr="00677D1F" w:rsidRDefault="00D228BE" w:rsidP="00677D1F">
      <w:pPr>
        <w:widowControl/>
        <w:spacing w:line="240" w:lineRule="exact"/>
        <w:ind w:firstLineChars="200" w:firstLine="480"/>
        <w:contextualSpacing/>
        <w:rPr>
          <w:rFonts w:asciiTheme="minorEastAsia" w:hAnsiTheme="minorEastAsia" w:cs="宋体"/>
          <w:color w:val="000000"/>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）污泥脱水系统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污泥脱水系统主要由污泥池、污泥搅拌机、螺杆泵、离心脱水机、污泥加药装置、螺旋输送机、起重设备等组成。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）回用水泵房</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回用水泵房主要由回用水池、泵房、配电值班室、加压设备、起重设备、泵房排水设备等组成。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（）高盐废水处理站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本项目全厂生产废水处理站浓盐水的排水量为 192m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/d；四氯化钛生产系统定期会产生一定量的高盐水，其中主要含 NaCl、FeCl</w:t>
      </w:r>
      <w:r w:rsidRPr="00677D1F">
        <w:rPr>
          <w:rFonts w:asciiTheme="minorEastAsia" w:hAnsiTheme="minorEastAsia" w:cs="宋体" w:hint="eastAsia"/>
          <w:color w:val="000000"/>
          <w:kern w:val="0"/>
          <w:sz w:val="24"/>
          <w:szCs w:val="24"/>
          <w:vertAlign w:val="subscript"/>
        </w:rPr>
        <w:t>3</w:t>
      </w:r>
      <w:r w:rsidRPr="00677D1F">
        <w:rPr>
          <w:rFonts w:asciiTheme="minorEastAsia" w:hAnsiTheme="minorEastAsia" w:cs="宋体" w:hint="eastAsia"/>
          <w:color w:val="000000"/>
          <w:kern w:val="0"/>
          <w:sz w:val="24"/>
          <w:szCs w:val="24"/>
        </w:rPr>
        <w:t>、CaCl</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、MgCl</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，CaSO</w:t>
      </w:r>
      <w:r w:rsidRPr="00677D1F">
        <w:rPr>
          <w:rFonts w:asciiTheme="minorEastAsia" w:hAnsiTheme="minorEastAsia" w:cs="宋体" w:hint="eastAsia"/>
          <w:color w:val="000000"/>
          <w:kern w:val="0"/>
          <w:sz w:val="24"/>
          <w:szCs w:val="24"/>
          <w:vertAlign w:val="subscript"/>
        </w:rPr>
        <w:t>4</w:t>
      </w:r>
      <w:r w:rsidRPr="00677D1F">
        <w:rPr>
          <w:rFonts w:asciiTheme="minorEastAsia" w:hAnsiTheme="minorEastAsia" w:cs="宋体" w:hint="eastAsia"/>
          <w:color w:val="000000"/>
          <w:kern w:val="0"/>
          <w:sz w:val="24"/>
          <w:szCs w:val="24"/>
        </w:rPr>
        <w:t>，Na</w:t>
      </w:r>
      <w:r w:rsidRPr="00677D1F">
        <w:rPr>
          <w:rFonts w:asciiTheme="minorEastAsia" w:hAnsiTheme="minorEastAsia" w:cs="宋体" w:hint="eastAsia"/>
          <w:color w:val="000000"/>
          <w:kern w:val="0"/>
          <w:sz w:val="24"/>
          <w:szCs w:val="24"/>
          <w:vertAlign w:val="subscript"/>
        </w:rPr>
        <w:t>2</w:t>
      </w:r>
      <w:r w:rsidRPr="00677D1F">
        <w:rPr>
          <w:rFonts w:asciiTheme="minorEastAsia" w:hAnsiTheme="minorEastAsia" w:cs="宋体" w:hint="eastAsia"/>
          <w:color w:val="000000"/>
          <w:kern w:val="0"/>
          <w:sz w:val="24"/>
          <w:szCs w:val="24"/>
        </w:rPr>
        <w:t>SO</w:t>
      </w:r>
      <w:r w:rsidRPr="00677D1F">
        <w:rPr>
          <w:rFonts w:asciiTheme="minorEastAsia" w:hAnsiTheme="minorEastAsia" w:cs="宋体" w:hint="eastAsia"/>
          <w:color w:val="000000"/>
          <w:kern w:val="0"/>
          <w:sz w:val="24"/>
          <w:szCs w:val="24"/>
          <w:vertAlign w:val="subscript"/>
        </w:rPr>
        <w:t>4</w:t>
      </w:r>
      <w:r w:rsidRPr="00677D1F">
        <w:rPr>
          <w:rFonts w:asciiTheme="minorEastAsia" w:hAnsiTheme="minorEastAsia" w:cs="宋体" w:hint="eastAsia"/>
          <w:color w:val="000000"/>
          <w:kern w:val="0"/>
          <w:sz w:val="24"/>
          <w:szCs w:val="24"/>
        </w:rPr>
        <w:t xml:space="preserve"> 等，最大日排水量为280m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/d。</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高盐废水处理站设计处理能力为20m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/h（480m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/d），采用蒸发结晶工艺将废水蒸发同时回收氯化钙。高盐废水处理站工艺流程见图13-5。</w:t>
      </w:r>
    </w:p>
    <w:p w:rsidR="00D228BE" w:rsidRPr="00677D1F" w:rsidRDefault="00332EB6" w:rsidP="00677D1F">
      <w:pPr>
        <w:widowControl/>
        <w:spacing w:line="360" w:lineRule="auto"/>
        <w:ind w:firstLineChars="200" w:firstLine="420"/>
        <w:contextualSpacing/>
        <w:jc w:val="center"/>
        <w:rPr>
          <w:rFonts w:asciiTheme="minorEastAsia" w:hAnsiTheme="minorEastAsia" w:cs="宋体"/>
          <w:color w:val="000000"/>
          <w:kern w:val="0"/>
          <w:sz w:val="24"/>
          <w:szCs w:val="24"/>
        </w:rPr>
      </w:pPr>
      <w:r w:rsidRPr="00677D1F">
        <w:object w:dxaOrig="5291" w:dyaOrig="620">
          <v:shape id="_x0000_i1030" type="#_x0000_t75" style="width:264.6pt;height:30.85pt" o:ole="">
            <v:imagedata r:id="rId39" o:title=""/>
          </v:shape>
          <o:OLEObject Type="Embed" ProgID="Visio.Drawing.11" ShapeID="_x0000_i1030" DrawAspect="Content" ObjectID="_1652080682" r:id="rId40"/>
        </w:objec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图9.4-3  高盐废水处理站工艺流程图</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9.4.2.2</w:t>
      </w:r>
      <w:r w:rsidRPr="00677D1F">
        <w:rPr>
          <w:rFonts w:asciiTheme="minorEastAsia" w:hAnsiTheme="minorEastAsia" w:cs="Times New Roman" w:hint="eastAsia"/>
          <w:b/>
          <w:bCs/>
          <w:color w:val="000000"/>
          <w:kern w:val="0"/>
          <w:sz w:val="24"/>
          <w:szCs w:val="24"/>
        </w:rPr>
        <w:t xml:space="preserve"> 污水处理站处理效果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污水处理站的处理效率及进出水水质及达标分析见表</w:t>
      </w:r>
      <w:r w:rsidRPr="00677D1F">
        <w:rPr>
          <w:rFonts w:asciiTheme="minorEastAsia" w:hAnsiTheme="minorEastAsia" w:cs="宋体"/>
          <w:color w:val="000000"/>
          <w:kern w:val="0"/>
          <w:sz w:val="24"/>
          <w:szCs w:val="24"/>
        </w:rPr>
        <w:t>9.4-1</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表9.4-1污水处理站主要进出水水质及处理效率</w:t>
      </w:r>
    </w:p>
    <w:p w:rsidR="00D228BE" w:rsidRPr="00677D1F" w:rsidRDefault="00332EB6" w:rsidP="00677D1F">
      <w:pPr>
        <w:widowControl/>
        <w:contextualSpacing/>
        <w:rPr>
          <w:rFonts w:ascii="宋体" w:eastAsia="宋体" w:hAnsi="宋体" w:cs="宋体"/>
          <w:kern w:val="0"/>
          <w:sz w:val="24"/>
          <w:szCs w:val="24"/>
        </w:rPr>
      </w:pPr>
      <w:r w:rsidRPr="00677D1F">
        <w:rPr>
          <w:rFonts w:ascii="宋体" w:eastAsia="宋体" w:hAnsi="宋体" w:cs="宋体" w:hint="eastAsia"/>
          <w:color w:val="000000"/>
          <w:kern w:val="0"/>
          <w:sz w:val="18"/>
          <w:szCs w:val="18"/>
        </w:rPr>
        <w:t>注：*《镁钛工业污染物排放标准》；**《污水再生利用工程设计规范》。</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9.4.2.3</w:t>
      </w:r>
      <w:r w:rsidRPr="00677D1F">
        <w:rPr>
          <w:rFonts w:asciiTheme="minorEastAsia" w:hAnsiTheme="minorEastAsia" w:cs="Times New Roman" w:hint="eastAsia"/>
          <w:b/>
          <w:bCs/>
          <w:color w:val="000000"/>
          <w:kern w:val="0"/>
          <w:sz w:val="24"/>
          <w:szCs w:val="24"/>
        </w:rPr>
        <w:t xml:space="preserve"> 污水处理站工艺可行性分析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本项目生产废水设置两套电控一体化净水器YZJ-Ⅱ-100D型设备来处理，一体化净水装置它有：混凝池、沉淀池、过滤池、水质稳定装置、反冲洗装置、水泵及电气控制柜。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混凝池：投加混凝剂的原水由进水管进入混凝池内，用特制的搅拌机搅动，使水中的悬浮物和混凝剂充分接触反应形成矾花。一般净水装置是采用涡流反应来使水和混凝剂混和，但效果受水量的变化而不稳定。该净水装置则用搅拌机混和，不受水量变化而影响效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过滤池：经沉淀后的水流到过滤池过滤，滤池结构：底部为布水管，中部为石英砂，上部为无烟煤。过滤速度为10m/h，最后清水流到清水池回用。过滤池反冲周期为12小时左右，反冲时间为5-10分钟。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沉淀室：水经加混凝剂混凝后形成矾花，流到设备的沉淀池内进行沉淀，沉淀池采用斜管沉淀法，经过梯形斜板沉淀室沉淀完成固液分离，沉淀下来的污泥排入泥斗。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控一体化净水器YZJ-Ⅱ-100D型可将电厂、工矿企业锅炉冲渣、冲灰废水、钢铁企业的高炉洗涤废水、煤矿矿井、洗煤、矿山、铸造清砂、各种粉尘等废水和化工行业的氧化铝、电解铝、合成氨高浊度废水处理成工业循环用水，同时根据污水处理站的出水水质指标，本项目废水经处理可回用到工业循环用水在技术上是可行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经类比分析，初步确定污水处理站建设投资为200万元，约占总投资的0.026%，项目年运行费用约为1880万元，约占该项目产值的0.62%，所以该投资可为大部分同等生产规模钛企业所接受。</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9.4.3</w:t>
      </w:r>
      <w:r w:rsidRPr="00677D1F">
        <w:rPr>
          <w:rFonts w:ascii="宋体" w:hAnsi="宋体" w:hint="eastAsia"/>
          <w:sz w:val="28"/>
          <w:szCs w:val="28"/>
        </w:rPr>
        <w:t xml:space="preserve"> 回用可行性分析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本项目各间接循环水系统的排水和直接冷却排水到复用水系统直接回用，贯彻了</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节约与开源并重、节流优先、治污为本</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的用水原则，全面推广</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分质用水、串级用水、循环用水、一水多用、废水回用</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的节水技术，提高水的重复利用率；各间接循环水系统的排水及直接冷却排水的水质除水温略有升高外尚含有少量的悬浮物和盐类，其水经过处理到循环系统冷却补充用水是可行的。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电控一体化净水器YZJ-Ⅱ-100D型可将电厂、工矿企业锅炉冲渣、冲灰废水、钢铁企业的高炉洗涤废水、煤矿矿井、洗煤、矿山、铸造清砂、各种粉尘等废水和化工行业的氧化铝、电解铝、合成氨高浊度废水处理成工业循环用水，同时根据污水处理站的出水水质指标，本项目废水经处理可回用到工业循环用水在技术上是可行的，其回用是可行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9.4.4</w:t>
      </w:r>
      <w:r w:rsidRPr="00677D1F">
        <w:rPr>
          <w:rFonts w:ascii="宋体" w:hAnsi="宋体" w:hint="eastAsia"/>
          <w:sz w:val="28"/>
          <w:szCs w:val="28"/>
        </w:rPr>
        <w:t xml:space="preserve"> 废水零排放可行性分析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）技术可行性分析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根据本项目废水处理技术，废水经处理后出水完全可达到《再生水水质标准》（</w:t>
      </w:r>
      <w:r w:rsidRPr="00677D1F">
        <w:rPr>
          <w:rFonts w:asciiTheme="minorEastAsia" w:hAnsiTheme="minorEastAsia" w:cs="宋体"/>
          <w:color w:val="000000"/>
          <w:kern w:val="0"/>
          <w:sz w:val="24"/>
          <w:szCs w:val="24"/>
        </w:rPr>
        <w:t>SL368-2006</w:t>
      </w:r>
      <w:r w:rsidRPr="00677D1F">
        <w:rPr>
          <w:rFonts w:asciiTheme="minorEastAsia" w:hAnsiTheme="minorEastAsia" w:cs="宋体" w:hint="eastAsia"/>
          <w:color w:val="000000"/>
          <w:kern w:val="0"/>
          <w:sz w:val="24"/>
          <w:szCs w:val="24"/>
        </w:rPr>
        <w:t>）相关用水途径的</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工业用水控制项目和指标值</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SS≤30mg/L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BOD5≤10mg/L</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COD≤60mg/L</w:t>
      </w:r>
      <w:r w:rsidRPr="00677D1F">
        <w:rPr>
          <w:rFonts w:asciiTheme="minorEastAsia" w:hAnsiTheme="minorEastAsia" w:cs="宋体" w:hint="eastAsia"/>
          <w:color w:val="000000"/>
          <w:kern w:val="0"/>
          <w:sz w:val="24"/>
          <w:szCs w:val="24"/>
        </w:rPr>
        <w:t>、氨氮</w:t>
      </w:r>
      <w:r w:rsidRPr="00677D1F">
        <w:rPr>
          <w:rFonts w:asciiTheme="minorEastAsia" w:hAnsiTheme="minorEastAsia" w:cs="宋体"/>
          <w:color w:val="000000"/>
          <w:kern w:val="0"/>
          <w:sz w:val="24"/>
          <w:szCs w:val="24"/>
        </w:rPr>
        <w:t>≤10mg/L</w:t>
      </w:r>
      <w:r w:rsidRPr="00677D1F">
        <w:rPr>
          <w:rFonts w:asciiTheme="minorEastAsia" w:hAnsiTheme="minorEastAsia" w:cs="宋体" w:hint="eastAsia"/>
          <w:color w:val="000000"/>
          <w:kern w:val="0"/>
          <w:sz w:val="24"/>
          <w:szCs w:val="24"/>
        </w:rPr>
        <w:t>）选择标准值，因此污水处理后用于循环水系统回用是可行的。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）废水零排放排放保障措施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提高水资源综合利用率，减少废水排放量，减轻末端治理压力，二期项目工艺路线设计时引进清洁生产循环经济的理念，采取先进的工艺技术和废水治理措施保障工艺废水零排放。具体工艺技术、治理措施体系见表</w:t>
      </w:r>
      <w:r w:rsidRPr="00677D1F">
        <w:rPr>
          <w:rFonts w:asciiTheme="minorEastAsia" w:hAnsiTheme="minorEastAsia" w:cs="宋体"/>
          <w:color w:val="000000"/>
          <w:kern w:val="0"/>
          <w:sz w:val="24"/>
          <w:szCs w:val="24"/>
        </w:rPr>
        <w:t>9.4-2</w:t>
      </w:r>
      <w:r w:rsidRPr="00677D1F">
        <w:rPr>
          <w:rFonts w:asciiTheme="minorEastAsia" w:hAnsiTheme="minorEastAsia"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9.4-2</w:t>
      </w:r>
      <w:r w:rsidRPr="00677D1F">
        <w:rPr>
          <w:rFonts w:ascii="黑体" w:eastAsia="黑体" w:hAnsi="黑体" w:cs="宋体" w:hint="eastAsia"/>
          <w:b/>
          <w:color w:val="000000"/>
          <w:kern w:val="0"/>
          <w:szCs w:val="21"/>
        </w:rPr>
        <w:t>厂区废水零排放保障体系表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根据工程分析中的水平衡，可复用水单元完全可以消耗本项目产生的废水，且在技术是可行的，因此本项目完全可以做到废水零排放。</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9.5</w:t>
      </w:r>
      <w:r w:rsidRPr="00677D1F">
        <w:rPr>
          <w:rFonts w:ascii="宋体" w:hAnsi="宋体" w:hint="eastAsia"/>
          <w:bCs w:val="0"/>
          <w:kern w:val="2"/>
          <w:sz w:val="30"/>
          <w:szCs w:val="30"/>
        </w:rPr>
        <w:t>环保投资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建设项目的环保投资见表</w:t>
      </w:r>
      <w:r w:rsidRPr="00677D1F">
        <w:rPr>
          <w:rFonts w:asciiTheme="minorEastAsia" w:hAnsiTheme="minorEastAsia" w:cs="宋体"/>
          <w:color w:val="000000"/>
          <w:kern w:val="0"/>
          <w:sz w:val="24"/>
          <w:szCs w:val="24"/>
        </w:rPr>
        <w:t>9.5-1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9.5-1</w:t>
      </w:r>
      <w:r w:rsidRPr="00677D1F">
        <w:rPr>
          <w:rFonts w:ascii="黑体" w:eastAsia="黑体" w:hAnsi="黑体" w:cs="宋体" w:hint="eastAsia"/>
          <w:b/>
          <w:color w:val="000000"/>
          <w:kern w:val="0"/>
          <w:szCs w:val="21"/>
        </w:rPr>
        <w:t>建设项目环保投资一览表</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9.6</w:t>
      </w:r>
      <w:r w:rsidRPr="00677D1F">
        <w:rPr>
          <w:rFonts w:ascii="宋体" w:hAnsi="宋体" w:hint="eastAsia"/>
          <w:bCs w:val="0"/>
          <w:kern w:val="2"/>
          <w:sz w:val="30"/>
          <w:szCs w:val="30"/>
        </w:rPr>
        <w:t>环保治理设施</w:t>
      </w:r>
      <w:r w:rsidRPr="00677D1F">
        <w:rPr>
          <w:rFonts w:ascii="宋体" w:hAnsi="宋体"/>
          <w:bCs w:val="0"/>
          <w:kern w:val="2"/>
          <w:sz w:val="30"/>
          <w:szCs w:val="30"/>
        </w:rPr>
        <w:t>“</w:t>
      </w:r>
      <w:r w:rsidRPr="00677D1F">
        <w:rPr>
          <w:rFonts w:ascii="宋体" w:hAnsi="宋体" w:hint="eastAsia"/>
          <w:bCs w:val="0"/>
          <w:kern w:val="2"/>
          <w:sz w:val="30"/>
          <w:szCs w:val="30"/>
        </w:rPr>
        <w:t>三同时</w:t>
      </w:r>
      <w:r w:rsidRPr="00677D1F">
        <w:rPr>
          <w:rFonts w:ascii="宋体" w:hAnsi="宋体"/>
          <w:bCs w:val="0"/>
          <w:kern w:val="2"/>
          <w:sz w:val="30"/>
          <w:szCs w:val="30"/>
        </w:rPr>
        <w:t>”</w:t>
      </w:r>
      <w:r w:rsidRPr="00677D1F">
        <w:rPr>
          <w:rFonts w:ascii="宋体" w:hAnsi="宋体" w:hint="eastAsia"/>
          <w:bCs w:val="0"/>
          <w:kern w:val="2"/>
          <w:sz w:val="30"/>
          <w:szCs w:val="30"/>
        </w:rPr>
        <w:t>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根据《关于切实加强风险防范严格环境影响评价管理的通知》</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环发</w:t>
      </w:r>
      <w:r w:rsidRPr="00677D1F">
        <w:rPr>
          <w:rFonts w:asciiTheme="minorEastAsia" w:hAnsiTheme="minorEastAsia" w:cs="宋体"/>
          <w:color w:val="000000"/>
          <w:kern w:val="0"/>
          <w:sz w:val="24"/>
          <w:szCs w:val="24"/>
        </w:rPr>
        <w:t>[2012]98</w:t>
      </w:r>
      <w:r w:rsidRPr="00677D1F">
        <w:rPr>
          <w:rFonts w:asciiTheme="minorEastAsia" w:hAnsiTheme="minorEastAsia" w:cs="宋体" w:hint="eastAsia"/>
          <w:color w:val="000000"/>
          <w:kern w:val="0"/>
          <w:sz w:val="24"/>
          <w:szCs w:val="24"/>
        </w:rPr>
        <w:t>号</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内容：建设项目竣工环境保护验收报告应有环境风险防范设施和应急措施落实</w:t>
      </w:r>
      <w:r w:rsidRPr="00677D1F">
        <w:rPr>
          <w:rFonts w:asciiTheme="minorEastAsia" w:hAnsiTheme="minorEastAsia" w:cs="宋体" w:hint="eastAsia"/>
          <w:color w:val="000000"/>
          <w:kern w:val="0"/>
          <w:sz w:val="24"/>
          <w:szCs w:val="24"/>
        </w:rPr>
        <w:lastRenderedPageBreak/>
        <w:t>情况，因此本项目环境保护治理设施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措施，列出本项目</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三同时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表，具体见表</w:t>
      </w:r>
      <w:r w:rsidRPr="00677D1F">
        <w:rPr>
          <w:rFonts w:asciiTheme="minorEastAsia" w:hAnsiTheme="minorEastAsia" w:cs="宋体"/>
          <w:color w:val="000000"/>
          <w:kern w:val="0"/>
          <w:sz w:val="24"/>
          <w:szCs w:val="24"/>
        </w:rPr>
        <w:t>9.6-1</w:t>
      </w:r>
      <w:r w:rsidRPr="00677D1F">
        <w:rPr>
          <w:rFonts w:asciiTheme="minorEastAsia" w:hAnsiTheme="minorEastAsia"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9.6-1</w:t>
      </w:r>
      <w:r w:rsidRPr="00677D1F">
        <w:rPr>
          <w:rFonts w:ascii="黑体" w:eastAsia="黑体" w:hAnsi="黑体" w:cs="宋体" w:hint="eastAsia"/>
          <w:b/>
          <w:color w:val="000000"/>
          <w:kern w:val="0"/>
          <w:szCs w:val="21"/>
        </w:rPr>
        <w:t>本项目</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三同时</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验收一览表</w:t>
      </w:r>
    </w:p>
    <w:p w:rsidR="00D228BE" w:rsidRPr="00677D1F" w:rsidRDefault="00D228BE" w:rsidP="00677D1F">
      <w:pPr>
        <w:widowControl/>
        <w:contextualSpacing/>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10 清洁生产分析和循环经济</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10.1</w:t>
      </w:r>
      <w:r w:rsidRPr="00677D1F">
        <w:rPr>
          <w:rFonts w:ascii="宋体" w:hAnsi="宋体" w:hint="eastAsia"/>
          <w:bCs w:val="0"/>
          <w:kern w:val="2"/>
          <w:sz w:val="30"/>
          <w:szCs w:val="30"/>
        </w:rPr>
        <w:t xml:space="preserve"> 项目清洁生产评述</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10.1.1</w:t>
      </w:r>
      <w:r w:rsidRPr="00677D1F">
        <w:rPr>
          <w:rFonts w:ascii="宋体" w:hAnsi="宋体" w:hint="eastAsia"/>
          <w:sz w:val="28"/>
          <w:szCs w:val="28"/>
        </w:rPr>
        <w:t xml:space="preserve"> 项目清洁生产目的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清洁生产是指不断采取改进设计，使用清洁能源和原料，采用先进的工艺技术与设备、改善管理、综合利用等从源头削减污染的措施，提高资源利用效率，减少或者避免生产、服务和产品使用过程中污染物的产生和排放，以减轻或者削除对人类健康和环境的危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清洁生产的目的是：提高资源利用效率，减少和避免污染物的产生，实现生产全过程节能、降耗、减污、增效的目标。保护和改善环境，保障人体健康，促进经济与社会可持续发展。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实践证明，实施情节生产可减轻建设项目末端处理负担，增加建设项目的环境可靠性，提高建设项目产品的市场竞争力，降低建设项目的环境责任风险，是生产过程中需优先考虑的一种环境战略。</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10.1.2</w:t>
      </w:r>
      <w:r w:rsidRPr="00677D1F">
        <w:rPr>
          <w:rFonts w:ascii="宋体" w:hAnsi="宋体" w:hint="eastAsia"/>
          <w:sz w:val="28"/>
          <w:szCs w:val="28"/>
        </w:rPr>
        <w:t xml:space="preserve"> 清洁生产评价依据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本项目没有国家颁布的行业清洁生产标准，本项目从生产工艺与设备、资源能源利用、产品和污染物产生等有关清洁生产指标内容来分析本项目的清洁生产水平。</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10.2</w:t>
      </w:r>
      <w:r w:rsidRPr="00677D1F">
        <w:rPr>
          <w:rFonts w:ascii="宋体" w:hAnsi="宋体" w:hint="eastAsia"/>
          <w:bCs w:val="0"/>
          <w:kern w:val="2"/>
          <w:sz w:val="30"/>
          <w:szCs w:val="30"/>
        </w:rPr>
        <w:t xml:space="preserve"> 清洁生产分析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10.2.1</w:t>
      </w:r>
      <w:r w:rsidRPr="00677D1F">
        <w:rPr>
          <w:rFonts w:ascii="宋体" w:hAnsi="宋体" w:hint="eastAsia"/>
          <w:sz w:val="28"/>
          <w:szCs w:val="28"/>
        </w:rPr>
        <w:t xml:space="preserve"> 海绵钛生产系统清洁生产水平分析</w:t>
      </w:r>
    </w:p>
    <w:p w:rsidR="00D228BE" w:rsidRPr="00677D1F" w:rsidRDefault="00332EB6" w:rsidP="00677D1F">
      <w:pPr>
        <w:widowControl/>
        <w:spacing w:line="360" w:lineRule="auto"/>
        <w:contextualSpacing/>
        <w:outlineLvl w:val="3"/>
        <w:rPr>
          <w:rFonts w:asciiTheme="minorEastAsia" w:hAnsiTheme="minorEastAsia" w:cs="宋体"/>
          <w:kern w:val="0"/>
          <w:sz w:val="24"/>
          <w:szCs w:val="24"/>
        </w:rPr>
      </w:pPr>
      <w:r w:rsidRPr="00677D1F">
        <w:rPr>
          <w:rFonts w:asciiTheme="minorEastAsia" w:hAnsiTheme="minorEastAsia" w:cs="Times New Roman"/>
          <w:b/>
          <w:bCs/>
          <w:color w:val="000000"/>
          <w:kern w:val="0"/>
          <w:sz w:val="24"/>
          <w:szCs w:val="24"/>
        </w:rPr>
        <w:t>10.2.1.1</w:t>
      </w:r>
      <w:r w:rsidRPr="00677D1F">
        <w:rPr>
          <w:rFonts w:asciiTheme="minorEastAsia" w:hAnsiTheme="minorEastAsia" w:cs="Times New Roman" w:hint="eastAsia"/>
          <w:b/>
          <w:bCs/>
          <w:color w:val="000000"/>
          <w:kern w:val="0"/>
          <w:sz w:val="24"/>
          <w:szCs w:val="24"/>
        </w:rPr>
        <w:t xml:space="preserve"> </w:t>
      </w:r>
      <w:r w:rsidRPr="00677D1F">
        <w:rPr>
          <w:rFonts w:asciiTheme="minorEastAsia" w:hAnsiTheme="minorEastAsia" w:cs="宋体" w:hint="eastAsia"/>
          <w:b/>
          <w:bCs/>
          <w:color w:val="000000"/>
          <w:kern w:val="0"/>
          <w:sz w:val="24"/>
          <w:szCs w:val="24"/>
        </w:rPr>
        <w:t>生产技术先进性分析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海绵钛生产的富钛料生产采用大型钛渣电炉熔炼工艺炉工艺，海绵钛生产采用目前国际上通用的镁还原蒸馏法、以钛精矿为原料采用全流程生产工艺，实现镁氯</w:t>
      </w:r>
      <w:r w:rsidRPr="00677D1F">
        <w:rPr>
          <w:rFonts w:asciiTheme="minorEastAsia" w:hAnsiTheme="minorEastAsia" w:cs="宋体" w:hint="eastAsia"/>
          <w:color w:val="000000"/>
          <w:kern w:val="0"/>
          <w:sz w:val="24"/>
          <w:szCs w:val="24"/>
        </w:rPr>
        <w:lastRenderedPageBreak/>
        <w:t>闭路循环。海绵钛生产工艺是以高钦渣和石油焦为原料生产四氯化钛，再由四氯化钛生产海绵钛。其中采用沸腾氯化法制取四氯化钦，采用镁热还原蒸馏法生产海绵钛生产过程中产生的废气主要为氯化废气，经收尘和冷凝后进行淋洗及经碱液淋洗后由烟囱达标排放；生产废水经处理后全部重复利用；固体废物全部进行有效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（1）富钛料生产工艺技术先进性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富钛料分为金红石和钛渣，金红石分为天然金红石和人造金红石，天然金红石由天然金红石矿选矿得到，人造金红石是采用钛铁矿采用盐酸浸法、锈蚀法、选择氯化法等富集二氧化钛生产得到。钛渣分为氯化渣和酸溶性渣两种，酸溶渣供硫酸法钛白的原料，氯化渣主要氯化法钛白和海绵钛的原料。根据本项目的原料情况，其非铁杂质含量较低即，原料钙、镁含量较低，适宜采用钛渣熔炼方式进行二氧化钛的富集，钛渣熔炼富集的特点是，流程短、三废量少，操作简单、占地面积小，产品质量满足沸腾氯化生产四氯化钛的要求，因此拟采用钛渣电炉生产高钛渣的生产工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（2）粗四氯化钛的生产工艺技术先进性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钛渣氯化生产四氯化钛的方法主要有沸腾氯化法、熔盐氯化法和竖炉氯化法三种，每种方法主要技术特点见表10.2-1。</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表10.2-1三种粗四氯化钛生产方法技术特点的综合比较表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采用高效的沸腾氯化炉技术生产四氯化钛，相对钛渣氯化生产四氯化钛的其它方法，沸腾氯化炉结构简单、产能高，金属回收率可达96%；外排渣量很少；尾气中游离氯含量低，尾气量少易于处理，设备密闭性好，自动化控制程度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（3）粗四氯化钛的精制（提纯）生产工艺先进性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粗四氯化钛中含有许多杂质，需要进一步提纯才能用于海绵钛生产。通常采用“物理+化学”方法来去除粗四氯化钛中的有害杂质。“物理”法用于分离高、低沸点杂质；“化学”法用于分离含钒杂质，目前有：铜丝除钒、铝粉除钒、H2S除钒、有机物除钒四种工业方法，这四种工业除钒方法的主要特点分析见表10.2-2。</w:t>
      </w:r>
    </w:p>
    <w:p w:rsidR="00D228BE" w:rsidRPr="00677D1F" w:rsidRDefault="00332EB6" w:rsidP="00677D1F">
      <w:pPr>
        <w:widowControl/>
        <w:contextualSpacing/>
        <w:rPr>
          <w:rFonts w:ascii="宋体" w:eastAsia="宋体" w:hAnsi="宋体" w:cs="宋体"/>
          <w:kern w:val="0"/>
          <w:sz w:val="24"/>
          <w:szCs w:val="24"/>
        </w:rPr>
      </w:pPr>
      <w:r w:rsidRPr="00677D1F">
        <w:rPr>
          <w:rFonts w:ascii="黑体" w:eastAsia="黑体" w:hAnsi="黑体" w:cs="宋体" w:hint="eastAsia"/>
          <w:color w:val="000000"/>
          <w:kern w:val="0"/>
          <w:szCs w:val="21"/>
        </w:rPr>
        <w:t>表10.2-2四种化学除钒方法的综合比较表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本项目有机物除钒工艺技术，相对其它工艺技术有机物除钒工艺成本低，“三废”量少环境污染小，有机物除钒工艺成本低，“三废”量少，环境污染小。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（4）海绵钛的生产工艺先进性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工业生产海绵钛的方法曾有两种：镁还原法和钠还原法，钠还原法的特点是设备简单，投资较低，还原速度快，放热量大，操作简单，但产品含Cl-较高，海绵钛粉产出量较大，产品的熔铸性能差，炉子产能小，到上世纪80年代后期已被逐步淘汰，目前世界上在工业上生产的方法仅存镁还原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还原法包括：镁还原-真空蒸馏法和镁还原-氦气吹扫法。镁还原-氦气吹扫法的产品比真空蒸馏法含Cl-多，并且增加了惰性气体的用量，因此没有获得大范围应用，目前世界上只有美国奥勒冈冶金公司还在采用。其余工厂全部采用镁还原-真空蒸馏法。镁还原-真空蒸馏法的特点是能耗低，产品质量好，因此获得了普遍推广。</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还原-真空蒸馏法分为联合法和半联合法。半联合法是还原结束后冷却后再组装好蒸馏设备，再重新加热转入蒸馏；联合法是趁热态将冷凝罐组装直接转入蒸馏作业。本项目拟采用联合法生产工艺。联合法有并联法（倒“U”型）和串联法（“I”型）两种，我国这两种方法都应用于工业生产，目前国内炉型并联有2t、3t、5t、7.5～8t和10t/炉，串联亦有1t、2t、3t、5t、7.5/炉。主要生产炉型比较见见表10.2-3。</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表10.2-3主要生产炉型比较表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本项目拟选采国内的倒“U”型（并联法）还原蒸馏装置，单炉产能按9.5t/炉进行系统配置，处于国内先进水平。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（5）镁电解的生产工艺先进性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镁电解生产用的镁电解槽有有隔板镁电解槽，无隔板镁电解槽，流水线电解槽，多极性镁电解槽。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中国电解镁工业从50年代起，自抚顺铝厂镁车间开始起步，我国电解镁厂采用的是有隔板槽（IG槽）。电流强度从1957年底投产的抚铝62.5kA，提高到80年代民和镁厂的110kA的有隔板槽。有隔板槽单位槽底面积产量低，直流电耗高，槽密闭性差，氯气浓度低，氯气回收率低，环保差，工人劳动强度大。有隔板镁电解槽，现在已被淘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1992年，抚顺铝厂镁电解车间扩建，引进前苏联105kA无隔板槽。1993年下半年光华镁厂也采用105kA无隔板槽，一次投产成功。1996年民和镁厂建光卤石炼镁生产线，将无隔板电解槽容量提高到120kA，并一次投产成功。与有隔板槽相比，</w:t>
      </w:r>
      <w:r w:rsidRPr="00677D1F">
        <w:rPr>
          <w:rFonts w:asciiTheme="minorEastAsia" w:hAnsiTheme="minorEastAsia" w:cs="宋体" w:hint="eastAsia"/>
          <w:color w:val="000000"/>
          <w:kern w:val="0"/>
          <w:sz w:val="24"/>
          <w:szCs w:val="24"/>
        </w:rPr>
        <w:lastRenderedPageBreak/>
        <w:t>无隔板槽吨镁直流电耗降低了3000kWh，槽密闭性好，氯气浓度高，环保较好，工人劳动强度降低。现在，国外电解镁厂均采用较大容量的无隔板镁电解槽，电流效率较高，吨镁直流电耗较低。</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流水线式电解镁生产技术，电解槽之间由熔体通道连接，电解质从第一台槽流到最后一台槽。定点加料、定点出镁，成为一个流水线式镁生产系统，克服了传统的单槽操作的缺点，实现了镁电解工艺的连续生产，技术经济指标好，劳动强度低，可提高劳动生产率，降低人工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多极镁电解槽具有以下优点为电解室紧凑，槽底单位面积产能较大，大约是单极性无隔板镁电解槽的3倍；电耗低（直流电耗9500-11000kWh/t-Mg）；槽子密封好，环保卫生条件好，无集镁室排气，氯气回收量大于单极性无隔板镁电解槽，氯气浓度大于先进的大型无隔板镁电解槽；槽电流强度较小，可降低整流设备投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多极槽与其它镁电解槽的比较见表10.2-4。</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表10.2-4各种镁电解槽比较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采用采用多极镁电解槽电解技术。多极槽单台槽产能大，占地面积小，可大幅度减少厂房投资，吨镁综合投资基本一致，而且直流电耗多极槽方案比其他任何电解槽节电2100kWh/t.Mg以上。从以上比较中可以看出多极槽各项指标都优于传统的单极槽，且多极镁电解槽已在国内海绵钛厂应用成功，为国内先进技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海绵钛破碎工艺先进</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海绵钛破碎采用小粒度破碎新工艺，相对传统的破碎工艺，该工艺可使小粒度产品产出率达60%以上，且破碎效率也有明显提高，克服了传统破碎工艺存在的海绵钦易被挤压密实和局部过热氧化的弊病。该项新工艺技术，不仅可使产品的氧化减少，粒度分布均匀合理，而且产品外观质量也有明显改进，可作为进口替代产品使用。</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10.2.1.2</w:t>
      </w:r>
      <w:r w:rsidRPr="00677D1F">
        <w:rPr>
          <w:rFonts w:asciiTheme="minorEastAsia" w:hAnsiTheme="minorEastAsia" w:cs="Times New Roman" w:hint="eastAsia"/>
          <w:b/>
          <w:bCs/>
          <w:color w:val="000000"/>
          <w:kern w:val="0"/>
          <w:sz w:val="24"/>
          <w:szCs w:val="24"/>
        </w:rPr>
        <w:t>资源利用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能耗消耗指标分析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根据计算，本项目海绵钛单位产品综合能源消耗为</w:t>
      </w:r>
      <w:r w:rsidRPr="00677D1F">
        <w:rPr>
          <w:rFonts w:asciiTheme="minorEastAsia" w:hAnsiTheme="minorEastAsia" w:cs="宋体"/>
          <w:color w:val="000000"/>
          <w:kern w:val="0"/>
          <w:sz w:val="24"/>
          <w:szCs w:val="24"/>
        </w:rPr>
        <w:t>4.378t</w:t>
      </w:r>
      <w:r w:rsidRPr="00677D1F">
        <w:rPr>
          <w:rFonts w:asciiTheme="minorEastAsia" w:hAnsiTheme="minorEastAsia" w:cs="宋体" w:hint="eastAsia"/>
          <w:color w:val="000000"/>
          <w:kern w:val="0"/>
          <w:sz w:val="24"/>
          <w:szCs w:val="24"/>
        </w:rPr>
        <w:t>标准煤。能耗消耗指标见表</w:t>
      </w:r>
      <w:r w:rsidRPr="00677D1F">
        <w:rPr>
          <w:rFonts w:asciiTheme="minorEastAsia" w:hAnsiTheme="minorEastAsia" w:cs="宋体"/>
          <w:color w:val="000000"/>
          <w:kern w:val="0"/>
          <w:sz w:val="24"/>
          <w:szCs w:val="24"/>
        </w:rPr>
        <w:t>10.2-5</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表10.2-5海绵钛单位产品综合能耗计算表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本项目海绵钛单位产品工艺能耗为</w:t>
      </w:r>
      <w:r w:rsidRPr="00677D1F">
        <w:rPr>
          <w:rFonts w:asciiTheme="minorEastAsia" w:hAnsiTheme="minorEastAsia" w:cs="宋体"/>
          <w:color w:val="000000"/>
          <w:kern w:val="0"/>
          <w:sz w:val="24"/>
          <w:szCs w:val="24"/>
        </w:rPr>
        <w:t>4.378t</w:t>
      </w:r>
      <w:r w:rsidRPr="00677D1F">
        <w:rPr>
          <w:rFonts w:asciiTheme="minorEastAsia" w:hAnsiTheme="minorEastAsia" w:cs="宋体" w:hint="eastAsia"/>
          <w:color w:val="000000"/>
          <w:kern w:val="0"/>
          <w:sz w:val="24"/>
          <w:szCs w:val="24"/>
        </w:rPr>
        <w:t>标准煤，达到《海绵钛单位产品能源消耗限额》目标值</w:t>
      </w:r>
      <w:r w:rsidRPr="00677D1F">
        <w:rPr>
          <w:rFonts w:asciiTheme="minorEastAsia" w:hAnsiTheme="minorEastAsia" w:cs="宋体"/>
          <w:color w:val="000000"/>
          <w:kern w:val="0"/>
          <w:sz w:val="24"/>
          <w:szCs w:val="24"/>
        </w:rPr>
        <w:t>4.38tce/t-</w:t>
      </w:r>
      <w:r w:rsidRPr="00677D1F">
        <w:rPr>
          <w:rFonts w:asciiTheme="minorEastAsia" w:hAnsiTheme="minorEastAsia" w:cs="宋体" w:hint="eastAsia"/>
          <w:color w:val="000000"/>
          <w:kern w:val="0"/>
          <w:sz w:val="24"/>
          <w:szCs w:val="24"/>
        </w:rPr>
        <w:t>海绵钛的要求，符合节能设计的要求。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主要工艺节能措施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①钛渣熔炼工序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钛渣电炉：目前国内用于生产沸腾氯化高钛渣的电炉主要有</w:t>
      </w:r>
      <w:r w:rsidRPr="00677D1F">
        <w:rPr>
          <w:rFonts w:asciiTheme="minorEastAsia" w:hAnsiTheme="minorEastAsia" w:cs="宋体"/>
          <w:color w:val="000000"/>
          <w:kern w:val="0"/>
          <w:sz w:val="24"/>
          <w:szCs w:val="24"/>
        </w:rPr>
        <w:t>1800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3600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4000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6300</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7000kVA</w:t>
      </w:r>
      <w:r w:rsidRPr="00677D1F">
        <w:rPr>
          <w:rFonts w:asciiTheme="minorEastAsia" w:hAnsiTheme="minorEastAsia" w:cs="宋体" w:hint="eastAsia"/>
          <w:color w:val="000000"/>
          <w:kern w:val="0"/>
          <w:sz w:val="24"/>
          <w:szCs w:val="24"/>
        </w:rPr>
        <w:t>钛渣电炉，本项目考虑钛精矿品位较好，采用</w:t>
      </w:r>
      <w:r w:rsidRPr="00677D1F">
        <w:rPr>
          <w:rFonts w:asciiTheme="minorEastAsia" w:hAnsiTheme="minorEastAsia" w:cs="宋体"/>
          <w:color w:val="000000"/>
          <w:kern w:val="0"/>
          <w:sz w:val="24"/>
          <w:szCs w:val="24"/>
        </w:rPr>
        <w:t>12500kVA</w:t>
      </w:r>
      <w:r w:rsidRPr="00677D1F">
        <w:rPr>
          <w:rFonts w:asciiTheme="minorEastAsia" w:hAnsiTheme="minorEastAsia" w:cs="宋体" w:hint="eastAsia"/>
          <w:color w:val="000000"/>
          <w:kern w:val="0"/>
          <w:sz w:val="24"/>
          <w:szCs w:val="24"/>
        </w:rPr>
        <w:t>钛渣电炉，大型电炉的产能大于小型电炉，其能源及原材料消耗低于小型炉，余热可回收利用，生产环境也有较大改善，功率因数由</w:t>
      </w:r>
      <w:r w:rsidRPr="00677D1F">
        <w:rPr>
          <w:rFonts w:asciiTheme="minorEastAsia" w:hAnsiTheme="minorEastAsia" w:cs="宋体"/>
          <w:color w:val="000000"/>
          <w:kern w:val="0"/>
          <w:sz w:val="24"/>
          <w:szCs w:val="24"/>
        </w:rPr>
        <w:t>0.85</w:t>
      </w:r>
      <w:r w:rsidRPr="00677D1F">
        <w:rPr>
          <w:rFonts w:asciiTheme="minorEastAsia" w:hAnsiTheme="minorEastAsia" w:cs="宋体" w:hint="eastAsia"/>
          <w:color w:val="000000"/>
          <w:kern w:val="0"/>
          <w:sz w:val="24"/>
          <w:szCs w:val="24"/>
        </w:rPr>
        <w:t>提高至</w:t>
      </w:r>
      <w:r w:rsidRPr="00677D1F">
        <w:rPr>
          <w:rFonts w:asciiTheme="minorEastAsia" w:hAnsiTheme="minorEastAsia" w:cs="宋体"/>
          <w:color w:val="000000"/>
          <w:kern w:val="0"/>
          <w:sz w:val="24"/>
          <w:szCs w:val="24"/>
        </w:rPr>
        <w:t>0.9</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②氯化工序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氯化生产粗</w:t>
      </w:r>
      <w:r w:rsidRPr="00677D1F">
        <w:rPr>
          <w:rFonts w:asciiTheme="minorEastAsia" w:hAnsiTheme="minorEastAsia" w:cs="宋体"/>
          <w:color w:val="000000"/>
          <w:kern w:val="0"/>
          <w:sz w:val="24"/>
          <w:szCs w:val="24"/>
        </w:rPr>
        <w:t>TiCl4</w:t>
      </w:r>
      <w:r w:rsidRPr="00677D1F">
        <w:rPr>
          <w:rFonts w:asciiTheme="minorEastAsia" w:hAnsiTheme="minorEastAsia" w:cs="宋体" w:hint="eastAsia"/>
          <w:color w:val="000000"/>
          <w:kern w:val="0"/>
          <w:sz w:val="24"/>
          <w:szCs w:val="24"/>
        </w:rPr>
        <w:t>，目前国内外主要采用熔盐氯化和沸腾氯化两种氯化方式生产四氯化钛。熔盐氯化对含钙镁高的原料比较适合，但因熔盐要电加热，故能耗较大。本工艺选用大型沸腾氯化炉，以便使炉子尽可能实现规模效益，减小能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镁电极返回氯气浓度在</w:t>
      </w:r>
      <w:r w:rsidRPr="00677D1F">
        <w:rPr>
          <w:rFonts w:asciiTheme="minorEastAsia" w:hAnsiTheme="minorEastAsia" w:cs="宋体"/>
          <w:color w:val="000000"/>
          <w:kern w:val="0"/>
          <w:sz w:val="24"/>
          <w:szCs w:val="24"/>
        </w:rPr>
        <w:t>95%</w:t>
      </w:r>
      <w:r w:rsidRPr="00677D1F">
        <w:rPr>
          <w:rFonts w:asciiTheme="minorEastAsia" w:hAnsiTheme="minorEastAsia" w:cs="宋体" w:hint="eastAsia"/>
          <w:color w:val="000000"/>
          <w:kern w:val="0"/>
          <w:sz w:val="24"/>
          <w:szCs w:val="24"/>
        </w:rPr>
        <w:t>以上，其带入的空气量较少，从而进入氯化反应炉的</w:t>
      </w:r>
      <w:r w:rsidRPr="00677D1F">
        <w:rPr>
          <w:rFonts w:asciiTheme="minorEastAsia" w:hAnsiTheme="minorEastAsia" w:cs="宋体"/>
          <w:color w:val="000000"/>
          <w:kern w:val="0"/>
          <w:sz w:val="24"/>
          <w:szCs w:val="24"/>
        </w:rPr>
        <w:t>O2</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N2</w:t>
      </w:r>
      <w:r w:rsidRPr="00677D1F">
        <w:rPr>
          <w:rFonts w:asciiTheme="minorEastAsia" w:hAnsiTheme="minorEastAsia" w:cs="宋体" w:hint="eastAsia"/>
          <w:color w:val="000000"/>
          <w:kern w:val="0"/>
          <w:sz w:val="24"/>
          <w:szCs w:val="24"/>
        </w:rPr>
        <w:t>也就减少。可降低</w:t>
      </w:r>
      <w:r w:rsidRPr="00677D1F">
        <w:rPr>
          <w:rFonts w:asciiTheme="minorEastAsia" w:hAnsiTheme="minorEastAsia" w:cs="宋体"/>
          <w:color w:val="000000"/>
          <w:kern w:val="0"/>
          <w:sz w:val="24"/>
          <w:szCs w:val="24"/>
        </w:rPr>
        <w:t>O2</w:t>
      </w:r>
      <w:r w:rsidRPr="00677D1F">
        <w:rPr>
          <w:rFonts w:asciiTheme="minorEastAsia" w:hAnsiTheme="minorEastAsia" w:cs="宋体" w:hint="eastAsia"/>
          <w:color w:val="000000"/>
          <w:kern w:val="0"/>
          <w:sz w:val="24"/>
          <w:szCs w:val="24"/>
        </w:rPr>
        <w:t>与配入的煅后焦燃烧而消耗的炭量；也降低了</w:t>
      </w:r>
      <w:r w:rsidRPr="00677D1F">
        <w:rPr>
          <w:rFonts w:asciiTheme="minorEastAsia" w:hAnsiTheme="minorEastAsia" w:cs="宋体"/>
          <w:color w:val="000000"/>
          <w:kern w:val="0"/>
          <w:sz w:val="24"/>
          <w:szCs w:val="24"/>
        </w:rPr>
        <w:t>N2</w:t>
      </w:r>
      <w:r w:rsidRPr="00677D1F">
        <w:rPr>
          <w:rFonts w:asciiTheme="minorEastAsia" w:hAnsiTheme="minorEastAsia" w:cs="宋体" w:hint="eastAsia"/>
          <w:color w:val="000000"/>
          <w:kern w:val="0"/>
          <w:sz w:val="24"/>
          <w:szCs w:val="24"/>
        </w:rPr>
        <w:t>带走的反应热。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采用带</w:t>
      </w:r>
      <w:r w:rsidRPr="00677D1F">
        <w:rPr>
          <w:rFonts w:asciiTheme="minorEastAsia" w:hAnsiTheme="minorEastAsia" w:cs="宋体"/>
          <w:color w:val="000000"/>
          <w:kern w:val="0"/>
          <w:sz w:val="24"/>
          <w:szCs w:val="24"/>
        </w:rPr>
        <w:t>TiCl4</w:t>
      </w:r>
      <w:r w:rsidRPr="00677D1F">
        <w:rPr>
          <w:rFonts w:asciiTheme="minorEastAsia" w:hAnsiTheme="minorEastAsia" w:cs="宋体" w:hint="eastAsia"/>
          <w:color w:val="000000"/>
          <w:kern w:val="0"/>
          <w:sz w:val="24"/>
          <w:szCs w:val="24"/>
        </w:rPr>
        <w:t>泥浆返回直接喷洒出炉混合气体，省去了单独蒸发泥浆的回收过程。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氯化渣回收和整个氯化系统采用密闭以及机械化和自动化操作，控制水平提高，加上</w:t>
      </w:r>
      <w:r w:rsidRPr="00677D1F">
        <w:rPr>
          <w:rFonts w:asciiTheme="minorEastAsia" w:hAnsiTheme="minorEastAsia" w:cs="宋体"/>
          <w:color w:val="000000"/>
          <w:kern w:val="0"/>
          <w:sz w:val="24"/>
          <w:szCs w:val="24"/>
        </w:rPr>
        <w:t>C12</w:t>
      </w:r>
      <w:r w:rsidRPr="00677D1F">
        <w:rPr>
          <w:rFonts w:asciiTheme="minorEastAsia" w:hAnsiTheme="minorEastAsia" w:cs="宋体" w:hint="eastAsia"/>
          <w:color w:val="000000"/>
          <w:kern w:val="0"/>
          <w:sz w:val="24"/>
          <w:szCs w:val="24"/>
        </w:rPr>
        <w:t>浓度提高，可使本工序钛回收率提高大大提高，也就相应减少了能耗，同时补充氯采用直接补充氯气方式，可减少液氯蒸发所消耗的蒸汽量。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③精制工序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用有机物除钒取代国内常用的铜丝除钒，便于采用大型化设备减少蒸馏气化过程的能耗，同时免去了经常清洗铜丝的麻烦，也省却了清洗铜丝所用盐酸的消耗和对环境的污染。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有机物除钒工艺过程比铜丝除钒工艺过程四氯化钛损失少，收率高，原辅材料消耗有所降低。减少设备清理，改善工段环境和工人劳动条件。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④还原蒸馏工序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采用新型大尺寸</w:t>
      </w:r>
      <w:r w:rsidRPr="00677D1F">
        <w:rPr>
          <w:rFonts w:asciiTheme="minorEastAsia" w:hAnsiTheme="minorEastAsia" w:cs="宋体"/>
          <w:color w:val="000000"/>
          <w:kern w:val="0"/>
          <w:sz w:val="24"/>
          <w:szCs w:val="24"/>
        </w:rPr>
        <w:t>9.5</w:t>
      </w:r>
      <w:r w:rsidRPr="00677D1F">
        <w:rPr>
          <w:rFonts w:asciiTheme="minorEastAsia" w:hAnsiTheme="minorEastAsia" w:cs="宋体" w:hint="eastAsia"/>
          <w:color w:val="000000"/>
          <w:kern w:val="0"/>
          <w:sz w:val="24"/>
          <w:szCs w:val="24"/>
        </w:rPr>
        <w:t>吨</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炉次大型还原蒸馏设备及工艺技术，单炉产能大，镁还原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真空蒸馏法分为联合法和半联合法。半联合法是先组装好还原设备，待还原</w:t>
      </w:r>
      <w:r w:rsidRPr="00677D1F">
        <w:rPr>
          <w:rFonts w:asciiTheme="minorEastAsia" w:hAnsiTheme="minorEastAsia" w:cs="宋体" w:hint="eastAsia"/>
          <w:color w:val="000000"/>
          <w:kern w:val="0"/>
          <w:sz w:val="24"/>
          <w:szCs w:val="24"/>
        </w:rPr>
        <w:lastRenderedPageBreak/>
        <w:t>完毕，趁热再将冷凝罐组装好进行蒸馏作业，大幅度降低了还原蒸馏工序每吨产品的电耗。还原蒸馏工序能源消耗对比见表</w:t>
      </w:r>
      <w:r w:rsidRPr="00677D1F">
        <w:rPr>
          <w:rFonts w:asciiTheme="minorEastAsia" w:hAnsiTheme="minorEastAsia" w:cs="宋体"/>
          <w:color w:val="000000"/>
          <w:kern w:val="0"/>
          <w:sz w:val="24"/>
          <w:szCs w:val="24"/>
        </w:rPr>
        <w:t>10.2-6</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表10.2-6还原蒸馏工序能源消耗对比一览表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此工序仅电耗一项，按年产</w:t>
      </w:r>
      <w:r w:rsidRPr="00677D1F">
        <w:rPr>
          <w:rFonts w:asciiTheme="minorEastAsia" w:hAnsiTheme="minorEastAsia" w:cs="宋体"/>
          <w:color w:val="000000"/>
          <w:kern w:val="0"/>
          <w:sz w:val="24"/>
          <w:szCs w:val="24"/>
        </w:rPr>
        <w:t>20000t</w:t>
      </w:r>
      <w:r w:rsidRPr="00677D1F">
        <w:rPr>
          <w:rFonts w:asciiTheme="minorEastAsia" w:hAnsiTheme="minorEastAsia" w:cs="宋体" w:hint="eastAsia"/>
          <w:color w:val="000000"/>
          <w:kern w:val="0"/>
          <w:sz w:val="24"/>
          <w:szCs w:val="24"/>
        </w:rPr>
        <w:t>海绵钛计算，年可节约电力</w:t>
      </w:r>
      <w:r w:rsidRPr="00677D1F">
        <w:rPr>
          <w:rFonts w:asciiTheme="minorEastAsia" w:hAnsiTheme="minorEastAsia" w:cs="宋体"/>
          <w:color w:val="000000"/>
          <w:kern w:val="0"/>
          <w:sz w:val="24"/>
          <w:szCs w:val="24"/>
        </w:rPr>
        <w:t>24</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106kWh</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⑤镁电解工序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镁电解是海绵钛生产各工序中能耗最大的生产环节，本项目采用引进的多级电解槽技术，该技术先进可靠，已在国外广泛使用。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、能耗低，直流电耗</w:t>
      </w:r>
      <w:r w:rsidRPr="00677D1F">
        <w:rPr>
          <w:rFonts w:asciiTheme="minorEastAsia" w:hAnsiTheme="minorEastAsia" w:cs="宋体"/>
          <w:color w:val="000000"/>
          <w:kern w:val="0"/>
          <w:sz w:val="24"/>
          <w:szCs w:val="24"/>
        </w:rPr>
        <w:t>~10000kWh</w:t>
      </w:r>
      <w:r w:rsidRPr="00677D1F">
        <w:rPr>
          <w:rFonts w:asciiTheme="minorEastAsia" w:hAnsiTheme="minorEastAsia" w:cs="宋体" w:hint="eastAsia"/>
          <w:color w:val="000000"/>
          <w:kern w:val="0"/>
          <w:sz w:val="24"/>
          <w:szCs w:val="24"/>
        </w:rPr>
        <w:t>，与国内先进的无隔板氯化镁电解槽相比，吨镁直流电耗可降低</w:t>
      </w:r>
      <w:r w:rsidRPr="00677D1F">
        <w:rPr>
          <w:rFonts w:asciiTheme="minorEastAsia" w:hAnsiTheme="minorEastAsia" w:cs="宋体"/>
          <w:color w:val="000000"/>
          <w:kern w:val="0"/>
          <w:sz w:val="24"/>
          <w:szCs w:val="24"/>
        </w:rPr>
        <w:t>40%</w:t>
      </w:r>
      <w:r w:rsidRPr="00677D1F">
        <w:rPr>
          <w:rFonts w:asciiTheme="minorEastAsia" w:hAnsiTheme="minorEastAsia" w:cs="宋体" w:hint="eastAsia"/>
          <w:color w:val="000000"/>
          <w:kern w:val="0"/>
          <w:sz w:val="24"/>
          <w:szCs w:val="24"/>
        </w:rPr>
        <w:t>左右；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、电解槽完全密闭，电解工段无氯气泄漏，氯气浓度高≥</w:t>
      </w:r>
      <w:r w:rsidRPr="00677D1F">
        <w:rPr>
          <w:rFonts w:asciiTheme="minorEastAsia" w:hAnsiTheme="minorEastAsia" w:cs="宋体"/>
          <w:color w:val="000000"/>
          <w:kern w:val="0"/>
          <w:sz w:val="24"/>
          <w:szCs w:val="24"/>
        </w:rPr>
        <w:t>95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（V/V）</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、电解工段干燥清洁，工作环境好，无废气排放，自动化程度高，不需要设置卫生排气净化处理系统；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、单槽产能大，控制水平高，可确保电解温度控制在</w:t>
      </w:r>
      <w:r w:rsidRPr="00677D1F">
        <w:rPr>
          <w:rFonts w:asciiTheme="minorEastAsia" w:hAnsiTheme="minorEastAsia" w:cs="宋体"/>
          <w:color w:val="000000"/>
          <w:kern w:val="0"/>
          <w:sz w:val="24"/>
          <w:szCs w:val="24"/>
        </w:rPr>
        <w:t>655</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℃范围内，降低熔盐挥发量，避免氯气管道堵塞，确保电解槽负压稳定，反应室液面高度控制精确，从而保证液体镁完全进入集镁室，最大限度降低二次反应，确保电解槽热平衡稳定；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E</w:t>
      </w:r>
      <w:r w:rsidRPr="00677D1F">
        <w:rPr>
          <w:rFonts w:asciiTheme="minorEastAsia" w:hAnsiTheme="minorEastAsia" w:cs="宋体" w:hint="eastAsia"/>
          <w:color w:val="000000"/>
          <w:kern w:val="0"/>
          <w:sz w:val="24"/>
          <w:szCs w:val="24"/>
        </w:rPr>
        <w:t>、配有专门的加热系统，当氯化工序故障时，可无限期停直流电而不影响生产，同时可再次快速投入运行；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、产品质量高，金属镁纯度可达到</w:t>
      </w:r>
      <w:r w:rsidRPr="00677D1F">
        <w:rPr>
          <w:rFonts w:asciiTheme="minorEastAsia" w:hAnsiTheme="minorEastAsia" w:cs="宋体"/>
          <w:color w:val="000000"/>
          <w:kern w:val="0"/>
          <w:sz w:val="24"/>
          <w:szCs w:val="24"/>
        </w:rPr>
        <w:t>99.95%</w:t>
      </w:r>
      <w:r w:rsidRPr="00677D1F">
        <w:rPr>
          <w:rFonts w:asciiTheme="minorEastAsia" w:hAnsiTheme="minorEastAsia" w:cs="宋体" w:hint="eastAsia"/>
          <w:color w:val="000000"/>
          <w:kern w:val="0"/>
          <w:sz w:val="24"/>
          <w:szCs w:val="24"/>
        </w:rPr>
        <w:t>，电解出的金属镁质量基本满足海绵钛还原蒸馏的质量要求。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无隔板槽与多极槽的能耗比较见表</w:t>
      </w:r>
      <w:r w:rsidRPr="00677D1F">
        <w:rPr>
          <w:rFonts w:asciiTheme="minorEastAsia" w:hAnsiTheme="minorEastAsia" w:cs="宋体"/>
          <w:color w:val="000000"/>
          <w:kern w:val="0"/>
          <w:sz w:val="24"/>
          <w:szCs w:val="24"/>
        </w:rPr>
        <w:t>10.2-7</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表10.2-7无隔板槽与多极槽的比较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节能效果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还原蒸馏工序采用</w:t>
      </w:r>
      <w:r w:rsidRPr="00677D1F">
        <w:rPr>
          <w:rFonts w:asciiTheme="minorEastAsia" w:hAnsiTheme="minorEastAsia" w:cs="宋体"/>
          <w:color w:val="000000"/>
          <w:kern w:val="0"/>
          <w:sz w:val="24"/>
          <w:szCs w:val="24"/>
        </w:rPr>
        <w:t>9.5t</w:t>
      </w:r>
      <w:r w:rsidRPr="00677D1F">
        <w:rPr>
          <w:rFonts w:asciiTheme="minorEastAsia" w:hAnsiTheme="minorEastAsia" w:cs="宋体" w:hint="eastAsia"/>
          <w:color w:val="000000"/>
          <w:kern w:val="0"/>
          <w:sz w:val="24"/>
          <w:szCs w:val="24"/>
        </w:rPr>
        <w:t>还原蒸馏炉，与国内</w:t>
      </w:r>
      <w:r w:rsidRPr="00677D1F">
        <w:rPr>
          <w:rFonts w:asciiTheme="minorEastAsia" w:hAnsiTheme="minorEastAsia" w:cs="宋体"/>
          <w:color w:val="000000"/>
          <w:kern w:val="0"/>
          <w:sz w:val="24"/>
          <w:szCs w:val="24"/>
        </w:rPr>
        <w:t>5t</w:t>
      </w:r>
      <w:r w:rsidRPr="00677D1F">
        <w:rPr>
          <w:rFonts w:asciiTheme="minorEastAsia" w:hAnsiTheme="minorEastAsia" w:cs="宋体" w:hint="eastAsia"/>
          <w:color w:val="000000"/>
          <w:kern w:val="0"/>
          <w:sz w:val="24"/>
          <w:szCs w:val="24"/>
        </w:rPr>
        <w:t>联合炉技术相比，按年产</w:t>
      </w:r>
      <w:r w:rsidRPr="00677D1F">
        <w:rPr>
          <w:rFonts w:asciiTheme="minorEastAsia" w:hAnsiTheme="minorEastAsia" w:cs="宋体"/>
          <w:color w:val="000000"/>
          <w:kern w:val="0"/>
          <w:sz w:val="24"/>
          <w:szCs w:val="24"/>
        </w:rPr>
        <w:t>20000t</w:t>
      </w:r>
      <w:r w:rsidRPr="00677D1F">
        <w:rPr>
          <w:rFonts w:asciiTheme="minorEastAsia" w:hAnsiTheme="minorEastAsia" w:cs="宋体" w:hint="eastAsia"/>
          <w:color w:val="000000"/>
          <w:kern w:val="0"/>
          <w:sz w:val="24"/>
          <w:szCs w:val="24"/>
        </w:rPr>
        <w:t>海绵钛计算，年可节约电力</w:t>
      </w:r>
      <w:r w:rsidRPr="00677D1F">
        <w:rPr>
          <w:rFonts w:asciiTheme="minorEastAsia" w:hAnsiTheme="minorEastAsia" w:cs="宋体"/>
          <w:color w:val="000000"/>
          <w:kern w:val="0"/>
          <w:sz w:val="24"/>
          <w:szCs w:val="24"/>
        </w:rPr>
        <w:t>24×106kWh</w:t>
      </w:r>
      <w:r w:rsidRPr="00677D1F">
        <w:rPr>
          <w:rFonts w:asciiTheme="minorEastAsia" w:hAnsiTheme="minorEastAsia" w:cs="宋体" w:hint="eastAsia"/>
          <w:color w:val="000000"/>
          <w:kern w:val="0"/>
          <w:sz w:val="24"/>
          <w:szCs w:val="24"/>
        </w:rPr>
        <w:t>，折合标准煤</w:t>
      </w:r>
      <w:r w:rsidRPr="00677D1F">
        <w:rPr>
          <w:rFonts w:asciiTheme="minorEastAsia" w:hAnsiTheme="minorEastAsia" w:cs="宋体"/>
          <w:color w:val="000000"/>
          <w:kern w:val="0"/>
          <w:sz w:val="24"/>
          <w:szCs w:val="24"/>
        </w:rPr>
        <w:t>2950t</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与国内无隔板电解槽比较，生产</w:t>
      </w:r>
      <w:r w:rsidRPr="00677D1F">
        <w:rPr>
          <w:rFonts w:asciiTheme="minorEastAsia" w:hAnsiTheme="minorEastAsia" w:cs="宋体"/>
          <w:color w:val="000000"/>
          <w:kern w:val="0"/>
          <w:sz w:val="24"/>
          <w:szCs w:val="24"/>
        </w:rPr>
        <w:t>1t</w:t>
      </w:r>
      <w:r w:rsidRPr="00677D1F">
        <w:rPr>
          <w:rFonts w:asciiTheme="minorEastAsia" w:hAnsiTheme="minorEastAsia" w:cs="宋体" w:hint="eastAsia"/>
          <w:color w:val="000000"/>
          <w:kern w:val="0"/>
          <w:sz w:val="24"/>
          <w:szCs w:val="24"/>
        </w:rPr>
        <w:t>镁节电</w:t>
      </w:r>
      <w:r w:rsidRPr="00677D1F">
        <w:rPr>
          <w:rFonts w:asciiTheme="minorEastAsia" w:hAnsiTheme="minorEastAsia" w:cs="宋体"/>
          <w:color w:val="000000"/>
          <w:kern w:val="0"/>
          <w:sz w:val="24"/>
          <w:szCs w:val="24"/>
        </w:rPr>
        <w:t>3000kWh</w:t>
      </w:r>
      <w:r w:rsidRPr="00677D1F">
        <w:rPr>
          <w:rFonts w:asciiTheme="minorEastAsia" w:hAnsiTheme="minorEastAsia" w:cs="宋体" w:hint="eastAsia"/>
          <w:color w:val="000000"/>
          <w:kern w:val="0"/>
          <w:sz w:val="24"/>
          <w:szCs w:val="24"/>
        </w:rPr>
        <w:t>左右，多回收氯气</w:t>
      </w:r>
      <w:r w:rsidRPr="00677D1F">
        <w:rPr>
          <w:rFonts w:asciiTheme="minorEastAsia" w:hAnsiTheme="minorEastAsia" w:cs="宋体"/>
          <w:color w:val="000000"/>
          <w:kern w:val="0"/>
          <w:sz w:val="24"/>
          <w:szCs w:val="24"/>
        </w:rPr>
        <w:t>0.1t</w:t>
      </w:r>
      <w:r w:rsidRPr="00677D1F">
        <w:rPr>
          <w:rFonts w:asciiTheme="minorEastAsia" w:hAnsiTheme="minorEastAsia" w:cs="宋体" w:hint="eastAsia"/>
          <w:color w:val="000000"/>
          <w:kern w:val="0"/>
          <w:sz w:val="24"/>
          <w:szCs w:val="24"/>
        </w:rPr>
        <w:t>左右，年节电约</w:t>
      </w:r>
      <w:r w:rsidRPr="00677D1F">
        <w:rPr>
          <w:rFonts w:asciiTheme="minorEastAsia" w:hAnsiTheme="minorEastAsia" w:cs="宋体"/>
          <w:color w:val="000000"/>
          <w:kern w:val="0"/>
          <w:sz w:val="24"/>
          <w:szCs w:val="24"/>
        </w:rPr>
        <w:t>66×106kWh</w:t>
      </w:r>
      <w:r w:rsidRPr="00677D1F">
        <w:rPr>
          <w:rFonts w:asciiTheme="minorEastAsia" w:hAnsiTheme="minorEastAsia" w:cs="宋体" w:hint="eastAsia"/>
          <w:color w:val="000000"/>
          <w:kern w:val="0"/>
          <w:sz w:val="24"/>
          <w:szCs w:val="24"/>
        </w:rPr>
        <w:t>，折合标准煤</w:t>
      </w:r>
      <w:r w:rsidRPr="00677D1F">
        <w:rPr>
          <w:rFonts w:asciiTheme="minorEastAsia" w:hAnsiTheme="minorEastAsia" w:cs="宋体"/>
          <w:color w:val="000000"/>
          <w:kern w:val="0"/>
          <w:sz w:val="24"/>
          <w:szCs w:val="24"/>
        </w:rPr>
        <w:t>8111t</w:t>
      </w:r>
      <w:r w:rsidRPr="00677D1F">
        <w:rPr>
          <w:rFonts w:asciiTheme="minorEastAsia" w:hAnsiTheme="minorEastAsia" w:cs="宋体" w:hint="eastAsia"/>
          <w:color w:val="000000"/>
          <w:kern w:val="0"/>
          <w:sz w:val="24"/>
          <w:szCs w:val="24"/>
        </w:rPr>
        <w:t>，多回收氯气约</w:t>
      </w:r>
      <w:r w:rsidRPr="00677D1F">
        <w:rPr>
          <w:rFonts w:asciiTheme="minorEastAsia" w:hAnsiTheme="minorEastAsia" w:cs="宋体"/>
          <w:color w:val="000000"/>
          <w:kern w:val="0"/>
          <w:sz w:val="24"/>
          <w:szCs w:val="24"/>
        </w:rPr>
        <w:t>2200t</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电解镁</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液体粗镁</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精炼可采用两种设备</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坩埚精炼炉或连续精炼炉。本设计采用节能型连续精炼炉。连续精炼炉与坩埚精炼炉比较，</w:t>
      </w:r>
      <w:r w:rsidRPr="00677D1F">
        <w:rPr>
          <w:rFonts w:asciiTheme="minorEastAsia" w:hAnsiTheme="minorEastAsia" w:cs="宋体"/>
          <w:color w:val="000000"/>
          <w:kern w:val="0"/>
          <w:sz w:val="24"/>
          <w:szCs w:val="24"/>
        </w:rPr>
        <w:t>1t</w:t>
      </w:r>
      <w:r w:rsidRPr="00677D1F">
        <w:rPr>
          <w:rFonts w:asciiTheme="minorEastAsia" w:hAnsiTheme="minorEastAsia" w:cs="宋体" w:hint="eastAsia"/>
          <w:color w:val="000000"/>
          <w:kern w:val="0"/>
          <w:sz w:val="24"/>
          <w:szCs w:val="24"/>
        </w:rPr>
        <w:t>镁节电</w:t>
      </w:r>
      <w:r w:rsidRPr="00677D1F">
        <w:rPr>
          <w:rFonts w:asciiTheme="minorEastAsia" w:hAnsiTheme="minorEastAsia" w:cs="宋体"/>
          <w:color w:val="000000"/>
          <w:kern w:val="0"/>
          <w:sz w:val="24"/>
          <w:szCs w:val="24"/>
        </w:rPr>
        <w:t>220kWh</w:t>
      </w:r>
      <w:r w:rsidRPr="00677D1F">
        <w:rPr>
          <w:rFonts w:asciiTheme="minorEastAsia" w:hAnsiTheme="minorEastAsia" w:cs="宋体" w:hint="eastAsia"/>
          <w:color w:val="000000"/>
          <w:kern w:val="0"/>
          <w:sz w:val="24"/>
          <w:szCs w:val="24"/>
        </w:rPr>
        <w:t>；年节电</w:t>
      </w:r>
      <w:r w:rsidRPr="00677D1F">
        <w:rPr>
          <w:rFonts w:asciiTheme="minorEastAsia" w:hAnsiTheme="minorEastAsia" w:cs="宋体"/>
          <w:color w:val="000000"/>
          <w:kern w:val="0"/>
          <w:sz w:val="24"/>
          <w:szCs w:val="24"/>
        </w:rPr>
        <w:t>4.84×106kWh</w:t>
      </w:r>
      <w:r w:rsidRPr="00677D1F">
        <w:rPr>
          <w:rFonts w:asciiTheme="minorEastAsia" w:hAnsiTheme="minorEastAsia" w:cs="宋体" w:hint="eastAsia"/>
          <w:color w:val="000000"/>
          <w:kern w:val="0"/>
          <w:sz w:val="24"/>
          <w:szCs w:val="24"/>
        </w:rPr>
        <w:t>，折合标准煤</w:t>
      </w:r>
      <w:r w:rsidRPr="00677D1F">
        <w:rPr>
          <w:rFonts w:asciiTheme="minorEastAsia" w:hAnsiTheme="minorEastAsia" w:cs="宋体"/>
          <w:color w:val="000000"/>
          <w:kern w:val="0"/>
          <w:sz w:val="24"/>
          <w:szCs w:val="24"/>
        </w:rPr>
        <w:t>595t</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合计年节约标准煤</w:t>
      </w:r>
      <w:r w:rsidRPr="00677D1F">
        <w:rPr>
          <w:rFonts w:asciiTheme="minorEastAsia" w:hAnsiTheme="minorEastAsia" w:cs="宋体"/>
          <w:color w:val="000000"/>
          <w:kern w:val="0"/>
          <w:sz w:val="24"/>
          <w:szCs w:val="24"/>
        </w:rPr>
        <w:t>11656t</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节水分析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按不同温度要求，实施循环水利用，节省工业用水；生产设备直接冷却水循环利用，排水降级使用，从而达到节约用水的目的。经计算，海绵生产用水重复利用率为</w:t>
      </w:r>
      <w:r w:rsidRPr="00677D1F">
        <w:rPr>
          <w:rFonts w:asciiTheme="minorEastAsia" w:hAnsiTheme="minorEastAsia" w:cs="宋体"/>
          <w:color w:val="000000"/>
          <w:kern w:val="0"/>
          <w:sz w:val="24"/>
          <w:szCs w:val="24"/>
        </w:rPr>
        <w:t>97.88%</w:t>
      </w:r>
      <w:r w:rsidRPr="00677D1F">
        <w:rPr>
          <w:rFonts w:asciiTheme="minorEastAsia" w:hAnsiTheme="minorEastAsia" w:cs="宋体" w:hint="eastAsia"/>
          <w:color w:val="000000"/>
          <w:kern w:val="0"/>
          <w:sz w:val="24"/>
          <w:szCs w:val="24"/>
        </w:rPr>
        <w:t>，超过了建设部、国家经贸委、国家计委《节水型城市目标导则》考核指标—工业用水重复利用率≥</w:t>
      </w:r>
      <w:r w:rsidRPr="00677D1F">
        <w:rPr>
          <w:rFonts w:asciiTheme="minorEastAsia" w:hAnsiTheme="minorEastAsia" w:cs="宋体"/>
          <w:color w:val="000000"/>
          <w:kern w:val="0"/>
          <w:sz w:val="24"/>
          <w:szCs w:val="24"/>
        </w:rPr>
        <w:t>75%</w:t>
      </w:r>
      <w:r w:rsidRPr="00677D1F">
        <w:rPr>
          <w:rFonts w:asciiTheme="minorEastAsia" w:hAnsiTheme="minorEastAsia" w:cs="宋体" w:hint="eastAsia"/>
          <w:color w:val="000000"/>
          <w:kern w:val="0"/>
          <w:sz w:val="24"/>
          <w:szCs w:val="24"/>
        </w:rPr>
        <w:t>的要求，达到了国内较为先进的水平。</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10.2.1.3</w:t>
      </w:r>
      <w:r w:rsidRPr="00677D1F">
        <w:rPr>
          <w:rFonts w:asciiTheme="minorEastAsia" w:hAnsiTheme="minorEastAsia" w:cs="Times New Roman" w:hint="eastAsia"/>
          <w:b/>
          <w:bCs/>
          <w:color w:val="000000"/>
          <w:kern w:val="0"/>
          <w:sz w:val="24"/>
          <w:szCs w:val="24"/>
        </w:rPr>
        <w:t>产品指标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本项目生产的海绵钛产品的零级品</w:t>
      </w:r>
      <w:r w:rsidRPr="00677D1F">
        <w:rPr>
          <w:rFonts w:asciiTheme="minorEastAsia" w:hAnsiTheme="minorEastAsia" w:cs="宋体"/>
          <w:color w:val="000000"/>
          <w:kern w:val="0"/>
          <w:sz w:val="24"/>
          <w:szCs w:val="24"/>
        </w:rPr>
        <w:t>65</w:t>
      </w:r>
      <w:r w:rsidRPr="00677D1F">
        <w:rPr>
          <w:rFonts w:asciiTheme="minorEastAsia" w:hAnsiTheme="minorEastAsia" w:cs="宋体" w:hint="eastAsia"/>
          <w:color w:val="000000"/>
          <w:kern w:val="0"/>
          <w:sz w:val="24"/>
          <w:szCs w:val="24"/>
        </w:rPr>
        <w:t>％、一级品</w:t>
      </w:r>
      <w:r w:rsidRPr="00677D1F">
        <w:rPr>
          <w:rFonts w:asciiTheme="minorEastAsia" w:hAnsiTheme="minorEastAsia" w:cs="宋体"/>
          <w:color w:val="000000"/>
          <w:kern w:val="0"/>
          <w:sz w:val="24"/>
          <w:szCs w:val="24"/>
        </w:rPr>
        <w:t>75</w:t>
      </w:r>
      <w:r w:rsidRPr="00677D1F">
        <w:rPr>
          <w:rFonts w:asciiTheme="minorEastAsia" w:hAnsiTheme="minorEastAsia" w:cs="宋体" w:hint="eastAsia"/>
          <w:color w:val="000000"/>
          <w:kern w:val="0"/>
          <w:sz w:val="24"/>
          <w:szCs w:val="24"/>
        </w:rPr>
        <w:t>％以上、二级品</w:t>
      </w:r>
      <w:r w:rsidRPr="00677D1F">
        <w:rPr>
          <w:rFonts w:asciiTheme="minorEastAsia" w:hAnsiTheme="minorEastAsia" w:cs="宋体"/>
          <w:color w:val="000000"/>
          <w:kern w:val="0"/>
          <w:sz w:val="24"/>
          <w:szCs w:val="24"/>
        </w:rPr>
        <w:t>90</w:t>
      </w:r>
      <w:r w:rsidRPr="00677D1F">
        <w:rPr>
          <w:rFonts w:asciiTheme="minorEastAsia" w:hAnsiTheme="minorEastAsia" w:cs="宋体" w:hint="eastAsia"/>
          <w:color w:val="000000"/>
          <w:kern w:val="0"/>
          <w:sz w:val="24"/>
          <w:szCs w:val="24"/>
        </w:rPr>
        <w:t>％以上合格品</w:t>
      </w:r>
      <w:r w:rsidRPr="00677D1F">
        <w:rPr>
          <w:rFonts w:asciiTheme="minorEastAsia" w:hAnsiTheme="minorEastAsia" w:cs="宋体"/>
          <w:color w:val="000000"/>
          <w:kern w:val="0"/>
          <w:sz w:val="24"/>
          <w:szCs w:val="24"/>
        </w:rPr>
        <w:t>100</w:t>
      </w:r>
      <w:r w:rsidRPr="00677D1F">
        <w:rPr>
          <w:rFonts w:asciiTheme="minorEastAsia" w:hAnsiTheme="minorEastAsia" w:cs="宋体" w:hint="eastAsia"/>
          <w:color w:val="000000"/>
          <w:kern w:val="0"/>
          <w:sz w:val="24"/>
          <w:szCs w:val="24"/>
        </w:rPr>
        <w:t>％。海绵钛的产品质量符合国家标准《海绵钛标准》</w:t>
      </w:r>
      <w:r w:rsidRPr="00677D1F">
        <w:rPr>
          <w:rFonts w:asciiTheme="minorEastAsia" w:hAnsiTheme="minorEastAsia" w:cs="宋体"/>
          <w:color w:val="000000"/>
          <w:kern w:val="0"/>
          <w:sz w:val="24"/>
          <w:szCs w:val="24"/>
        </w:rPr>
        <w:t>（GB/T2524-2002）</w:t>
      </w:r>
      <w:r w:rsidRPr="00677D1F">
        <w:rPr>
          <w:rFonts w:asciiTheme="minorEastAsia" w:hAnsiTheme="minorEastAsia" w:cs="宋体" w:hint="eastAsia"/>
          <w:color w:val="000000"/>
          <w:kern w:val="0"/>
          <w:sz w:val="24"/>
          <w:szCs w:val="24"/>
        </w:rPr>
        <w:t>的相关规定。《海绵钛标准》</w:t>
      </w:r>
      <w:r w:rsidRPr="00677D1F">
        <w:rPr>
          <w:rFonts w:asciiTheme="minorEastAsia" w:hAnsiTheme="minorEastAsia" w:cs="宋体"/>
          <w:color w:val="000000"/>
          <w:kern w:val="0"/>
          <w:sz w:val="24"/>
          <w:szCs w:val="24"/>
        </w:rPr>
        <w:t>（GB/T2524-2002）</w:t>
      </w:r>
      <w:r w:rsidRPr="00677D1F">
        <w:rPr>
          <w:rFonts w:asciiTheme="minorEastAsia" w:hAnsiTheme="minorEastAsia" w:cs="宋体" w:hint="eastAsia"/>
          <w:color w:val="000000"/>
          <w:kern w:val="0"/>
          <w:sz w:val="24"/>
          <w:szCs w:val="24"/>
        </w:rPr>
        <w:t>中指标同见表</w:t>
      </w:r>
      <w:r w:rsidRPr="00677D1F">
        <w:rPr>
          <w:rFonts w:asciiTheme="minorEastAsia" w:hAnsiTheme="minorEastAsia" w:cs="宋体"/>
          <w:color w:val="000000"/>
          <w:kern w:val="0"/>
          <w:sz w:val="24"/>
          <w:szCs w:val="24"/>
        </w:rPr>
        <w:t>10.2-8</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表10.2-8海绵钛标准（GB/T2524-2002）</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10.2.1.4</w:t>
      </w:r>
      <w:r w:rsidRPr="00677D1F">
        <w:rPr>
          <w:rFonts w:asciiTheme="minorEastAsia" w:hAnsiTheme="minorEastAsia" w:cs="Times New Roman" w:hint="eastAsia"/>
          <w:b/>
          <w:bCs/>
          <w:color w:val="000000"/>
          <w:kern w:val="0"/>
          <w:sz w:val="24"/>
          <w:szCs w:val="24"/>
        </w:rPr>
        <w:t>污染物产生指标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根据工程分析，海绵生产的污染物产生指标见表</w:t>
      </w:r>
      <w:r w:rsidRPr="00677D1F">
        <w:rPr>
          <w:rFonts w:asciiTheme="minorEastAsia" w:hAnsiTheme="minorEastAsia" w:cs="宋体"/>
          <w:color w:val="000000"/>
          <w:kern w:val="0"/>
          <w:sz w:val="24"/>
          <w:szCs w:val="24"/>
        </w:rPr>
        <w:t>10.2-9</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表10.2-9污染物产生指标</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10.2.1.5</w:t>
      </w:r>
      <w:r w:rsidRPr="00677D1F">
        <w:rPr>
          <w:rFonts w:asciiTheme="minorEastAsia" w:hAnsiTheme="minorEastAsia" w:cs="Times New Roman" w:hint="eastAsia"/>
          <w:b/>
          <w:bCs/>
          <w:color w:val="000000"/>
          <w:kern w:val="0"/>
          <w:sz w:val="24"/>
          <w:szCs w:val="24"/>
        </w:rPr>
        <w:t>环境管理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根据国内相关行业清洁生产试点工作的经验，加强管理是所有方案中最重要的无费、低费和少费方案，约占清洁生产方案总数的</w:t>
      </w:r>
      <w:r w:rsidRPr="00677D1F">
        <w:rPr>
          <w:rFonts w:asciiTheme="minorEastAsia" w:hAnsiTheme="minorEastAsia" w:cs="宋体"/>
          <w:color w:val="000000"/>
          <w:kern w:val="0"/>
          <w:sz w:val="24"/>
          <w:szCs w:val="24"/>
        </w:rPr>
        <w:t>40%</w:t>
      </w:r>
      <w:r w:rsidRPr="00677D1F">
        <w:rPr>
          <w:rFonts w:asciiTheme="minorEastAsia" w:hAnsiTheme="minorEastAsia" w:cs="宋体" w:hint="eastAsia"/>
          <w:color w:val="000000"/>
          <w:kern w:val="0"/>
          <w:sz w:val="24"/>
          <w:szCs w:val="24"/>
        </w:rPr>
        <w:t>，因此，企业进行清洁生产，必须首先从加强管理入手。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公司强化企业环境管理的途径主要包括：工艺管理、设备管理、原材料管理、生产组织管理等方面。</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）工艺管理即推行和开发清洁生产工艺，制定严格的生产工艺操作规程，确定和优化生产过程工艺参数等。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建立设备管理网络体系，项目建成后，应形成保证设备正常运行和正常维修保养的一系列工作程序，由机修车间具体负责公司的设备业务管理工作，各车间主任兼管本车间设备，同时设立车间设备员，负责车间设备的日常维修，并包机到人，日常维护保养也落实到人，形成专业管理和群众管理相结合，维修与保养相结合，从上到下的设备管理和维修网络，为设备保持完好状况提供保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）原材料管理包括原材料的定额管理、储运管理、废物的回收利用和处置等。尽量选用品质高、粒度合格的原料和燃料，最大限度地将污染物消除在生产工</w:t>
      </w:r>
      <w:r w:rsidRPr="00677D1F">
        <w:rPr>
          <w:rFonts w:asciiTheme="minorEastAsia" w:hAnsiTheme="minorEastAsia" w:cs="宋体" w:hint="eastAsia"/>
          <w:color w:val="000000"/>
          <w:kern w:val="0"/>
          <w:sz w:val="24"/>
          <w:szCs w:val="24"/>
        </w:rPr>
        <w:lastRenderedPageBreak/>
        <w:t>艺前和生产工艺中。加强对原料、燃料的科学管理，妥善存放，并保持合理的原料库存量。不但使资源得到合理的配置，而且减少原料和燃料的流失，降低产品的成本，提高资源的再利用率，使废物量最小化，减少向环境排放的污染物量，对生产过程中产生的固体废物做到专人负责分类收集。存放和处置，落实厂内综合利用核算和外销单位及销售计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由于清洁生产是全过程的污染控制，涉及到公司各个部门，因此公司应成立清洁生产领导小组负责组织措施。由厂长任组长，各副厂长任副组长，生产部部长、车间主任及环保科长作为成员，并按照分工负责原则，确定各职能部门的职责和责任人员，形成厂－部门－班组三级清洁生产网络，广泛宣传并严格岗位培训。为了明确各部门工作职责，公司应结合环境管理和生产管理的要求，由环保科制定《环境保护管理考核制度》，使各车间的经济利益直接与其环保工作、清洁生产工作联系起来，单位产品物料损耗少、污染物排放少的车间给予奖励，真正调动车间污染预防和清洁生产的积极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（5）全面开展清洁生产审计以及开展</w:t>
      </w:r>
      <w:r w:rsidRPr="00677D1F">
        <w:rPr>
          <w:rFonts w:asciiTheme="minorEastAsia" w:hAnsiTheme="minorEastAsia" w:cs="宋体"/>
          <w:color w:val="000000"/>
          <w:kern w:val="0"/>
          <w:sz w:val="24"/>
          <w:szCs w:val="24"/>
        </w:rPr>
        <w:t>ISO14001</w:t>
      </w:r>
      <w:r w:rsidRPr="00677D1F">
        <w:rPr>
          <w:rFonts w:asciiTheme="minorEastAsia" w:hAnsiTheme="minorEastAsia" w:cs="宋体" w:hint="eastAsia"/>
          <w:color w:val="000000"/>
          <w:kern w:val="0"/>
          <w:sz w:val="24"/>
          <w:szCs w:val="24"/>
        </w:rPr>
        <w:t>环境管理体系认证工作，将对公司环境管理水平进一步科学化、体系化将起到积极作用。</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6）建立能源管理制度体系，具体建立的制度包括能源采购和审批管理制度、能源财务管理制度、能源生产管理制度、能源计量统计制度、能源计量器具管理制度、能源消耗定额、考核和奖惩制度。根据建立的能源管理制度体系，加强能耗测试数据、能耗计算、和考核结果的文件管理，定期对电石产品单位能耗进行考核。同时根据《海绵钛单位产品能源消耗限额》要求，从原料、水、电等能源进厂开始到产品出厂，进行全过程能耗统计，将能耗降到最低。</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10.2.1.6</w:t>
      </w:r>
      <w:r w:rsidRPr="00677D1F">
        <w:rPr>
          <w:rFonts w:asciiTheme="minorEastAsia" w:hAnsiTheme="minorEastAsia" w:cs="Times New Roman" w:hint="eastAsia"/>
          <w:b/>
          <w:bCs/>
          <w:color w:val="000000"/>
          <w:kern w:val="0"/>
          <w:sz w:val="24"/>
          <w:szCs w:val="24"/>
        </w:rPr>
        <w:t>清洁水平评价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本项目与国内同类装置可比指标比较见表</w:t>
      </w:r>
      <w:r w:rsidRPr="00677D1F">
        <w:rPr>
          <w:rFonts w:asciiTheme="minorEastAsia" w:hAnsiTheme="minorEastAsia" w:cs="宋体"/>
          <w:color w:val="000000"/>
          <w:kern w:val="0"/>
          <w:sz w:val="24"/>
          <w:szCs w:val="24"/>
        </w:rPr>
        <w:t>10.2-10</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表10.2-10本项目与国内同类装置清洁生产指标比较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清洁生产分析的结果表明，采用大型沸腾氯化联合炉生产等先进的钛生产工艺</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使海绵钛的生产规模达到国家公认的经济规模</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促进了我国海绵钛工业的发展</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具有较好的经济效益和社会效益。项目建设的同时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采取了一系列的环保治理措施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装置生产管理科学化、自动化程度高</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全部新安装</w:t>
      </w:r>
      <w:r w:rsidRPr="00677D1F">
        <w:rPr>
          <w:rFonts w:asciiTheme="minorEastAsia" w:hAnsiTheme="minorEastAsia" w:cs="宋体"/>
          <w:color w:val="000000"/>
          <w:kern w:val="0"/>
          <w:sz w:val="24"/>
          <w:szCs w:val="24"/>
        </w:rPr>
        <w:t>DIS</w:t>
      </w:r>
      <w:r w:rsidRPr="00677D1F">
        <w:rPr>
          <w:rFonts w:asciiTheme="minorEastAsia" w:hAnsiTheme="minorEastAsia" w:cs="宋体" w:hint="eastAsia"/>
          <w:color w:val="000000"/>
          <w:kern w:val="0"/>
          <w:sz w:val="24"/>
          <w:szCs w:val="24"/>
        </w:rPr>
        <w:t>控制系统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全面控制各操作单元</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使装置高质量平衡地经济运行提供了科学技术保障。通过清洁生产全面分析</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lastRenderedPageBreak/>
        <w:t>总体上反映了生产工艺、技术先进程度、物耗能耗、管理水平处于国内处于先进水平。比较遵义钛业股份有限公司达产海绵钛</w:t>
      </w:r>
      <w:r w:rsidRPr="00677D1F">
        <w:rPr>
          <w:rFonts w:asciiTheme="minorEastAsia" w:hAnsiTheme="minorEastAsia" w:cs="宋体"/>
          <w:color w:val="000000"/>
          <w:kern w:val="0"/>
          <w:sz w:val="24"/>
          <w:szCs w:val="24"/>
        </w:rPr>
        <w:t>10kt/a</w:t>
      </w:r>
      <w:r w:rsidRPr="00677D1F">
        <w:rPr>
          <w:rFonts w:asciiTheme="minorEastAsia" w:hAnsiTheme="minorEastAsia" w:cs="宋体" w:hint="eastAsia"/>
          <w:color w:val="000000"/>
          <w:kern w:val="0"/>
          <w:sz w:val="24"/>
          <w:szCs w:val="24"/>
        </w:rPr>
        <w:t>时的水平，本项目清洁生产水平有较大提升。</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10.2.2</w:t>
      </w:r>
      <w:r w:rsidRPr="00677D1F">
        <w:rPr>
          <w:rFonts w:ascii="宋体" w:hAnsi="宋体" w:hint="eastAsia"/>
          <w:sz w:val="28"/>
          <w:szCs w:val="28"/>
        </w:rPr>
        <w:t xml:space="preserve"> 氯气生产清洁生产水平分析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年产海绵钛</w:t>
      </w:r>
      <w:r w:rsidRPr="00677D1F">
        <w:rPr>
          <w:rFonts w:asciiTheme="minorEastAsia" w:hAnsiTheme="minorEastAsia" w:cs="宋体"/>
          <w:color w:val="000000"/>
          <w:kern w:val="0"/>
          <w:sz w:val="24"/>
          <w:szCs w:val="24"/>
        </w:rPr>
        <w:t>20000t/a</w:t>
      </w:r>
      <w:r w:rsidRPr="00677D1F">
        <w:rPr>
          <w:rFonts w:asciiTheme="minorEastAsia" w:hAnsiTheme="minorEastAsia" w:cs="宋体" w:hint="eastAsia"/>
          <w:color w:val="000000"/>
          <w:kern w:val="0"/>
          <w:sz w:val="24"/>
          <w:szCs w:val="24"/>
        </w:rPr>
        <w:t>，相应需提供补充氯气</w:t>
      </w:r>
      <w:r w:rsidRPr="00677D1F">
        <w:rPr>
          <w:rFonts w:asciiTheme="minorEastAsia" w:hAnsiTheme="minorEastAsia" w:cs="宋体"/>
          <w:color w:val="000000"/>
          <w:kern w:val="0"/>
          <w:sz w:val="24"/>
          <w:szCs w:val="24"/>
        </w:rPr>
        <w:t>18000t</w:t>
      </w:r>
      <w:r w:rsidRPr="00677D1F">
        <w:rPr>
          <w:rFonts w:asciiTheme="minorEastAsia" w:hAnsiTheme="minorEastAsia" w:cs="宋体" w:hint="eastAsia"/>
          <w:color w:val="000000"/>
          <w:kern w:val="0"/>
          <w:sz w:val="24"/>
          <w:szCs w:val="24"/>
        </w:rPr>
        <w:t>。项目建设地无氯气生产企业，外购运输距离长存在很大的运输安全隐患。为让海绵钛系统生产连续安全的运行，项目建设配套的氯气生产系统。安装</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台电解槽。</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10.2.2.1</w:t>
      </w:r>
      <w:r w:rsidRPr="00677D1F">
        <w:rPr>
          <w:rFonts w:asciiTheme="minorEastAsia" w:hAnsiTheme="minorEastAsia" w:cs="Times New Roman" w:hint="eastAsia"/>
          <w:b/>
          <w:bCs/>
          <w:color w:val="000000"/>
          <w:kern w:val="0"/>
          <w:sz w:val="24"/>
          <w:szCs w:val="24"/>
        </w:rPr>
        <w:t xml:space="preserve"> 生产技术先进性分析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盐水精制及脱氯淡盐水除硝</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目前盐水精制有传统的澄清桶工艺与膜液体过滤工艺两种工艺。两种工艺各有优缺点，国内氯碱厂中均有使用。从投资和运行费用比较来看，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两种工艺基本相当，膜液体过滤工艺的投资比澄清桶工艺略高，但运行费用略低于澄清桶工艺。根据最近几年膜过滤工艺在国内氯碱厂中的广泛使用情况，本项目的氯气生产采用的膜液体过滤工艺属于国内先进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电解（含二次盐水精制及淡盐水脱氯）工艺技术方案选择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氯化钠溶液电解制氢氧化钠、氯气和氢气的方法有三种，即水银法、隔膜法和离子膜法。因为汞污染严重，国内又无彻底治理的方法，我国已取消了水银法电解，不再予以考虑。隔膜法又分石墨阳极电解槽和金属阳极电解槽。石墨阳极电解槽由于铅污染严重、电耗高、劳动强度大的缺点，目前已逐步淘汰。金属阳极电解槽虽然克服了石墨阳极电解槽铅污染严重、电耗高的缺点，但仍存在石棉绒污染、产品质量差、能耗较高、操作管理复杂、劳动强度较大、技术落后等不足。离子膜法是目前世界上工业化生产中最先进的一项技术，与隔膜法、水解法相比，拟建方法具有能耗低，产品质量高、三废污染小（无隔膜法的石棉绒和水银法的汞污染，为清洁工艺）、成本低及操作管理方便等优点，故本项目的氯气生产采用离子膜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离子膜电解技术分为复极式和单极式两类。复极式电解槽和单极式电解槽主要特点比较见表</w:t>
      </w:r>
      <w:r w:rsidRPr="00677D1F">
        <w:rPr>
          <w:rFonts w:asciiTheme="minorEastAsia" w:hAnsiTheme="minorEastAsia" w:cs="宋体"/>
          <w:color w:val="000000"/>
          <w:kern w:val="0"/>
          <w:sz w:val="24"/>
          <w:szCs w:val="24"/>
        </w:rPr>
        <w:t>10.2-11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表10.2-11复极槽和单槽的特点比较表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从当前世界离子膜电解技术发展来看，本项目氯气生产采用的自然循环复极式电解槽，高电流密度，大型化是未来发展方向。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离子交换</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离子膜电解对盐水的质量要求高，从一次盐水工序来的过滤精盐水还需经过离子交换，进一步降低</w:t>
      </w:r>
      <w:r w:rsidRPr="00677D1F">
        <w:rPr>
          <w:rFonts w:asciiTheme="minorEastAsia" w:hAnsiTheme="minorEastAsia" w:cs="宋体"/>
          <w:color w:val="000000"/>
          <w:kern w:val="0"/>
          <w:sz w:val="24"/>
          <w:szCs w:val="24"/>
        </w:rPr>
        <w:t>Ca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Mg</w:t>
      </w:r>
      <w:r w:rsidRPr="00677D1F">
        <w:rPr>
          <w:rFonts w:asciiTheme="minorEastAsia" w:hAnsiTheme="minorEastAsia" w:cs="宋体" w:hint="eastAsia"/>
          <w:color w:val="000000"/>
          <w:kern w:val="0"/>
          <w:sz w:val="24"/>
          <w:szCs w:val="24"/>
        </w:rPr>
        <w:t>离子。离子交换树脂塔有两塔流程和三塔流程之分。对大中型项目，宜采用三塔流程。而本项目氯气生产为配套工程，规模装置较少，故本项目氯气生产选用二台离子交换树脂塔，正常情况下一塔运行，另一塔再生。</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淡盐水脱氯及脱硝</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①淡盐水脱氯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离子膜电解槽排出的淡盐水含有游离氯，腐蚀性高，必须脱除游离氯后才能送回一次盐水工序进行重饱和。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目前有下述几种方法：压缩空气吹除、真空脱氯。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鉴于压缩空气吹除产生浓度低的氯气，降低了氯气利用率，对规模较大的装置不适用，故本项目采用真空脱氯。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②脱氯淡盐水除硝</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生产需要，返回一次盐水工段用于化盐的脱氯淡盐水需要脱出一部分硫酸根。目前淡盐水除硝主要有氯化钡和膜脱硝两种工艺：氯化钡法是传统脱硝工艺，其特点是工艺流程短，设备投资少，运行稳定可靠，但由于氯化钡精制剂价格较高，毒性大，储存运输不方便，造成运行成本较高；膜脱硝工艺是近几年出现的新工艺，其工艺特点是工艺流程长，初次投资大，但由于无需化学品试剂，运行成本低廉，而且还能副产芒硝产品。本项目采用膜脱硝工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氯气干燥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氯气干燥有填料塔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泡沫塔，三台或四台填料塔以及填料塔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泡罩塔等干燥流程。由于填料塔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泡沫塔流程，含水量高（在</w:t>
      </w:r>
      <w:r w:rsidRPr="00677D1F">
        <w:rPr>
          <w:rFonts w:asciiTheme="minorEastAsia" w:hAnsiTheme="minorEastAsia" w:cs="宋体"/>
          <w:color w:val="000000"/>
          <w:kern w:val="0"/>
          <w:sz w:val="24"/>
          <w:szCs w:val="24"/>
        </w:rPr>
        <w:t>200ppm</w:t>
      </w:r>
      <w:r w:rsidRPr="00677D1F">
        <w:rPr>
          <w:rFonts w:asciiTheme="minorEastAsia" w:hAnsiTheme="minorEastAsia" w:cs="宋体" w:hint="eastAsia"/>
          <w:color w:val="000000"/>
          <w:kern w:val="0"/>
          <w:sz w:val="24"/>
          <w:szCs w:val="24"/>
        </w:rPr>
        <w:t>以上），目前只有小规模装置还有使用；而三台或四台填料塔流程，设备多、占地大，投资高。从而使填料塔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泡罩塔流程得以迅速发展，该技术有以下优点：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氯气干燥效率高（可使氯气中含水小于</w:t>
      </w:r>
      <w:r w:rsidRPr="00677D1F">
        <w:rPr>
          <w:rFonts w:asciiTheme="minorEastAsia" w:hAnsiTheme="minorEastAsia" w:cs="宋体"/>
          <w:color w:val="000000"/>
          <w:kern w:val="0"/>
          <w:sz w:val="24"/>
          <w:szCs w:val="24"/>
        </w:rPr>
        <w:t>50ppm</w:t>
      </w:r>
      <w:r w:rsidRPr="00677D1F">
        <w:rPr>
          <w:rFonts w:asciiTheme="minorEastAsia" w:hAnsiTheme="minorEastAsia" w:cs="宋体" w:hint="eastAsia"/>
          <w:color w:val="000000"/>
          <w:kern w:val="0"/>
          <w:sz w:val="24"/>
          <w:szCs w:val="24"/>
        </w:rPr>
        <w:t>），因而大大延长了设备操作运行寿命，减少了维修工作量；设备台数少，整个系统只有</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台填料干燥塔、</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台泡罩干燥塔、</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台循环泵、</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台板式换热器，与要达到相同效果的三台或四台填料塔</w:t>
      </w:r>
      <w:r w:rsidRPr="00677D1F">
        <w:rPr>
          <w:rFonts w:asciiTheme="minorEastAsia" w:hAnsiTheme="minorEastAsia" w:cs="宋体" w:hint="eastAsia"/>
          <w:color w:val="000000"/>
          <w:kern w:val="0"/>
          <w:sz w:val="24"/>
          <w:szCs w:val="24"/>
        </w:rPr>
        <w:lastRenderedPageBreak/>
        <w:t>相比，少</w:t>
      </w:r>
      <w:r w:rsidRPr="00677D1F">
        <w:rPr>
          <w:rFonts w:asciiTheme="minorEastAsia" w:hAnsiTheme="minorEastAsia" w:cs="宋体"/>
          <w:color w:val="000000"/>
          <w:kern w:val="0"/>
          <w:sz w:val="24"/>
          <w:szCs w:val="24"/>
        </w:rPr>
        <w:t>7~9</w:t>
      </w:r>
      <w:r w:rsidRPr="00677D1F">
        <w:rPr>
          <w:rFonts w:asciiTheme="minorEastAsia" w:hAnsiTheme="minorEastAsia" w:cs="宋体" w:hint="eastAsia"/>
          <w:color w:val="000000"/>
          <w:kern w:val="0"/>
          <w:sz w:val="24"/>
          <w:szCs w:val="24"/>
        </w:rPr>
        <w:t>台设备。因而占地小、投资省、操作简单；本项目拟采用填料塔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泡罩塔技术。</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10.2.2.2</w:t>
      </w:r>
      <w:r w:rsidRPr="00677D1F">
        <w:rPr>
          <w:rFonts w:asciiTheme="minorEastAsia" w:hAnsiTheme="minorEastAsia" w:cs="Times New Roman" w:hint="eastAsia"/>
          <w:b/>
          <w:bCs/>
          <w:color w:val="000000"/>
          <w:kern w:val="0"/>
          <w:sz w:val="24"/>
          <w:szCs w:val="24"/>
        </w:rPr>
        <w:t>资源利用分析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能耗消耗指标分析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根据计算，本项目海绵钛单位产品综合能源消耗为</w:t>
      </w:r>
      <w:r w:rsidRPr="00677D1F">
        <w:rPr>
          <w:rFonts w:asciiTheme="minorEastAsia" w:hAnsiTheme="minorEastAsia" w:cs="宋体"/>
          <w:color w:val="000000"/>
          <w:kern w:val="0"/>
          <w:sz w:val="24"/>
          <w:szCs w:val="24"/>
        </w:rPr>
        <w:t>4.378t</w:t>
      </w:r>
      <w:r w:rsidRPr="00677D1F">
        <w:rPr>
          <w:rFonts w:asciiTheme="minorEastAsia" w:hAnsiTheme="minorEastAsia" w:cs="宋体" w:hint="eastAsia"/>
          <w:color w:val="000000"/>
          <w:kern w:val="0"/>
          <w:sz w:val="24"/>
          <w:szCs w:val="24"/>
        </w:rPr>
        <w:t>标准煤。能耗消耗指标见表</w:t>
      </w:r>
      <w:r w:rsidRPr="00677D1F">
        <w:rPr>
          <w:rFonts w:asciiTheme="minorEastAsia" w:hAnsiTheme="minorEastAsia" w:cs="宋体"/>
          <w:color w:val="000000"/>
          <w:kern w:val="0"/>
          <w:sz w:val="24"/>
          <w:szCs w:val="24"/>
        </w:rPr>
        <w:t>10.2-12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表10.2-12氯气生产单位产品综合能耗计算表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本项目氯气单位产品工艺能耗为</w:t>
      </w:r>
      <w:r w:rsidRPr="00677D1F">
        <w:rPr>
          <w:rFonts w:asciiTheme="minorEastAsia" w:hAnsiTheme="minorEastAsia" w:cs="宋体"/>
          <w:color w:val="000000"/>
          <w:kern w:val="0"/>
          <w:sz w:val="24"/>
          <w:szCs w:val="24"/>
        </w:rPr>
        <w:t>0.3298t</w:t>
      </w:r>
      <w:r w:rsidRPr="00677D1F">
        <w:rPr>
          <w:rFonts w:asciiTheme="minorEastAsia" w:hAnsiTheme="minorEastAsia" w:cs="宋体" w:hint="eastAsia"/>
          <w:color w:val="000000"/>
          <w:kern w:val="0"/>
          <w:sz w:val="24"/>
          <w:szCs w:val="24"/>
        </w:rPr>
        <w:t>标准煤。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主要工艺节能措施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①采用先进的离子膜法电解工艺技术是最大的节能措施。离子膜法与隔膜法烧碱成品综合能耗比较见表</w:t>
      </w:r>
      <w:r w:rsidRPr="00677D1F">
        <w:rPr>
          <w:rFonts w:asciiTheme="minorEastAsia" w:hAnsiTheme="minorEastAsia" w:cs="宋体"/>
          <w:color w:val="000000"/>
          <w:kern w:val="0"/>
          <w:sz w:val="24"/>
          <w:szCs w:val="24"/>
        </w:rPr>
        <w:t>10.2-13</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表10.2-13离子膜法与隔膜法烧碱成品综合能耗比较表（以每吨100wt%NaOH计）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从表</w:t>
      </w:r>
      <w:r w:rsidRPr="00677D1F">
        <w:rPr>
          <w:rFonts w:asciiTheme="minorEastAsia" w:hAnsiTheme="minorEastAsia" w:cs="宋体"/>
          <w:color w:val="000000"/>
          <w:kern w:val="0"/>
          <w:sz w:val="24"/>
          <w:szCs w:val="24"/>
        </w:rPr>
        <w:t>10.2-13</w:t>
      </w:r>
      <w:r w:rsidRPr="00677D1F">
        <w:rPr>
          <w:rFonts w:asciiTheme="minorEastAsia" w:hAnsiTheme="minorEastAsia" w:cs="宋体" w:hint="eastAsia"/>
          <w:color w:val="000000"/>
          <w:kern w:val="0"/>
          <w:sz w:val="24"/>
          <w:szCs w:val="24"/>
        </w:rPr>
        <w:t>数据明显地看出，</w:t>
      </w:r>
      <w:r w:rsidRPr="00677D1F">
        <w:rPr>
          <w:rFonts w:asciiTheme="minorEastAsia" w:hAnsiTheme="minorEastAsia" w:cs="宋体"/>
          <w:color w:val="000000"/>
          <w:kern w:val="0"/>
          <w:sz w:val="24"/>
          <w:szCs w:val="24"/>
        </w:rPr>
        <w:t>32wt%</w:t>
      </w:r>
      <w:r w:rsidRPr="00677D1F">
        <w:rPr>
          <w:rFonts w:asciiTheme="minorEastAsia" w:hAnsiTheme="minorEastAsia" w:cs="宋体" w:hint="eastAsia"/>
          <w:color w:val="000000"/>
          <w:kern w:val="0"/>
          <w:sz w:val="24"/>
          <w:szCs w:val="24"/>
        </w:rPr>
        <w:t>离子膜法液碱的综合能耗指标大大低于相同浓度隔膜法金属阳极液碱的综合能耗指标。目前大中型厂生产</w:t>
      </w:r>
      <w:r w:rsidRPr="00677D1F">
        <w:rPr>
          <w:rFonts w:asciiTheme="minorEastAsia" w:hAnsiTheme="minorEastAsia" w:cs="宋体"/>
          <w:color w:val="000000"/>
          <w:kern w:val="0"/>
          <w:sz w:val="24"/>
          <w:szCs w:val="24"/>
        </w:rPr>
        <w:t>30wt%</w:t>
      </w:r>
      <w:r w:rsidRPr="00677D1F">
        <w:rPr>
          <w:rFonts w:asciiTheme="minorEastAsia" w:hAnsiTheme="minorEastAsia" w:cs="宋体" w:hint="eastAsia"/>
          <w:color w:val="000000"/>
          <w:kern w:val="0"/>
          <w:sz w:val="24"/>
          <w:szCs w:val="24"/>
        </w:rPr>
        <w:t>液碱（折</w:t>
      </w:r>
      <w:r w:rsidRPr="00677D1F">
        <w:rPr>
          <w:rFonts w:asciiTheme="minorEastAsia" w:hAnsiTheme="minorEastAsia" w:cs="宋体"/>
          <w:color w:val="000000"/>
          <w:kern w:val="0"/>
          <w:sz w:val="24"/>
          <w:szCs w:val="24"/>
        </w:rPr>
        <w:t>100wt%NaOH</w:t>
      </w:r>
      <w:r w:rsidRPr="00677D1F">
        <w:rPr>
          <w:rFonts w:asciiTheme="minorEastAsia" w:hAnsiTheme="minorEastAsia" w:cs="宋体" w:hint="eastAsia"/>
          <w:color w:val="000000"/>
          <w:kern w:val="0"/>
          <w:sz w:val="24"/>
          <w:szCs w:val="24"/>
        </w:rPr>
        <w:t>）采用金属阳极</w:t>
      </w:r>
      <w:r w:rsidRPr="00677D1F">
        <w:rPr>
          <w:rFonts w:asciiTheme="minorEastAsia" w:hAnsiTheme="minorEastAsia" w:cs="宋体"/>
          <w:color w:val="000000"/>
          <w:kern w:val="0"/>
          <w:sz w:val="24"/>
          <w:szCs w:val="24"/>
        </w:rPr>
        <w:t>D=15A/dm2</w:t>
      </w:r>
      <w:r w:rsidRPr="00677D1F">
        <w:rPr>
          <w:rFonts w:asciiTheme="minorEastAsia" w:hAnsiTheme="minorEastAsia" w:cs="宋体" w:hint="eastAsia"/>
          <w:color w:val="000000"/>
          <w:kern w:val="0"/>
          <w:sz w:val="24"/>
          <w:szCs w:val="24"/>
        </w:rPr>
        <w:t>时，每吨平均综合能耗为</w:t>
      </w:r>
      <w:r w:rsidRPr="00677D1F">
        <w:rPr>
          <w:rFonts w:asciiTheme="minorEastAsia" w:hAnsiTheme="minorEastAsia" w:cs="宋体"/>
          <w:color w:val="000000"/>
          <w:kern w:val="0"/>
          <w:sz w:val="24"/>
          <w:szCs w:val="24"/>
        </w:rPr>
        <w:t>1.57t</w:t>
      </w:r>
      <w:r w:rsidRPr="00677D1F">
        <w:rPr>
          <w:rFonts w:asciiTheme="minorEastAsia" w:hAnsiTheme="minorEastAsia" w:cs="宋体" w:hint="eastAsia"/>
          <w:color w:val="000000"/>
          <w:kern w:val="0"/>
          <w:sz w:val="24"/>
          <w:szCs w:val="24"/>
        </w:rPr>
        <w:t>标煤，而每吨离子膜烧碱的综合能耗仅为</w:t>
      </w:r>
      <w:r w:rsidRPr="00677D1F">
        <w:rPr>
          <w:rFonts w:asciiTheme="minorEastAsia" w:hAnsiTheme="minorEastAsia" w:cs="宋体"/>
          <w:color w:val="000000"/>
          <w:kern w:val="0"/>
          <w:sz w:val="24"/>
          <w:szCs w:val="24"/>
        </w:rPr>
        <w:t>1.1t</w:t>
      </w:r>
      <w:r w:rsidRPr="00677D1F">
        <w:rPr>
          <w:rFonts w:asciiTheme="minorEastAsia" w:hAnsiTheme="minorEastAsia" w:cs="宋体" w:hint="eastAsia"/>
          <w:color w:val="000000"/>
          <w:kern w:val="0"/>
          <w:sz w:val="24"/>
          <w:szCs w:val="24"/>
        </w:rPr>
        <w:t>标煤，约可节约</w:t>
      </w:r>
      <w:r w:rsidRPr="00677D1F">
        <w:rPr>
          <w:rFonts w:asciiTheme="minorEastAsia" w:hAnsiTheme="minorEastAsia" w:cs="宋体"/>
          <w:color w:val="000000"/>
          <w:kern w:val="0"/>
          <w:sz w:val="24"/>
          <w:szCs w:val="24"/>
        </w:rPr>
        <w:t>0.48t</w:t>
      </w:r>
      <w:r w:rsidRPr="00677D1F">
        <w:rPr>
          <w:rFonts w:asciiTheme="minorEastAsia" w:hAnsiTheme="minorEastAsia" w:cs="宋体" w:hint="eastAsia"/>
          <w:color w:val="000000"/>
          <w:kern w:val="0"/>
          <w:sz w:val="24"/>
          <w:szCs w:val="24"/>
        </w:rPr>
        <w:t>标煤。</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②采用自然循环复极式电解槽，使电气回路的电压和电流适中，因而获得高整流效率。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③采用氯气透平压缩机装置，比传统的液环式压缩机节能</w:t>
      </w:r>
      <w:r w:rsidRPr="00677D1F">
        <w:rPr>
          <w:rFonts w:asciiTheme="minorEastAsia" w:hAnsiTheme="minorEastAsia" w:cs="宋体"/>
          <w:color w:val="000000"/>
          <w:kern w:val="0"/>
          <w:sz w:val="24"/>
          <w:szCs w:val="24"/>
        </w:rPr>
        <w:t>50%</w:t>
      </w:r>
      <w:r w:rsidRPr="00677D1F">
        <w:rPr>
          <w:rFonts w:asciiTheme="minorEastAsia" w:hAnsiTheme="minorEastAsia" w:cs="宋体" w:hint="eastAsia"/>
          <w:color w:val="000000"/>
          <w:kern w:val="0"/>
          <w:sz w:val="24"/>
          <w:szCs w:val="24"/>
        </w:rPr>
        <w:t>以上。</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氯碱行业准入条件能耗指标对比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虽然本项目主要生产氯气，但主要生产工艺与氯碱生产基本相同，因此能耗指标可参考《氯碱（烧碱、聚氯乙烯）行业准入条件》中的能耗指标分析。通过与《氯碱（烧碱、聚氯乙烯）行业准入条件》中单位产品能耗标准对比分析，本项目氯气生产能耗指标符合新建、改扩建烧碱装置产品单位能耗限额要求。对比情况见表</w:t>
      </w:r>
      <w:r w:rsidRPr="00677D1F">
        <w:rPr>
          <w:rFonts w:asciiTheme="minorEastAsia" w:hAnsiTheme="minorEastAsia" w:cs="宋体"/>
          <w:color w:val="000000"/>
          <w:kern w:val="0"/>
          <w:sz w:val="24"/>
          <w:szCs w:val="24"/>
        </w:rPr>
        <w:t>10.2-14</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表10.2-14电解装置能耗指标对比情况表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节水分析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按不同温度要求，实施循环水利用，节省工业用水；生产设备直接冷却水循环利用，排水降级使用，从而达到节约用水的目的。经计算，氯气生产用水重复利用</w:t>
      </w:r>
      <w:r w:rsidRPr="00677D1F">
        <w:rPr>
          <w:rFonts w:asciiTheme="minorEastAsia" w:hAnsiTheme="minorEastAsia" w:cs="宋体" w:hint="eastAsia"/>
          <w:color w:val="000000"/>
          <w:kern w:val="0"/>
          <w:sz w:val="24"/>
          <w:szCs w:val="24"/>
        </w:rPr>
        <w:lastRenderedPageBreak/>
        <w:t>率为</w:t>
      </w:r>
      <w:r w:rsidRPr="00677D1F">
        <w:rPr>
          <w:rFonts w:asciiTheme="minorEastAsia" w:hAnsiTheme="minorEastAsia" w:cs="宋体"/>
          <w:color w:val="000000"/>
          <w:kern w:val="0"/>
          <w:sz w:val="24"/>
          <w:szCs w:val="24"/>
        </w:rPr>
        <w:t>96%</w:t>
      </w:r>
      <w:r w:rsidRPr="00677D1F">
        <w:rPr>
          <w:rFonts w:asciiTheme="minorEastAsia" w:hAnsiTheme="minorEastAsia" w:cs="宋体" w:hint="eastAsia"/>
          <w:color w:val="000000"/>
          <w:kern w:val="0"/>
          <w:sz w:val="24"/>
          <w:szCs w:val="24"/>
        </w:rPr>
        <w:t>，超过了建设部、国家经贸委、国家计委《节水型城市目标导则》考核指标—工业用水重复利用率≥</w:t>
      </w:r>
      <w:r w:rsidRPr="00677D1F">
        <w:rPr>
          <w:rFonts w:asciiTheme="minorEastAsia" w:hAnsiTheme="minorEastAsia" w:cs="宋体"/>
          <w:color w:val="000000"/>
          <w:kern w:val="0"/>
          <w:sz w:val="24"/>
          <w:szCs w:val="24"/>
        </w:rPr>
        <w:t>75%</w:t>
      </w:r>
      <w:r w:rsidRPr="00677D1F">
        <w:rPr>
          <w:rFonts w:asciiTheme="minorEastAsia" w:hAnsiTheme="minorEastAsia" w:cs="宋体" w:hint="eastAsia"/>
          <w:color w:val="000000"/>
          <w:kern w:val="0"/>
          <w:sz w:val="24"/>
          <w:szCs w:val="24"/>
        </w:rPr>
        <w:t>的要求，达到了国内较为先进的水平。</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10.2.2.3</w:t>
      </w:r>
      <w:r w:rsidRPr="00677D1F">
        <w:rPr>
          <w:rFonts w:asciiTheme="minorEastAsia" w:hAnsiTheme="minorEastAsia" w:cs="Times New Roman" w:hint="eastAsia"/>
          <w:b/>
          <w:bCs/>
          <w:color w:val="000000"/>
          <w:kern w:val="0"/>
          <w:sz w:val="24"/>
          <w:szCs w:val="24"/>
        </w:rPr>
        <w:t>与《清洁生产标准氯碱工业（烧碱）》（</w:t>
      </w:r>
      <w:r w:rsidRPr="00677D1F">
        <w:rPr>
          <w:rFonts w:asciiTheme="minorEastAsia" w:hAnsiTheme="minorEastAsia" w:cs="Times New Roman"/>
          <w:b/>
          <w:bCs/>
          <w:color w:val="000000"/>
          <w:kern w:val="0"/>
          <w:sz w:val="24"/>
          <w:szCs w:val="24"/>
        </w:rPr>
        <w:t>HJ475-2009</w:t>
      </w:r>
      <w:r w:rsidRPr="00677D1F">
        <w:rPr>
          <w:rFonts w:asciiTheme="minorEastAsia" w:hAnsiTheme="minorEastAsia" w:cs="Times New Roman" w:hint="eastAsia"/>
          <w:b/>
          <w:bCs/>
          <w:color w:val="000000"/>
          <w:kern w:val="0"/>
          <w:sz w:val="24"/>
          <w:szCs w:val="24"/>
        </w:rPr>
        <w:t>）清洁生产指标分析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虽然本项目主要生产氯气，但主要生产工艺与氯碱生产基本相同，但可参考《清洁生产标准氯碱工业（烧碱）》（</w:t>
      </w:r>
      <w:r w:rsidRPr="00677D1F">
        <w:rPr>
          <w:rFonts w:asciiTheme="minorEastAsia" w:hAnsiTheme="minorEastAsia" w:cs="宋体"/>
          <w:color w:val="000000"/>
          <w:kern w:val="0"/>
          <w:sz w:val="24"/>
          <w:szCs w:val="24"/>
        </w:rPr>
        <w:t>HJ475-2009</w:t>
      </w:r>
      <w:r w:rsidRPr="00677D1F">
        <w:rPr>
          <w:rFonts w:asciiTheme="minorEastAsia" w:hAnsiTheme="minorEastAsia" w:cs="宋体" w:hint="eastAsia"/>
          <w:color w:val="000000"/>
          <w:kern w:val="0"/>
          <w:sz w:val="24"/>
          <w:szCs w:val="24"/>
        </w:rPr>
        <w:t>）的清洁生产指标，就本项目的生产工艺与装备、资源能源利用、产品、废物排放与回收及环境管理要求指标分析分析氯气生产的清洁生产水平。对比分析见表</w:t>
      </w:r>
      <w:r w:rsidRPr="00677D1F">
        <w:rPr>
          <w:rFonts w:asciiTheme="minorEastAsia" w:hAnsiTheme="minorEastAsia" w:cs="宋体"/>
          <w:color w:val="000000"/>
          <w:kern w:val="0"/>
          <w:sz w:val="24"/>
          <w:szCs w:val="24"/>
        </w:rPr>
        <w:t>10.2-15</w:t>
      </w:r>
      <w:r w:rsidRPr="00677D1F">
        <w:rPr>
          <w:rFonts w:asciiTheme="minorEastAsia" w:hAnsiTheme="minorEastAsia" w:cs="宋体" w:hint="eastAsia"/>
          <w:color w:val="000000"/>
          <w:kern w:val="0"/>
          <w:sz w:val="24"/>
          <w:szCs w:val="24"/>
        </w:rPr>
        <w:t>。</w:t>
      </w:r>
    </w:p>
    <w:p w:rsidR="00D228BE" w:rsidRPr="00677D1F" w:rsidRDefault="00332EB6" w:rsidP="00677D1F">
      <w:pPr>
        <w:widowControl/>
        <w:contextualSpacing/>
        <w:jc w:val="left"/>
        <w:rPr>
          <w:rFonts w:ascii="宋体" w:eastAsia="宋体" w:hAnsi="宋体" w:cs="宋体"/>
          <w:kern w:val="0"/>
          <w:sz w:val="24"/>
          <w:szCs w:val="24"/>
        </w:rPr>
      </w:pPr>
      <w:r w:rsidRPr="00677D1F">
        <w:rPr>
          <w:rFonts w:ascii="黑体" w:eastAsia="黑体" w:hAnsi="黑体" w:cs="宋体" w:hint="eastAsia"/>
          <w:color w:val="000000"/>
          <w:kern w:val="0"/>
          <w:szCs w:val="21"/>
        </w:rPr>
        <w:t>表10.2-15指标对比分析一览表</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10.2.2.4</w:t>
      </w:r>
      <w:r w:rsidRPr="00677D1F">
        <w:rPr>
          <w:rFonts w:asciiTheme="minorEastAsia" w:hAnsiTheme="minorEastAsia" w:cs="Times New Roman" w:hint="eastAsia"/>
          <w:b/>
          <w:bCs/>
          <w:color w:val="000000"/>
          <w:kern w:val="0"/>
          <w:sz w:val="24"/>
          <w:szCs w:val="24"/>
        </w:rPr>
        <w:t>清洁水平评价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清洁生产分析的结果表明</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采用高电流密度自然循环复极式离子膜电解槽的氯气生产工艺，采取了一系列的环保治理措施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装置生产管理科学化、自动化程度高</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全部新安装</w:t>
      </w:r>
      <w:r w:rsidRPr="00677D1F">
        <w:rPr>
          <w:rFonts w:asciiTheme="minorEastAsia" w:hAnsiTheme="minorEastAsia" w:cs="宋体"/>
          <w:color w:val="000000"/>
          <w:kern w:val="0"/>
          <w:sz w:val="24"/>
          <w:szCs w:val="24"/>
        </w:rPr>
        <w:t>DIS</w:t>
      </w:r>
      <w:r w:rsidRPr="00677D1F">
        <w:rPr>
          <w:rFonts w:asciiTheme="minorEastAsia" w:hAnsiTheme="minorEastAsia" w:cs="宋体" w:hint="eastAsia"/>
          <w:color w:val="000000"/>
          <w:kern w:val="0"/>
          <w:sz w:val="24"/>
          <w:szCs w:val="24"/>
        </w:rPr>
        <w:t>控制系统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全面控制各操作单元</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使装置高质量平衡地经济运行提供了科学技术保障。通过本项目氯气生产中的生产工艺与装备、资源能源利用、产品指标、污染物产生（末端处理前）、废物回收利用和环境管理要求与《清洁生产标准氯碱工业（烧碱）》（</w:t>
      </w:r>
      <w:r w:rsidRPr="00677D1F">
        <w:rPr>
          <w:rFonts w:asciiTheme="minorEastAsia" w:hAnsiTheme="minorEastAsia" w:cs="宋体"/>
          <w:color w:val="000000"/>
          <w:kern w:val="0"/>
          <w:sz w:val="24"/>
          <w:szCs w:val="24"/>
        </w:rPr>
        <w:t>HJ475-2009</w:t>
      </w:r>
      <w:r w:rsidRPr="00677D1F">
        <w:rPr>
          <w:rFonts w:asciiTheme="minorEastAsia" w:hAnsiTheme="minorEastAsia" w:cs="宋体" w:hint="eastAsia"/>
          <w:color w:val="000000"/>
          <w:kern w:val="0"/>
          <w:sz w:val="24"/>
          <w:szCs w:val="24"/>
        </w:rPr>
        <w:t>）的清洁生产指标对比分析，指标均满足一级清洁生产水平和达到要求，处于国际清洁生产先进水平。</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10.2.3.1</w:t>
      </w:r>
      <w:r w:rsidRPr="00677D1F">
        <w:rPr>
          <w:rFonts w:asciiTheme="minorEastAsia" w:hAnsiTheme="minorEastAsia" w:cs="Times New Roman" w:hint="eastAsia"/>
          <w:b/>
          <w:bCs/>
          <w:color w:val="000000"/>
          <w:kern w:val="0"/>
          <w:sz w:val="24"/>
          <w:szCs w:val="24"/>
        </w:rPr>
        <w:t>生产技术先进性分析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（1）钛（合金）铸锭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在钛的冶炼生产工艺有两种主要工艺，一种是电子束熔炼，另外一种为真空熔炼。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真空自耗熔炼法（VAR法）是钛工业中历史最长的熔炼方法，在20世纪70年代中期成为钛及钛合金铸造锭熔炼的主要方法。在20世纪80年代，钛的冷床炉熔炼开始发展，首先是用电子束，然后是等离子束，随后该技术快速发展并加入到了过去由VAR熔炼主导的工业领域中，一次可熔炼24吨的大型冷床炉。在美国，冷床炉熔炼方法，早已与真空自耗熔炼法平分秋色，并将处于主导地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真空自耗熔炼法（VAR法）基本工艺是：海绵钛原料的破碎→混料→烘干→合金配料→压电极→自耗电极焊接→一次真空自耗熔炼→二次真空自耗重熔→铸锭扒皮取样→分析检验→铸锭成品。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国际上多数生产产家都采用电子束熔炼炉（ElectricBeam）简称EB炉，EB炉以它杰出的冶炼能力而著称，它主要用于难熔金属和活性金属（钽、铌、钼、钨、钒、铪、锆、钛）及其合金的冶炼。它在超纯度溅镀靶材和电子合金的制造以及钛屑回收方面发挥着重要的作用，并且在热源上具有高度的灵活性。因此非常适用于在水冷铜模下利用高真空对金属和合金进行重熔和精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EB炉从固态阴极发射出电子束，通过高压加速，形成小直径的电子束，在高真空状态下利用电子束将海绵钛除去一些杂质，提高钛的纯度，从而保证加工变形和产品性能要求。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EB炉直接配料加入海绵钛及返回的钛材废料、纯金属及中间合金添加剂，在炉内熔化升温精炼后，得到化学成分均匀的纯钛并浇铸成锭。EB炉生产工艺简捷，但设备组成较复杂、一次性投资较大、并对合金化成分有一定的限制，是高产能生产必备的先进设备之一。EB炉熔炼成品一方面可以作为真空自耗炉的电极，另一方面经过扒皮、锻造、锯头锯尾等处理后可以作为热轧车间的原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钛是高技术产品，钛的冶炼生产过程比较复杂，存在着较高的技术、环保、经济能力的要求，钛锭的冶炼大型设备目前世界上只有美国、俄国、乌克兰、德国能生产，目前美国3大钛公司均装备电子束冷床炉（EB炉）。本项目拟引进美国RETCH公司电子束熔炼炉（EB炉）工艺装备技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（2）煅造</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当前，国外先进的钛自由锻件生产多采用自动控制液压快锻技术。其锻造速度稳定，锻件精度可达±1mm，精整时的锻造频率可达120次／min，可以实现程序控制，每火次加工率高，锻件变形均匀，可减少锻件加热次数，使烧损及生产成本降低，也可减少因变形不均引起的表面裂纹的机加损失，提高成品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本项目煅造设计采用先进可靠的燃气炉和电炉加热，快速锻造技术，使锻件每火次变形量增大，变形均匀，从而减少产品生产工序，提高产品成品率。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煅造采用大型先进的燃气加热炉及电加热炉加热铸锭和锻坯，温度控制精确，锻件温度均匀，烧损减少；微氧化气氛加热，减少了锻件加热过程中吸氢；采用先进的无轨装出料车搬运加热锻件，可以缩短锻坯出炉至开锻的时间，防止坯料表面温降过大，减少坯料内外温差，从而提高坯料变形温度和变形量分布的均匀性，减少变形裂纹及其它缺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本项目煅造采用液压快锻机和操作机联动进行锻造生产，可按照设定的锻造道次自动、精确控制道次压下量，并提高锻造频次，从而减少锻造时间，提高成品率。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本项目煅造的主要生产设备有锻造加热炉、快锻机及操作机和机加设备，其中快锻机是核心关键设备。其主要设备特点分析如下：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①锻造加热炉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使用燃料的不同锻造加热炉分为：煤炉、油炉、燃气炉和电炉。煤炉烟尘危害大，操作条件差，炉温波动大且均匀性差，已经逐步淘汰。油炉通过调节燃烧喷嘴输油量控制炉温，温差可控制在±15℃，但污染较为严重。燃气炉由于具有燃烧稳定、炉温均匀和操作方便，且燃烧产物清洁等特点，当前在锻造行业普遍采用。电炉加热温度均匀，易控制，气体污染程度小，且比较清洁，是锻坯理想的加热手段，但电耗大成本太高。从节能、环保和经济性角度考虑，铸锭开坯和中间火次的加热采用蓄热式高温微氧化性气氛燃气炉，成品火次加热采用电炉较为合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锻造加热炉根据结构形式不同又分室式炉、台车炉和连续炉。室式炉结构简单，加热温度均匀，易于操作，适用于单火次或多火次锻件加热；台车炉的加热特点和室式炉相近，只不过炉底为台车式活底。在加热大型锻坯时，台车炉装出料在吊车的配合下很方便，可以大大减轻工人的劳动强度，但这种炉子的热损失比较大；连续炉炉膛由低温、中温和高温三个相毗邻的区域组成，加热坯料从低温区装入、经中温区到高温区取出，适用于大批量中小型锭坯连续加热，常用于单火次锻造加工的锻件生产。这种炉子的优点是生产量大，燃料利用率高。本项目的钛合金锻造制品，批量小，规格品种多，且需要多火次加热，选用室式炉和台车炉较为合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②快锻机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锻造可采用锻锤和快锻机。与锻锤相比，快锻机是用液体静压力使金属变形，能量利用率高，工作时没有振动，操作安全，可以改善工人的劳动条件；自动化程度高，可实现全自动化程序控制；可以大压下量锻造，能改善大锻件的锻透性。采用快锻机锻造，变形速度慢，再结晶软化能充分进行，变形抗力小，塑性高；而在锤上锻造时，由于变形速度高，使热效应增大，锻件过热危险性增大，晶粒粗大，塑性降低，不利于锻造成型和改善组织性能。由于钛合金对应变速率比较敏感，变形速率越大则变形抗力越大，因此，采用快锻机锻造更加合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根据产品方案，拟选择1台40MN快锻机以满足大规格锻坯的生产需要，选择1台20MN快锻机、1台16MN快锻机和1台8MN快锻机用于小规格的锻件和棒坯生产。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③无轨装出料车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采用先进的无轨装出料车搬运加热锻件，可以缩短锻件出炉至开锻的时间，防止坯料表面温降过大，减少坯料内外温差，从而提高坯料变形温度和变形量分布的均匀性，减少变形裂纹及其它缺陷。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快锻机是实现本生产工艺的关键生产设备，其先进性和可靠性直接关系到本生产工艺技术能否实施，生产任务能否实现。近年来我国锻造压机尤其是快锻机的设计和装备制造等技术水平有了明显提升。与进口的世界一流快锻机相比，国产快锻机的机架也采用了预应力设计，采用有限元分析软件对框架与主缸等受力件作应力分析及计算以优化设计；液压系统的主泵及比例阀、泄压阀等均采用世界一流产品。国产165MN快锻机已于2009年在上重投产，专用于钛等稀有金属生产的国产40/45MN快锻机已经成功应用于西部材料、攀长钢等公司，设备运行状况良好。因此本设计选用的快锻机、操作机等拟采用国产先进设备。锻造车间其它设备全部选用国产成熟、可靠设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（3）板带生产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由于钛的低塑性、高变形抗力、高温氧化性、在易于热变形的温度范围内存在着同素异晶转变并且两种同素异晶体性能差别较大等特殊性能，使得钛材生产异常困难，尤其是钛板带材的生产。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了适应钛的这些特殊加工性能同时提高生产效率和成品率等原因，要求其生产大型连续化，但这与目前钛板带材的生产规模相对较小的矛盾较为突出，因此国外除少数钛板带生产厂具有钛材轧制的专用设备外，大部分是在钢铁加工厂利用钢铁厂的连轧机生产钛板带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连轧虽然可减少退火次数、降低生产成本而且容易对钛高温氧化吸气和终轧温度进行控制，但这种生产方法生产能力大、设备投资高，生产规模偏小时，单独建厂不合理。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专业化钛板带材生产厂家中，前苏联的钛板带材的生产是在考虑到大型连续化生产与生产规模小的矛盾后，采取了炉卷轧机进行热轧生产，冷轧生产采用四辊或二十辊轧机，这种方式相对于连轧机设备投资少、占地面积小，生产针对性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根据产品方案确定的生产规模和产品的技术要求，本项目钛热轧及冷轧厚板材采用块式法生产工艺，对钛带材及薄板的生产采用“坯料－炉卷轧机轧制－卷取－冷轧”的生产方式。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（4）焊管生产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随着钛带材轧制技术和钛焊管技术的进步和成熟，钛薄壁焊管已实现了大批量、高效率、高精度生产。焊管的生产工序短、生产成本低、生产效率高，在日本、欧美，钛及钛合金薄壁无缝管材正在逐步为钛焊管所取代，但重要的化工装置、航空液压管路及火箭发动机燃料导管等，为保证安全，仍然使用无缝管。目前，我国生产和使用的钛及钛合金管材仍以无缝管为主，制约我国钛焊管发展的主要原因是我国不能提供大卷重，高精度钛带卷，焊管用的高精度钛带卷需从国外进口，阻碍了钛焊管的发展。随着钛带生产技术和装备水平的不断提高，以及钛带供应的多元化，钛焊管生产的潜力巨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研究钛焊管生产新工艺、新技术，开发先进的生产装备，促进钛及钛合金薄壁焊管的发展，是今后钛焊管材生产的发展方向。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钛焊接管的不同生产工艺其主要区别在于管材的焊接方式，通常钛焊管焊接方式有氩弧（TIG）焊接法、高频焊接法和激光焊接法。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TIG焊在氩气保护下进行焊接的方法。其特点是氩气具有极好的保护作用，能有效地隔绝周围空气；它本身不与金属起反应，也不溶于金属，因此焊缝质量好。TIG焊的电弧非常稳定，特别适合于薄板材的焊接。高频焊接法的电流能高度集中于焊接区，加热速度快，焊接速度高，但易产生氧化，焊接钛管时焊缝容易吸氢，影响焊缝质量，因此不宜用做钛管材的焊接。激光焊接法由于激光聚焦后功率密度高，加热集中，完成单位长度、单位厚度工件所需的热输入低，因而工件变形极小，适宜于精密焊接、微焊接，焊接厚板材可不打坡口。但激光焊接设备一次投资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氩弧焊接法的工艺技术成熟、应用普遍，因此本项目焊管生产拟采用氩弧焊接生产工艺。本项目选择具有电弧稳定，特别适合于薄带材的焊接，且具有设备投资小，生产成本低的氩弧（TIG）焊机。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国外先进的钛焊管机列采用连续化、自动化生产，将开卷、成型、焊接、感应退火、涡流探伤、锯切、超声波探伤、气密性检查等工序在一个机列上完成。整个机列采用计算机控制，产品质量好且稳定，生产效率高。这种连续化、高水平的钛</w:t>
      </w:r>
      <w:r w:rsidRPr="00677D1F">
        <w:rPr>
          <w:rFonts w:asciiTheme="minorEastAsia" w:hAnsiTheme="minorEastAsia" w:cs="宋体" w:hint="eastAsia"/>
          <w:color w:val="000000"/>
          <w:kern w:val="0"/>
          <w:sz w:val="24"/>
          <w:szCs w:val="24"/>
        </w:rPr>
        <w:lastRenderedPageBreak/>
        <w:t>焊管机列国内尚不能全套生产，因此钛焊管机列拟采用国内外联合制造。由于焊机的好坏决定钛焊管焊缝的质量，国内制造的焊机与国外焊机在焊缝质量和精度上有较大的差距，难以满足高精度钛焊管的需要。因此焊接机拟从国外引进，其它设备，如：超声波探伤仪、气密试验机等拟采用国产成熟的先进设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 xml:space="preserve"> （5）无缝管生产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低强度、低合金化的钛及钛合金无缝管材加工技术比较成熟。管坯制备有挤压和斜轧穿孔两种方式。由于挤压法生产的管坯晶粒细致、尺寸精度高，其工艺技术较成熟，因此国内采用较多。斜轧穿孔法生产的管坯金属消耗小、成品率高、生产成本较低，但难以生产钛合金管坯，多用于纯钛管坯的生产，近年来国内的一些生产厂家和科研单位对该生产工艺进行了大量的研究试验，取得了很大的进展，已进入工业化生产阶段。冷加工技术多采用冷轧管—真空退火工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研究钛管生产新工艺、新技术，开发先进的生产装备，解决高强钛合金管材的轧制技术，提高无缝管生产的成品率，是今后无缝钛管材生产的发展方向。</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钛及钛合金无缝管材生产大致分为两部分，即管坯制备和成品管材生产。管坯制备方法主要为挤压和斜轧穿孔。成品管材生产以冷轧管为主。其工艺技术特点分析如下：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①管坯制备方法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挤压法为传统的管坯制备方法。金属在挤压变形区中处于强烈的三向压应力状态，可充分发挥其塑性，有利于塑性差的金属变形；变形量大，可获得晶粒细致、塑性好、尺寸精度高、壁厚较薄的管坯，有利于后续冷加工，减少轧制道次；生产灵活性大，适合于钛及钛合金管的生产，可保证高质量钛管的供坯需要。但挤压法一般采用紫铜包套的空心锭，锭坯制作工序长；挤压法的投资大、金属及工模具消耗较大，成品率较低，生产成本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斜轧穿孔法采用实心光锭，只需对锻造棒坯车定心孔，便可进行加热及斜轧穿孔。较挤压法生产周期短、生产效率高、成品率高，设备投资费用低。斜轧穿孔法的金属及工模具消耗低，对润滑要求不高，采用玻璃润滑剂及利用穿孔钼顶头的自身润滑作用，生产成本较低。但难以生产钛合金管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本项目无缝钛管材生产规模较大，产品包含钛及钛合金管，因此拟同时采用挤压法和斜轧穿孔两种方法制备管坯。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②成品管材生产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成品管材生产有轧制法和拉伸法。钛管材一般采用冷轧管方式生产。轧管过程中管材处于较强的压应力状态，有利于金属的塑性变形，因而能生产高强度、低塑性的金属管材。轧管法较拉伸法的道次加工率大，减少了加工道次及退火、酸洗等辅助工序，提高了成品率和生产效率。轧管机的纠正壁厚偏差能力强，轧后管材的壁厚偏差可降低50%以上。</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退火多采用真空退火工艺。真空退火时炉料不受大气污染，退火制品表面质量好，但真空退火前制品要进行除油处理，退火周期长，真空退火炉设备费较高，生产成本较高。采用控制炉内气氛的非真空退火，操作简单、生产效率高、生产成本低，但退火后制品需进行酸洗，制品表面质量较差。目前某些生产厂家为降低生产成本，采用非真空中间退火与成品真空退火相结合的工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综上所述，根据本项目拟定的产品方案，本项目无缝钛管材生产拟采用挤压（或斜轧穿孔法）、冷轧管、真空退火生产工艺。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主要生产设备包括：挤压机、斜轧穿孔机、轧管机、退火炉等。目前国内外钛管挤压采用油压挤压机或水压挤压机，油压挤压机可精确控制挤压速度，设备运行平稳、操作灵活、占地面积小。水压挤压机需建造高压水泵站，设备占地面积大，能耗高。挤压机有正向挤压机和反向挤压机之分，正向挤压机因其设备结构简单、价格便宜、操作简便，在钛及钛铜合金管棒材加工中得到广泛应用。反向挤压机挤压时由于锭坯表面与挤压筒壁无相对运动，挤压能耗低，因此在同样挤压条件下所需的挤压力比正向挤压低30-40%，反向挤压较正向挤压变形均匀、制品尺寸精度高，反向挤压机主要应用于棒材生产。由于反向挤压机结构复杂，可挤压制品范围较小。本项目主要生产无缝钛管材，因此拟选用1台31.5MN正向油压挤压机供坯。国产油压挤压机的总体技术水平接近国际先进水平，完全可以满足生产的需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斜轧穿孔机分为盘式、菌式和辊式三种，管坯在此三种斜轧穿孔机中穿孔变形时，其变形区形状相同，变形过程的特点也基本相同，但由于盘式和菌式穿孔机受结构条件的限制，轧辊悬臂安装，轧机强度小，不能穿大直径薄壁管，齿轮传动部分磨损快，修理频繁，生产效率低，辊子变形区短，单位变形区长度上应力较大，穿孔过程中金属内部产生极大的应力，易使管坯质量变坏。由于前进角固定生产品种受限制，所以这两种穿孔机已较少使用，目前使用的斜轧穿孔机以辊式穿孔机为</w:t>
      </w:r>
      <w:r w:rsidRPr="00677D1F">
        <w:rPr>
          <w:rFonts w:asciiTheme="minorEastAsia" w:hAnsiTheme="minorEastAsia" w:cs="宋体" w:hint="eastAsia"/>
          <w:color w:val="000000"/>
          <w:kern w:val="0"/>
          <w:sz w:val="24"/>
          <w:szCs w:val="24"/>
        </w:rPr>
        <w:lastRenderedPageBreak/>
        <w:t>主，国内斜轧穿孔机生产技术已很成熟，完全可以满足生产的需要，因此斜轧穿孔机拟选用辊式穿孔机。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冷轧管机是钛管材冷加工的主要设备，多采用二辊或多辊周期式冷轧管机。二辊周期式冷轧管机具有减径减壁量大、产量高等优点，主要用于粗轧。多辊冷轧管机轧出的管材尺寸精确、内外表面光洁，但生产能力不如二辊周期式冷轧管机高，常用于管材的精轧。国外先进的冷轧管机具有高速、多线的特点，以曲柄驱动的旋转重量补偿装置，取代垂直平衡重量补偿装置，免去复杂的土建施工。机架往复次数最高可达160次/每分钟，生产效率很高。目前国产轧管机的水平有较大提高，二辊冷轧管机除工作机架往复次数不及国外设备外（一般为80次/每分钟），其他功能均不低于国外先进设备。采用环形孔型轧辊轧制；在工作机架一次往复行程中，对管坯进行两次送进、两次回转，使管坯的变形更加均匀，并可实现连续上料连续轧制；回转送进机构由简单可靠的电气传动完成，管坯送进量准确、稳定和回转角度任意可调，简化了机械传动的调整和维护，减少了使用和维护成本。国产轧管机具有较高的性价比，因此本项目拟采用国产二辊和多辊冷轧管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真空退火炉是钛管材退火的主要设备。真空退火炉分为内热式和外热式两种，内热式退火炉优点是加热直接，热效率高，可大大缩短退火时间，生产效率高，但炉子结构复杂。外热式退火炉真空系统小，真空度高，炉子结构相对简单，但热效率低。因此本项目拟采用国产内热式真空退火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（6）残钛回收</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目前，国内外残钛的回收工艺均是根据残料的形状确定的。残钛回收车间根据残钛料形状的不同，采用不同的处理工艺来处理。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首先通过光谱分析，将不同的残钛根据合金类别进行分类；然后根据残料的形状、尺寸不同，采用不同的处理回收方法。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铸锭及锻造切头等采用砂轮打磨、喷丸、清洗烘干后回收使用。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边角残料在剪切机或锯床上剪成合适的尺寸，然后清洗、干燥后回收使用。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屑状残钛则是先在破碎机组上进行粗破碎、细破碎、清洗烘干、筛选、磁选后回收使用。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本项目残钛回收生产工艺具有以下特点：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①残屑料采用残屑回收处理生产线回收处理，整个生产过程全部采用自动化，回收率高，工人劳动强度小，可节约大量的人力、物力，提高经济效益。</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②根据残料的不同形状来采取不同的回收工艺，生产目的明确，回收率高。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车间选择的主要生产设备是1条残屑回收处理生产线、4台剪板机、10台喷丸机、8台打磨机、2台圆盘锯、2台剪断机、3台压力机、1台手持光谱仪、4套清洗机组、4台烘干机等。残屑回收处理生产线是处理屑状残料的自动化设备。国产的残屑回收处理生产线在处理能力、自动化控制、处理精度等方面都与国外的设备存在着相当大的差距，因此，本设计选用的残屑回收处理生产线从国外引进。其它设备选择国内知名厂家设备。</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10.2.3.2</w:t>
      </w:r>
      <w:r w:rsidRPr="00677D1F">
        <w:rPr>
          <w:rFonts w:asciiTheme="minorEastAsia" w:hAnsiTheme="minorEastAsia" w:cs="Times New Roman" w:hint="eastAsia"/>
          <w:b/>
          <w:bCs/>
          <w:color w:val="000000"/>
          <w:kern w:val="0"/>
          <w:sz w:val="24"/>
          <w:szCs w:val="24"/>
        </w:rPr>
        <w:t>资源利用分析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能耗消耗指标分析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①各工段的主要能耗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本项目钛加工主要生产设施和辅助与公用设施所用能源及工质为电、水、天然气、压缩空气、氩气、蒸汽等。各工段的主要能耗分别见表</w:t>
      </w:r>
      <w:r w:rsidRPr="00677D1F">
        <w:rPr>
          <w:rFonts w:asciiTheme="minorEastAsia" w:hAnsiTheme="minorEastAsia" w:cs="宋体"/>
          <w:color w:val="000000"/>
          <w:kern w:val="0"/>
          <w:sz w:val="24"/>
          <w:szCs w:val="24"/>
        </w:rPr>
        <w:t>10.2-16</w:t>
      </w:r>
      <w:r w:rsidRPr="00677D1F">
        <w:rPr>
          <w:rFonts w:asciiTheme="minorEastAsia" w:hAnsiTheme="minorEastAsia" w:cs="宋体" w:hint="eastAsia"/>
          <w:color w:val="000000"/>
          <w:kern w:val="0"/>
          <w:sz w:val="24"/>
          <w:szCs w:val="24"/>
        </w:rPr>
        <w:t>至</w:t>
      </w:r>
      <w:r w:rsidRPr="00677D1F">
        <w:rPr>
          <w:rFonts w:asciiTheme="minorEastAsia" w:hAnsiTheme="minorEastAsia" w:cs="宋体"/>
          <w:color w:val="000000"/>
          <w:kern w:val="0"/>
          <w:sz w:val="24"/>
          <w:szCs w:val="24"/>
        </w:rPr>
        <w:t>10.2-21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表10.2-16熔铸车间主要能耗表</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表10.2-17锻造车间主要能耗表</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表10.2-18板带车间主要能耗表</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表10.2-19焊管车间主要能耗表</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表10.2-20无缝管车间主要能耗表</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表10.2-21残钛回收车间主要能耗表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②综合能耗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本项目钛加工单位产品工艺综合能耗为</w:t>
      </w:r>
      <w:r w:rsidRPr="00677D1F">
        <w:rPr>
          <w:rFonts w:asciiTheme="minorEastAsia" w:hAnsiTheme="minorEastAsia" w:cs="宋体"/>
          <w:color w:val="000000"/>
          <w:kern w:val="0"/>
          <w:sz w:val="24"/>
          <w:szCs w:val="24"/>
        </w:rPr>
        <w:t>1305.12kgce/t-</w:t>
      </w:r>
      <w:r w:rsidRPr="00677D1F">
        <w:rPr>
          <w:rFonts w:asciiTheme="minorEastAsia" w:hAnsiTheme="minorEastAsia" w:cs="宋体" w:hint="eastAsia"/>
          <w:color w:val="000000"/>
          <w:kern w:val="0"/>
          <w:sz w:val="24"/>
          <w:szCs w:val="24"/>
        </w:rPr>
        <w:t>产品，工艺综合能耗见表</w:t>
      </w:r>
      <w:r w:rsidRPr="00677D1F">
        <w:rPr>
          <w:rFonts w:asciiTheme="minorEastAsia" w:hAnsiTheme="minorEastAsia" w:cs="宋体"/>
          <w:color w:val="000000"/>
          <w:kern w:val="0"/>
          <w:sz w:val="24"/>
          <w:szCs w:val="24"/>
        </w:rPr>
        <w:t>10.2-22</w:t>
      </w:r>
      <w:r w:rsidRPr="00677D1F">
        <w:rPr>
          <w:rFonts w:asciiTheme="minorEastAsia" w:hAnsiTheme="minorEastAsia" w:cs="宋体" w:hint="eastAsia"/>
          <w:color w:val="000000"/>
          <w:kern w:val="0"/>
          <w:sz w:val="24"/>
          <w:szCs w:val="24"/>
        </w:rPr>
        <w:t>。</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表10.2-22钛加工材单位产品工艺综合能耗表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通过采取一系列的节能措施，项目钛加工单位产品工艺综合能耗为</w:t>
      </w:r>
      <w:r w:rsidRPr="00677D1F">
        <w:rPr>
          <w:rFonts w:asciiTheme="minorEastAsia" w:hAnsiTheme="minorEastAsia" w:cs="宋体"/>
          <w:color w:val="000000"/>
          <w:kern w:val="0"/>
          <w:sz w:val="24"/>
          <w:szCs w:val="24"/>
        </w:rPr>
        <w:t>1305kgce/t-</w:t>
      </w:r>
      <w:r w:rsidRPr="00677D1F">
        <w:rPr>
          <w:rFonts w:asciiTheme="minorEastAsia" w:hAnsiTheme="minorEastAsia" w:cs="宋体" w:hint="eastAsia"/>
          <w:color w:val="000000"/>
          <w:kern w:val="0"/>
          <w:sz w:val="24"/>
          <w:szCs w:val="24"/>
        </w:rPr>
        <w:t>产品，节能效果显著，满足节能设计要求。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主要工艺节能措施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①熔铸车间节能措施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A</w:t>
      </w:r>
      <w:r w:rsidRPr="00677D1F">
        <w:rPr>
          <w:rFonts w:asciiTheme="minorEastAsia" w:hAnsiTheme="minorEastAsia" w:cs="宋体" w:hint="eastAsia"/>
          <w:color w:val="000000"/>
          <w:kern w:val="0"/>
          <w:sz w:val="24"/>
          <w:szCs w:val="24"/>
        </w:rPr>
        <w:t>、本项目采用先进生产工艺和设备，以求最大限度节约能源；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、本项目设备采用循环水，可节约大量新水；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D</w:t>
      </w:r>
      <w:r w:rsidRPr="00677D1F">
        <w:rPr>
          <w:rFonts w:asciiTheme="minorEastAsia" w:hAnsiTheme="minorEastAsia" w:cs="宋体" w:hint="eastAsia"/>
          <w:color w:val="000000"/>
          <w:kern w:val="0"/>
          <w:sz w:val="24"/>
          <w:szCs w:val="24"/>
        </w:rPr>
        <w:t>、采用大容量真空自耗电弧熔炼铸造，铸锭单重大，成品率高；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E</w:t>
      </w:r>
      <w:r w:rsidRPr="00677D1F">
        <w:rPr>
          <w:rFonts w:asciiTheme="minorEastAsia" w:hAnsiTheme="minorEastAsia" w:cs="宋体" w:hint="eastAsia"/>
          <w:color w:val="000000"/>
          <w:kern w:val="0"/>
          <w:sz w:val="24"/>
          <w:szCs w:val="24"/>
        </w:rPr>
        <w:t>、采用冷床炉熔炼技术，仅用一次熔炼即可生产大型、无偏析、无夹杂的优质钛扁锭，可直接轧制板，简化了板材的后续加工，缩短了工艺流程，降低了生产成本；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F</w:t>
      </w:r>
      <w:r w:rsidRPr="00677D1F">
        <w:rPr>
          <w:rFonts w:asciiTheme="minorEastAsia" w:hAnsiTheme="minorEastAsia" w:cs="宋体" w:hint="eastAsia"/>
          <w:color w:val="000000"/>
          <w:kern w:val="0"/>
          <w:sz w:val="24"/>
          <w:szCs w:val="24"/>
        </w:rPr>
        <w:t>、采用等离子束冷床炉熔炼，炼炉蒸发损失小，可节约大量的材料成本；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G</w:t>
      </w:r>
      <w:r w:rsidRPr="00677D1F">
        <w:rPr>
          <w:rFonts w:asciiTheme="minorEastAsia" w:hAnsiTheme="minorEastAsia" w:cs="宋体" w:hint="eastAsia"/>
          <w:color w:val="000000"/>
          <w:kern w:val="0"/>
          <w:sz w:val="24"/>
          <w:szCs w:val="24"/>
        </w:rPr>
        <w:t>、等离子束冷床炉采用氦气作为保护气体，熔化效率高，并设用氦气回收系统，减少了氦气消耗，降低了生产成本；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H</w:t>
      </w:r>
      <w:r w:rsidRPr="00677D1F">
        <w:rPr>
          <w:rFonts w:asciiTheme="minorEastAsia" w:hAnsiTheme="minorEastAsia" w:cs="宋体" w:hint="eastAsia"/>
          <w:color w:val="000000"/>
          <w:kern w:val="0"/>
          <w:sz w:val="24"/>
          <w:szCs w:val="24"/>
        </w:rPr>
        <w:t>、电子束冷床炉熔炼和等离子束冷床炉熔炼技术都可以大量</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吃废料</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，降低了生产成本</w:t>
      </w:r>
      <w:r w:rsidRPr="00677D1F">
        <w:rPr>
          <w:rFonts w:asciiTheme="minorEastAsia" w:hAnsiTheme="minorEastAsia" w:cs="宋体"/>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I</w:t>
      </w:r>
      <w:r w:rsidRPr="00677D1F">
        <w:rPr>
          <w:rFonts w:asciiTheme="minorEastAsia" w:hAnsiTheme="minorEastAsia" w:cs="宋体" w:hint="eastAsia"/>
          <w:color w:val="000000"/>
          <w:kern w:val="0"/>
          <w:sz w:val="24"/>
          <w:szCs w:val="24"/>
        </w:rPr>
        <w:t>、产生的废料经处理后重复使用，降低了成本。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②锻造车间节能措施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、采用快锻工艺，可显著提高产品精度和成品率，减少了机加工量，减少了金属损失，降低了能耗；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、燃气加热炉采用了蓄热式烧嘴，显著提高加热炉热效率，减少了燃料用量；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、采用无轨装出料机夹持并运输铸锭，提高了运输速度，减少了热损失，降低了能耗。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③板带车间节能措施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、设备电机普遍采用变频调速，降低能耗；</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、加热炉采用助燃空气预热装置，热效率高；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、成品退火采用真空退火炉，退火温度均匀、金属烧损少、成品率高、退火后材料表面质量光洁可以免去酸洗以保护环境。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④残钛回收车间节能措施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A</w:t>
      </w:r>
      <w:r w:rsidRPr="00677D1F">
        <w:rPr>
          <w:rFonts w:asciiTheme="minorEastAsia" w:hAnsiTheme="minorEastAsia" w:cs="宋体" w:hint="eastAsia"/>
          <w:color w:val="000000"/>
          <w:kern w:val="0"/>
          <w:sz w:val="24"/>
          <w:szCs w:val="24"/>
        </w:rPr>
        <w:t>、本项目采用先进生产工艺和设备，以求最大限度节约能源；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B</w:t>
      </w:r>
      <w:r w:rsidRPr="00677D1F">
        <w:rPr>
          <w:rFonts w:asciiTheme="minorEastAsia" w:hAnsiTheme="minorEastAsia" w:cs="宋体" w:hint="eastAsia"/>
          <w:color w:val="000000"/>
          <w:kern w:val="0"/>
          <w:sz w:val="24"/>
          <w:szCs w:val="24"/>
        </w:rPr>
        <w:t>、本项目设备采用浊循环系统，可节约大量新水；</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C</w:t>
      </w:r>
      <w:r w:rsidRPr="00677D1F">
        <w:rPr>
          <w:rFonts w:asciiTheme="minorEastAsia" w:hAnsiTheme="minorEastAsia" w:cs="宋体" w:hint="eastAsia"/>
          <w:color w:val="000000"/>
          <w:kern w:val="0"/>
          <w:sz w:val="24"/>
          <w:szCs w:val="24"/>
        </w:rPr>
        <w:t>、采用残屑回收处理生产线，生产效率高，自动化程度高，可降低工人劳动强度和人工成本；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E</w:t>
      </w:r>
      <w:r w:rsidRPr="00677D1F">
        <w:rPr>
          <w:rFonts w:asciiTheme="minorEastAsia" w:hAnsiTheme="minorEastAsia" w:cs="宋体" w:hint="eastAsia"/>
          <w:color w:val="000000"/>
          <w:kern w:val="0"/>
          <w:sz w:val="24"/>
          <w:szCs w:val="24"/>
        </w:rPr>
        <w:t>、对残料进行了回收处理，使残料可以回收利用，降低了生产成本。</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（3）</w:t>
      </w:r>
      <w:r w:rsidRPr="00677D1F">
        <w:rPr>
          <w:rFonts w:asciiTheme="minorEastAsia" w:hAnsiTheme="minorEastAsia" w:cs="宋体" w:hint="eastAsia"/>
          <w:color w:val="000000"/>
          <w:kern w:val="0"/>
          <w:sz w:val="24"/>
          <w:szCs w:val="24"/>
        </w:rPr>
        <w:t>《铁合金行业准入条件（</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年修订）》能源消耗、资源消耗指标对比</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根据前面的生产技术及资源利用分析，本项目能源消耗达到了《铁合金行业准入条件（</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年修订）》的相关规定：其他特种铁合金能耗指标达国内先进水平；本项目资源消耗达到了《铁合金行业准入条件（</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年修订）》的相关规定：其他特种铁合金资源消耗达到国内先进水平；水循环利用率</w:t>
      </w:r>
      <w:r w:rsidRPr="00677D1F">
        <w:rPr>
          <w:rFonts w:asciiTheme="minorEastAsia" w:hAnsiTheme="minorEastAsia" w:cs="宋体"/>
          <w:color w:val="000000"/>
          <w:kern w:val="0"/>
          <w:sz w:val="24"/>
          <w:szCs w:val="24"/>
        </w:rPr>
        <w:t>95%</w:t>
      </w:r>
      <w:r w:rsidRPr="00677D1F">
        <w:rPr>
          <w:rFonts w:asciiTheme="minorEastAsia" w:hAnsiTheme="minorEastAsia" w:cs="宋体" w:hint="eastAsia"/>
          <w:color w:val="000000"/>
          <w:kern w:val="0"/>
          <w:sz w:val="24"/>
          <w:szCs w:val="24"/>
        </w:rPr>
        <w:t>以上。</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节水分析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按不同温度要求，实施循环水利用，节省工业用水；生产设备直接冷却水循环利用，排水降级使用，从而达到节约用水的目的。经计算，钛合金生产用水重复利用率为</w:t>
      </w:r>
      <w:r w:rsidRPr="00677D1F">
        <w:rPr>
          <w:rFonts w:asciiTheme="minorEastAsia" w:hAnsiTheme="minorEastAsia" w:cs="宋体"/>
          <w:color w:val="000000"/>
          <w:kern w:val="0"/>
          <w:sz w:val="24"/>
          <w:szCs w:val="24"/>
        </w:rPr>
        <w:t>96%</w:t>
      </w:r>
      <w:r w:rsidRPr="00677D1F">
        <w:rPr>
          <w:rFonts w:asciiTheme="minorEastAsia" w:hAnsiTheme="minorEastAsia" w:cs="宋体" w:hint="eastAsia"/>
          <w:color w:val="000000"/>
          <w:kern w:val="0"/>
          <w:sz w:val="24"/>
          <w:szCs w:val="24"/>
        </w:rPr>
        <w:t>，超过了建设部、国家经贸委、国家计委《节水型城市目标导则》考核指标—工业用水重复利用率≥</w:t>
      </w:r>
      <w:r w:rsidRPr="00677D1F">
        <w:rPr>
          <w:rFonts w:asciiTheme="minorEastAsia" w:hAnsiTheme="minorEastAsia" w:cs="宋体"/>
          <w:color w:val="000000"/>
          <w:kern w:val="0"/>
          <w:sz w:val="24"/>
          <w:szCs w:val="24"/>
        </w:rPr>
        <w:t>75%</w:t>
      </w:r>
      <w:r w:rsidRPr="00677D1F">
        <w:rPr>
          <w:rFonts w:asciiTheme="minorEastAsia" w:hAnsiTheme="minorEastAsia" w:cs="宋体" w:hint="eastAsia"/>
          <w:color w:val="000000"/>
          <w:kern w:val="0"/>
          <w:sz w:val="24"/>
          <w:szCs w:val="24"/>
        </w:rPr>
        <w:t>的要求，达到了国内较为先进的水平。</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10.2.3.3</w:t>
      </w:r>
      <w:r w:rsidRPr="00677D1F">
        <w:rPr>
          <w:rFonts w:asciiTheme="minorEastAsia" w:hAnsiTheme="minorEastAsia" w:cs="Times New Roman" w:hint="eastAsia"/>
          <w:b/>
          <w:bCs/>
          <w:color w:val="000000"/>
          <w:kern w:val="0"/>
          <w:sz w:val="24"/>
          <w:szCs w:val="24"/>
        </w:rPr>
        <w:t>产品指标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产品为钛无缝钛管</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、热轧板材</w:t>
      </w:r>
      <w:r w:rsidRPr="00677D1F">
        <w:rPr>
          <w:rFonts w:asciiTheme="minorEastAsia" w:hAnsiTheme="minorEastAsia" w:cs="宋体"/>
          <w:color w:val="000000"/>
          <w:kern w:val="0"/>
          <w:sz w:val="24"/>
          <w:szCs w:val="24"/>
        </w:rPr>
        <w:t>1000t</w:t>
      </w:r>
      <w:r w:rsidRPr="00677D1F">
        <w:rPr>
          <w:rFonts w:asciiTheme="minorEastAsia" w:hAnsiTheme="minorEastAsia" w:cs="宋体" w:hint="eastAsia"/>
          <w:color w:val="000000"/>
          <w:kern w:val="0"/>
          <w:sz w:val="24"/>
          <w:szCs w:val="24"/>
        </w:rPr>
        <w:t>、冷轧板材</w:t>
      </w:r>
      <w:r w:rsidRPr="00677D1F">
        <w:rPr>
          <w:rFonts w:asciiTheme="minorEastAsia" w:hAnsiTheme="minorEastAsia" w:cs="宋体"/>
          <w:color w:val="000000"/>
          <w:kern w:val="0"/>
          <w:sz w:val="24"/>
          <w:szCs w:val="24"/>
        </w:rPr>
        <w:t>8250t</w:t>
      </w:r>
      <w:r w:rsidRPr="00677D1F">
        <w:rPr>
          <w:rFonts w:asciiTheme="minorEastAsia" w:hAnsiTheme="minorEastAsia" w:cs="宋体" w:hint="eastAsia"/>
          <w:color w:val="000000"/>
          <w:kern w:val="0"/>
          <w:sz w:val="24"/>
          <w:szCs w:val="24"/>
        </w:rPr>
        <w:t>、钛带材</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、钛焊管</w:t>
      </w:r>
      <w:r w:rsidRPr="00677D1F">
        <w:rPr>
          <w:rFonts w:asciiTheme="minorEastAsia" w:hAnsiTheme="minorEastAsia" w:cs="宋体"/>
          <w:color w:val="000000"/>
          <w:kern w:val="0"/>
          <w:sz w:val="24"/>
          <w:szCs w:val="24"/>
        </w:rPr>
        <w:t>3000t</w:t>
      </w:r>
      <w:r w:rsidRPr="00677D1F">
        <w:rPr>
          <w:rFonts w:asciiTheme="minorEastAsia" w:hAnsiTheme="minorEastAsia" w:cs="宋体" w:hint="eastAsia"/>
          <w:color w:val="000000"/>
          <w:kern w:val="0"/>
          <w:sz w:val="24"/>
          <w:szCs w:val="24"/>
        </w:rPr>
        <w:t>、外卖残钛废料</w:t>
      </w:r>
      <w:r w:rsidRPr="00677D1F">
        <w:rPr>
          <w:rFonts w:asciiTheme="minorEastAsia" w:hAnsiTheme="minorEastAsia" w:cs="宋体"/>
          <w:color w:val="000000"/>
          <w:kern w:val="0"/>
          <w:sz w:val="24"/>
          <w:szCs w:val="24"/>
        </w:rPr>
        <w:t>1610t</w:t>
      </w:r>
      <w:r w:rsidRPr="00677D1F">
        <w:rPr>
          <w:rFonts w:asciiTheme="minorEastAsia" w:hAnsiTheme="minorEastAsia" w:cs="宋体" w:hint="eastAsia"/>
          <w:color w:val="000000"/>
          <w:kern w:val="0"/>
          <w:sz w:val="24"/>
          <w:szCs w:val="24"/>
        </w:rPr>
        <w:t>和钛屑</w:t>
      </w:r>
      <w:r w:rsidRPr="00677D1F">
        <w:rPr>
          <w:rFonts w:asciiTheme="minorEastAsia" w:hAnsiTheme="minorEastAsia" w:cs="宋体"/>
          <w:color w:val="000000"/>
          <w:kern w:val="0"/>
          <w:sz w:val="24"/>
          <w:szCs w:val="24"/>
        </w:rPr>
        <w:t>6t</w:t>
      </w:r>
      <w:r w:rsidRPr="00677D1F">
        <w:rPr>
          <w:rFonts w:asciiTheme="minorEastAsia" w:hAnsiTheme="minorEastAsia" w:cs="宋体" w:hint="eastAsia"/>
          <w:color w:val="000000"/>
          <w:kern w:val="0"/>
          <w:sz w:val="24"/>
          <w:szCs w:val="24"/>
        </w:rPr>
        <w:t>。各产品指标见表</w:t>
      </w:r>
      <w:r w:rsidRPr="00677D1F">
        <w:rPr>
          <w:rFonts w:asciiTheme="minorEastAsia" w:hAnsiTheme="minorEastAsia" w:cs="宋体"/>
          <w:color w:val="000000"/>
          <w:kern w:val="0"/>
          <w:sz w:val="24"/>
          <w:szCs w:val="24"/>
        </w:rPr>
        <w:t>10.2-23</w:t>
      </w:r>
      <w:r w:rsidRPr="00677D1F">
        <w:rPr>
          <w:rFonts w:asciiTheme="minorEastAsia" w:hAnsiTheme="minorEastAsia" w:cs="宋体" w:hint="eastAsia"/>
          <w:color w:val="000000"/>
          <w:kern w:val="0"/>
          <w:sz w:val="24"/>
          <w:szCs w:val="24"/>
        </w:rPr>
        <w:t>至</w:t>
      </w:r>
      <w:r w:rsidRPr="00677D1F">
        <w:rPr>
          <w:rFonts w:asciiTheme="minorEastAsia" w:hAnsiTheme="minorEastAsia" w:cs="宋体"/>
          <w:color w:val="000000"/>
          <w:kern w:val="0"/>
          <w:sz w:val="24"/>
          <w:szCs w:val="24"/>
        </w:rPr>
        <w:t>10.2-28</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表10.2-23钛及钛合金牌号和化学成分表（GB/T3620.1-2007）</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表10.2-24锻造车间生产产品表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表10.2-25板带车间生产产品表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表10.2-26焊管生产产品表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表10.2-27无缝管生产产品表</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表10.2-28残钛生产任务表</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10.2.3.4</w:t>
      </w:r>
      <w:r w:rsidRPr="00677D1F">
        <w:rPr>
          <w:rFonts w:asciiTheme="minorEastAsia" w:hAnsiTheme="minorEastAsia" w:cs="Times New Roman" w:hint="eastAsia"/>
          <w:b/>
          <w:bCs/>
          <w:color w:val="000000"/>
          <w:kern w:val="0"/>
          <w:sz w:val="24"/>
          <w:szCs w:val="24"/>
        </w:rPr>
        <w:t>污染物产生指标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根据工程分析，钛材加工生产的污染物产生量较少。</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10.2.3.5</w:t>
      </w:r>
      <w:r w:rsidRPr="00677D1F">
        <w:rPr>
          <w:rFonts w:asciiTheme="minorEastAsia" w:hAnsiTheme="minorEastAsia" w:cs="Times New Roman" w:hint="eastAsia"/>
          <w:b/>
          <w:bCs/>
          <w:color w:val="000000"/>
          <w:kern w:val="0"/>
          <w:sz w:val="24"/>
          <w:szCs w:val="24"/>
        </w:rPr>
        <w:t>与《清洁生产标准</w:t>
      </w:r>
      <w:r w:rsidRPr="00677D1F">
        <w:rPr>
          <w:rFonts w:asciiTheme="minorEastAsia" w:hAnsiTheme="minorEastAsia" w:cs="Times New Roman"/>
          <w:b/>
          <w:bCs/>
          <w:color w:val="000000"/>
          <w:kern w:val="0"/>
          <w:sz w:val="24"/>
          <w:szCs w:val="24"/>
        </w:rPr>
        <w:t>-</w:t>
      </w:r>
      <w:r w:rsidRPr="00677D1F">
        <w:rPr>
          <w:rFonts w:asciiTheme="minorEastAsia" w:hAnsiTheme="minorEastAsia" w:cs="Times New Roman" w:hint="eastAsia"/>
          <w:b/>
          <w:bCs/>
          <w:color w:val="000000"/>
          <w:kern w:val="0"/>
          <w:sz w:val="24"/>
          <w:szCs w:val="24"/>
        </w:rPr>
        <w:t>钢铁行业（铁合金）》（</w:t>
      </w:r>
      <w:r w:rsidRPr="00677D1F">
        <w:rPr>
          <w:rFonts w:asciiTheme="minorEastAsia" w:hAnsiTheme="minorEastAsia" w:cs="Times New Roman"/>
          <w:b/>
          <w:bCs/>
          <w:color w:val="000000"/>
          <w:kern w:val="0"/>
          <w:sz w:val="24"/>
          <w:szCs w:val="24"/>
        </w:rPr>
        <w:t>HJ470-2009</w:t>
      </w:r>
      <w:r w:rsidRPr="00677D1F">
        <w:rPr>
          <w:rFonts w:asciiTheme="minorEastAsia" w:hAnsiTheme="minorEastAsia" w:cs="Times New Roman" w:hint="eastAsia"/>
          <w:b/>
          <w:bCs/>
          <w:color w:val="000000"/>
          <w:kern w:val="0"/>
          <w:sz w:val="24"/>
          <w:szCs w:val="24"/>
        </w:rPr>
        <w:t>）清洁生产指标分析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本项目参考《清洁生产标准</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钢铁行业（铁合金）》（</w:t>
      </w:r>
      <w:r w:rsidRPr="00677D1F">
        <w:rPr>
          <w:rFonts w:asciiTheme="minorEastAsia" w:hAnsiTheme="minorEastAsia" w:cs="宋体"/>
          <w:color w:val="000000"/>
          <w:kern w:val="0"/>
          <w:sz w:val="24"/>
          <w:szCs w:val="24"/>
        </w:rPr>
        <w:t>HJ470-2009</w:t>
      </w:r>
      <w:r w:rsidRPr="00677D1F">
        <w:rPr>
          <w:rFonts w:asciiTheme="minorEastAsia" w:hAnsiTheme="minorEastAsia" w:cs="宋体" w:hint="eastAsia"/>
          <w:color w:val="000000"/>
          <w:kern w:val="0"/>
          <w:sz w:val="24"/>
          <w:szCs w:val="24"/>
        </w:rPr>
        <w:t>）中提出的</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项清洁生产指标对比进行清洁生产评述，通过对各个指标体系清洁生产先进性的分</w:t>
      </w:r>
      <w:r w:rsidRPr="00677D1F">
        <w:rPr>
          <w:rFonts w:asciiTheme="minorEastAsia" w:hAnsiTheme="minorEastAsia" w:cs="宋体" w:hint="eastAsia"/>
          <w:color w:val="000000"/>
          <w:kern w:val="0"/>
          <w:sz w:val="24"/>
          <w:szCs w:val="24"/>
        </w:rPr>
        <w:lastRenderedPageBreak/>
        <w:t>析，论证本项目清洁生产水平，前三项清洁生产指标见表</w:t>
      </w:r>
      <w:r w:rsidRPr="00677D1F">
        <w:rPr>
          <w:rFonts w:asciiTheme="minorEastAsia" w:hAnsiTheme="minorEastAsia" w:cs="宋体"/>
          <w:color w:val="000000"/>
          <w:kern w:val="0"/>
          <w:sz w:val="24"/>
          <w:szCs w:val="24"/>
        </w:rPr>
        <w:t>11.2-29</w:t>
      </w:r>
      <w:r w:rsidRPr="00677D1F">
        <w:rPr>
          <w:rFonts w:asciiTheme="minorEastAsia" w:hAnsiTheme="minorEastAsia" w:cs="宋体" w:hint="eastAsia"/>
          <w:color w:val="000000"/>
          <w:kern w:val="0"/>
          <w:sz w:val="24"/>
          <w:szCs w:val="24"/>
        </w:rPr>
        <w:t>，环境管理要求见表</w:t>
      </w:r>
      <w:r w:rsidRPr="00677D1F">
        <w:rPr>
          <w:rFonts w:asciiTheme="minorEastAsia" w:hAnsiTheme="minorEastAsia" w:cs="宋体"/>
          <w:color w:val="000000"/>
          <w:kern w:val="0"/>
          <w:sz w:val="24"/>
          <w:szCs w:val="24"/>
        </w:rPr>
        <w:t>10.2-30</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w:t>
      </w:r>
      <w:r w:rsidRPr="00677D1F">
        <w:rPr>
          <w:rFonts w:ascii="黑体" w:eastAsia="黑体" w:hAnsi="黑体" w:cs="宋体"/>
          <w:b/>
          <w:color w:val="000000"/>
          <w:kern w:val="0"/>
          <w:szCs w:val="21"/>
        </w:rPr>
        <w:t>10.2-29</w:t>
      </w:r>
      <w:r w:rsidRPr="00677D1F">
        <w:rPr>
          <w:rFonts w:ascii="黑体" w:eastAsia="黑体" w:hAnsi="黑体" w:cs="宋体" w:hint="eastAsia"/>
          <w:b/>
          <w:color w:val="000000"/>
          <w:kern w:val="0"/>
          <w:szCs w:val="21"/>
        </w:rPr>
        <w:t>项目清洁生产指标</w:t>
      </w:r>
    </w:p>
    <w:p w:rsidR="00D228BE" w:rsidRPr="00677D1F" w:rsidRDefault="00332EB6" w:rsidP="00677D1F">
      <w:pPr>
        <w:widowControl/>
        <w:contextualSpacing/>
        <w:rPr>
          <w:rFonts w:ascii="宋体" w:eastAsia="宋体" w:hAnsi="宋体" w:cs="宋体"/>
          <w:kern w:val="0"/>
          <w:sz w:val="24"/>
          <w:szCs w:val="24"/>
        </w:rPr>
      </w:pPr>
      <w:r w:rsidRPr="00677D1F">
        <w:rPr>
          <w:rFonts w:ascii="宋体" w:eastAsia="宋体" w:hAnsi="宋体" w:cs="宋体" w:hint="eastAsia"/>
          <w:color w:val="000000"/>
          <w:kern w:val="0"/>
          <w:sz w:val="26"/>
          <w:szCs w:val="26"/>
        </w:rPr>
        <w:t>项目实施后，应对照表</w:t>
      </w:r>
      <w:r w:rsidRPr="00677D1F">
        <w:rPr>
          <w:rFonts w:ascii="Times New Roman" w:eastAsia="宋体" w:hAnsi="Times New Roman" w:cs="Times New Roman"/>
          <w:color w:val="000000"/>
          <w:kern w:val="0"/>
          <w:sz w:val="26"/>
          <w:szCs w:val="26"/>
        </w:rPr>
        <w:t>10.2-30</w:t>
      </w:r>
      <w:r w:rsidRPr="00677D1F">
        <w:rPr>
          <w:rFonts w:ascii="宋体" w:eastAsia="宋体" w:hAnsi="宋体" w:cs="宋体" w:hint="eastAsia"/>
          <w:color w:val="000000"/>
          <w:kern w:val="0"/>
          <w:sz w:val="26"/>
          <w:szCs w:val="26"/>
        </w:rPr>
        <w:t>中相关要求进行环境管理。</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表10.2-30清洁生产标准（环境管理要求）</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10.2.3.6</w:t>
      </w:r>
      <w:r w:rsidRPr="00677D1F">
        <w:rPr>
          <w:rFonts w:asciiTheme="minorEastAsia" w:hAnsiTheme="minorEastAsia" w:cs="Times New Roman" w:hint="eastAsia"/>
          <w:b/>
          <w:bCs/>
          <w:color w:val="000000"/>
          <w:kern w:val="0"/>
          <w:sz w:val="24"/>
          <w:szCs w:val="24"/>
        </w:rPr>
        <w:t>清洁水平评价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清洁生产分析的结果表明</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钛材加工采用了先进的生产工艺</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使钛加工的生产规模达到国家公认的经济规模</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促进了我国钛加工工业的发展</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具有较好的经济效益和社会效益。项目建设的同时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采取了一系列的环保治理措施</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装置生产管理科学化、自动化程度高</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全部新安装</w:t>
      </w:r>
      <w:r w:rsidRPr="00677D1F">
        <w:rPr>
          <w:rFonts w:asciiTheme="minorEastAsia" w:hAnsiTheme="minorEastAsia" w:cs="宋体"/>
          <w:color w:val="000000"/>
          <w:kern w:val="0"/>
          <w:sz w:val="24"/>
          <w:szCs w:val="24"/>
        </w:rPr>
        <w:t>DIS</w:t>
      </w:r>
      <w:r w:rsidRPr="00677D1F">
        <w:rPr>
          <w:rFonts w:asciiTheme="minorEastAsia" w:hAnsiTheme="minorEastAsia" w:cs="宋体" w:hint="eastAsia"/>
          <w:color w:val="000000"/>
          <w:kern w:val="0"/>
          <w:sz w:val="24"/>
          <w:szCs w:val="24"/>
        </w:rPr>
        <w:t>控制系统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全面控制各操作单元</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使装置高质量平衡地经济运行提供了科学技术保障，并且能耗达到了《钛及钛合金铸锭单位产品能源消耗限额》</w:t>
      </w:r>
      <w:r w:rsidRPr="00677D1F">
        <w:rPr>
          <w:rFonts w:asciiTheme="minorEastAsia" w:hAnsiTheme="minorEastAsia" w:cs="宋体"/>
          <w:color w:val="000000"/>
          <w:kern w:val="0"/>
          <w:sz w:val="24"/>
          <w:szCs w:val="24"/>
        </w:rPr>
        <w:t>（GB29448-2012）</w:t>
      </w:r>
      <w:r w:rsidRPr="00677D1F">
        <w:rPr>
          <w:rFonts w:asciiTheme="minorEastAsia" w:hAnsiTheme="minorEastAsia" w:cs="宋体" w:hint="eastAsia"/>
          <w:color w:val="000000"/>
          <w:kern w:val="0"/>
          <w:sz w:val="24"/>
          <w:szCs w:val="24"/>
        </w:rPr>
        <w:t>的目标值。通过清洁生产全面分析</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总体上反映了生产工艺、技术先进程度、物耗能耗、管理水平处于国内处于先进水平。</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10.2.4</w:t>
      </w:r>
      <w:r w:rsidRPr="00677D1F">
        <w:rPr>
          <w:rFonts w:ascii="宋体" w:hAnsi="宋体" w:hint="eastAsia"/>
          <w:sz w:val="28"/>
          <w:szCs w:val="28"/>
        </w:rPr>
        <w:t xml:space="preserve"> 持续清洁生产要求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加强管理是企业发展的命脉，管理就是效益，任何管理上的松懈均会影响到废弃物的产生。在该项目生产推选清洁生产的核心就是推动该厂建立严格的企业管理和环境管理制度，在产品生产的每个环节最大限度地充分利用能源、资源，使资源、能源的消耗降到最低限度，从而最大限度的减少该项目生产线污染物的产生量。同时结合当地下达的总量控制指标，在确保生产线污染源达标排放的基础上，核定主要污染物总量削减指标。由于清洁生产和生产技术的每个环节相连和密不可分。因此，随着生产技术水平的不断提高，清洁生产也将随之而持续进行。只要该厂认真做到以下几点，污染物的排放就会形成持续不断减少的态势。</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）按照本项目行业的企业清洁生产审核指南要求进行审核；按照</w:t>
      </w:r>
      <w:r w:rsidRPr="00677D1F">
        <w:rPr>
          <w:rFonts w:asciiTheme="minorEastAsia" w:hAnsiTheme="minorEastAsia" w:cs="宋体"/>
          <w:color w:val="000000"/>
          <w:kern w:val="0"/>
          <w:sz w:val="24"/>
          <w:szCs w:val="24"/>
        </w:rPr>
        <w:t>ISO14001</w:t>
      </w:r>
      <w:r w:rsidRPr="00677D1F">
        <w:rPr>
          <w:rFonts w:asciiTheme="minorEastAsia" w:hAnsiTheme="minorEastAsia" w:cs="宋体" w:hint="eastAsia"/>
          <w:color w:val="000000"/>
          <w:kern w:val="0"/>
          <w:sz w:val="24"/>
          <w:szCs w:val="24"/>
        </w:rPr>
        <w:t>建立并运行环境管理体系，建立环境管理手册、程序文件及作业文件齐全。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）建立原材料质检制度和原材料消耗定额管理制度，对能耗及水耗要进行考核；对产品合格率有考核制度，努力达到更高的水平。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）在生产过程中遵守国家和地方的环境法律、法规，定期提供环境保护部门出具的环境行为证明。做到使污染物排放达到国家和地方排放标准，使总量控制指标做到实处。并不断开发预防污染的新技术、新工艺。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）要加强技术革新的改进力度，提高生产率，减少污染物的外排量。制定持续预防污染的计划和方案。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）工程在运行过程中，定期开展全厂水平衡测试，确保生产用水达到或低于设计耗水水平；注重引进行业发展的新工艺、新技术，减污节水，不断提高用水水平。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）按照最严格的环境管理指标要求，提高本项目清洁生产水平。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尾气中所含的氯化氢通过技术工艺回收生成盐酸再生利用；镁精炼排出的精炼渣全部回收，从镁精炼渣中回收金属镁，其它渣运去化肥厂用作生产化肥的原料，同时回收精炼渣采用的也是用废还原罐制作的坩埚。</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10.3</w:t>
      </w:r>
      <w:r w:rsidRPr="00677D1F">
        <w:rPr>
          <w:rFonts w:ascii="宋体" w:hAnsi="宋体" w:hint="eastAsia"/>
          <w:bCs w:val="0"/>
          <w:kern w:val="2"/>
          <w:sz w:val="30"/>
          <w:szCs w:val="30"/>
        </w:rPr>
        <w:t>循环经济分析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10.3.1</w:t>
      </w:r>
      <w:r w:rsidRPr="00677D1F">
        <w:rPr>
          <w:rFonts w:ascii="宋体" w:hAnsi="宋体" w:hint="eastAsia"/>
          <w:sz w:val="28"/>
          <w:szCs w:val="28"/>
        </w:rPr>
        <w:t xml:space="preserve"> 循环经济指导思想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以提高资源生产率和减少废物排放为目标，以技术创新和制度创新为动力，强化节约资源和保护环境意识，加强法制建设，完善政策措施，发挥市场机制作用，促进循环经济发展。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围绕新疆维吾尔自治区</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国民经济和社会发展目标，以可持续发展理念和科学发展观为指导，以减量化、再利用、资源化为原则，构建和完善企业的循环经济产业链，以发展循环经济为契机，将节能降耗、提高效益的理念贯穿于生产、经营和管理的各个环节，采用先进技术，规范企业管理，高效利用资源，降低生产成本，提高经济效益，逐步提升企业的经济实力和市场竞争力，最终实现经济效益、社会效益和生态效益的统一，将发展循环经济作为企业未来发展的一个亮点和支点。</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10.3.2</w:t>
      </w:r>
      <w:r w:rsidRPr="00677D1F">
        <w:rPr>
          <w:rFonts w:ascii="宋体" w:hAnsi="宋体" w:hint="eastAsia"/>
          <w:sz w:val="28"/>
          <w:szCs w:val="28"/>
        </w:rPr>
        <w:t xml:space="preserve"> 总体思路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循环经济是相对于传统的粗放型经济而言的。传统的粗放型经济是单向流动的线性经济，其特征是高开采、低利用、高排放。传统的粗放型经济是以牺牲环境为代价的经济增长方式，在这种经济中人们高强度地把地球上的物质和能源提取出来，然后又把生产、流通、消费过程中产生的废弃物直接排放到水、空气和土壤申，对资源的利用是粗放的和一次性的，通过把资源持续不断地变成为废物来实现经济的增长。这种经济形式的后果是由于大量开采造成资源的枯竭和大量废弃物直接排入自然环境中造成的环境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与此不同，循环经济倡导的是一种与环境和谐的经济发展模式，循环经济要求把经济活动组成一个反馈式流程。在这个反馈式流程中，从生产、流通、消费过程中产生的废弃物一部分经废物利用等技术加工分解形成新的资源返回到经济运行中，另一部分经环境无害化处理后形成无污染或低度污染物质返回自然环境中，由自然环境对其进行净化处理。所有的物质和能源要在这个不断进行的经济循环中得到合理和持久的利用，以把经济活动对自然环境的影响降低到尽可能小的程度，所以称它为闭环流动型经济或循环经济。</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10.3.3</w:t>
      </w:r>
      <w:r w:rsidRPr="00677D1F">
        <w:rPr>
          <w:rFonts w:ascii="宋体" w:hAnsi="宋体" w:hint="eastAsia"/>
          <w:sz w:val="28"/>
          <w:szCs w:val="28"/>
        </w:rPr>
        <w:t xml:space="preserve"> 项目循环经济模式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本项目项目坚持循环经济的发展理念，通过产业循环式组合、资源循环利用和实施清洁生产，建立了在资源优势转换战略基础上的循环经济发展模式。项目的循环经济理念体现在生产装置的方方面面：</w:t>
      </w:r>
    </w:p>
    <w:p w:rsidR="00D228BE" w:rsidRPr="00677D1F" w:rsidRDefault="00332EB6" w:rsidP="00677D1F">
      <w:pPr>
        <w:widowControl/>
        <w:spacing w:line="360" w:lineRule="auto"/>
        <w:contextualSpacing/>
        <w:outlineLvl w:val="3"/>
        <w:rPr>
          <w:rFonts w:asciiTheme="minorEastAsia" w:hAnsiTheme="minorEastAsia" w:cs="宋体"/>
          <w:kern w:val="0"/>
          <w:sz w:val="24"/>
          <w:szCs w:val="24"/>
        </w:rPr>
      </w:pPr>
      <w:r w:rsidRPr="00677D1F">
        <w:rPr>
          <w:rFonts w:asciiTheme="minorEastAsia" w:hAnsiTheme="minorEastAsia" w:cs="Times New Roman"/>
          <w:b/>
          <w:bCs/>
          <w:color w:val="000000"/>
          <w:kern w:val="0"/>
          <w:sz w:val="24"/>
          <w:szCs w:val="24"/>
        </w:rPr>
        <w:t>10.3.3.1</w:t>
      </w:r>
      <w:r w:rsidRPr="00677D1F">
        <w:rPr>
          <w:rFonts w:asciiTheme="minorEastAsia" w:hAnsiTheme="minorEastAsia" w:cs="Times New Roman" w:hint="eastAsia"/>
          <w:b/>
          <w:bCs/>
          <w:color w:val="000000"/>
          <w:kern w:val="0"/>
          <w:sz w:val="24"/>
          <w:szCs w:val="24"/>
        </w:rPr>
        <w:t xml:space="preserve"> </w:t>
      </w:r>
      <w:r w:rsidRPr="00677D1F">
        <w:rPr>
          <w:rFonts w:asciiTheme="minorEastAsia" w:hAnsiTheme="minorEastAsia" w:cs="宋体" w:hint="eastAsia"/>
          <w:b/>
          <w:bCs/>
          <w:color w:val="000000"/>
          <w:kern w:val="0"/>
          <w:sz w:val="24"/>
          <w:szCs w:val="24"/>
        </w:rPr>
        <w:t>酸碱液循环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氯气生产装置开停车及事故状态时的氯气和镁电解生产事故状态时的氯气先在吸收塔内用循环槽来的吸收碱液进行吸收，吸收反应后的尾气再进入尾气塔进一步用碱液吸收，可作氧化剂送污水处理厂综合利用或根据市场需要将吸收液制成</w:t>
      </w:r>
      <w:r w:rsidRPr="00677D1F">
        <w:rPr>
          <w:rFonts w:asciiTheme="minorEastAsia" w:hAnsiTheme="minorEastAsia" w:cs="宋体"/>
          <w:color w:val="000000"/>
          <w:kern w:val="0"/>
          <w:sz w:val="24"/>
          <w:szCs w:val="24"/>
        </w:rPr>
        <w:t>10%NaClO</w:t>
      </w:r>
      <w:r w:rsidRPr="00677D1F">
        <w:rPr>
          <w:rFonts w:asciiTheme="minorEastAsia" w:hAnsiTheme="minorEastAsia" w:cs="宋体" w:hint="eastAsia"/>
          <w:color w:val="000000"/>
          <w:kern w:val="0"/>
          <w:sz w:val="24"/>
          <w:szCs w:val="24"/>
        </w:rPr>
        <w:t>产品，创造价值。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（2）二级水洗后生成低浓度的盐酸装入废盐酸槽后外售或用于钛材加工表面处理用和氯化渣回收炭的处理原料。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镁电解生产中酸分离器产生的废硫酸装入废硫酸槽后外售或用于钛材加工表面处理用。</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lastRenderedPageBreak/>
        <w:t>10.3.3.2</w:t>
      </w:r>
      <w:r w:rsidRPr="00677D1F">
        <w:rPr>
          <w:rFonts w:asciiTheme="minorEastAsia" w:hAnsiTheme="minorEastAsia" w:cs="Times New Roman" w:hint="eastAsia"/>
          <w:b/>
          <w:bCs/>
          <w:color w:val="000000"/>
          <w:kern w:val="0"/>
          <w:sz w:val="24"/>
          <w:szCs w:val="24"/>
        </w:rPr>
        <w:t xml:space="preserve"> 气体循环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电解槽出来的氯气经过氯气支管汇集于氯气输送总管，然后进入袋滤器，除去升华物后由氯压机送至透平机室进行加压后送氯化工段。</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10.3.3.3</w:t>
      </w:r>
      <w:r w:rsidRPr="00677D1F">
        <w:rPr>
          <w:rFonts w:asciiTheme="minorEastAsia" w:hAnsiTheme="minorEastAsia" w:cs="Times New Roman" w:hint="eastAsia"/>
          <w:b/>
          <w:bCs/>
          <w:color w:val="000000"/>
          <w:kern w:val="0"/>
          <w:sz w:val="24"/>
          <w:szCs w:val="24"/>
        </w:rPr>
        <w:t xml:space="preserve"> 液体循环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氯气生产装置一次盐水工艺中产生盐泥浆压滤废水，回收的盐水用作化盐用；淡盐水通过高压泵和循环泵送入到膜组件，在一定操作条件下进行膜脱硝分离，其中渗透液作为脱硝淡盐水送至化盐单元配水槽用于化盐；生产中电解工序来的湿氢气，进入氢气洗涤塔与喷淋冷却水进行冷却和洗涤，产生洗氢废水，返回化盐使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（2）带TiCl4泥浆返回直接喷洒出炉混合气体。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（3）本项目产生的污水经过污水处理站生化处理装置处理后，回用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于循环水系统，提高水资源利用率。</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10.3.3.4</w:t>
      </w:r>
      <w:r w:rsidRPr="00677D1F">
        <w:rPr>
          <w:rFonts w:asciiTheme="minorEastAsia" w:hAnsiTheme="minorEastAsia" w:cs="Times New Roman" w:hint="eastAsia"/>
          <w:b/>
          <w:bCs/>
          <w:color w:val="000000"/>
          <w:kern w:val="0"/>
          <w:sz w:val="24"/>
          <w:szCs w:val="24"/>
        </w:rPr>
        <w:t xml:space="preserve"> 热循环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电炉尾气经热交换器利用余热后用于钛渣干燥。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立足提取价值原料的循环使用，按照“减量化、再利用、资源化”的原则，实现资源循环式利用。同时，大力推行清洁生产，从源头上减少了污染物的排放。通过“提高工艺技术水平减少排污与资源循环利用标本并治”的循环经济发展模式，取得了较好的效果。</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b/>
          <w:bCs/>
          <w:color w:val="000000"/>
          <w:kern w:val="0"/>
          <w:sz w:val="24"/>
          <w:szCs w:val="24"/>
        </w:rPr>
        <w:t>10.3.3.5</w:t>
      </w:r>
      <w:r w:rsidRPr="00677D1F">
        <w:rPr>
          <w:rFonts w:asciiTheme="minorEastAsia" w:hAnsiTheme="minorEastAsia" w:cs="Times New Roman" w:hint="eastAsia"/>
          <w:b/>
          <w:bCs/>
          <w:color w:val="000000"/>
          <w:kern w:val="0"/>
          <w:sz w:val="24"/>
          <w:szCs w:val="24"/>
        </w:rPr>
        <w:t xml:space="preserve"> 收尘灰及渣循环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原料生产性粉尘和钛渣电炉排出的烟尘经收尘处理后，收集的烟尘和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粉尘可返回处理后作为原料使用；通过工艺设施回收了精四氯化钛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排泄物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钒渣中的金属钒，富集的四氯化硅也得到回收利用；采取摇床水洗分离法，</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氯化渣中</w:t>
      </w:r>
      <w:r w:rsidRPr="00677D1F">
        <w:rPr>
          <w:rFonts w:asciiTheme="minorEastAsia" w:hAnsiTheme="minorEastAsia" w:cs="宋体"/>
          <w:color w:val="000000"/>
          <w:kern w:val="0"/>
          <w:sz w:val="24"/>
          <w:szCs w:val="24"/>
        </w:rPr>
        <w:t>90</w:t>
      </w:r>
      <w:r w:rsidRPr="00677D1F">
        <w:rPr>
          <w:rFonts w:asciiTheme="minorEastAsia" w:hAnsiTheme="minorEastAsia" w:cs="宋体" w:hint="eastAsia"/>
          <w:color w:val="000000"/>
          <w:kern w:val="0"/>
          <w:sz w:val="24"/>
          <w:szCs w:val="24"/>
        </w:rPr>
        <w:t>％以上的金红石可以回收。</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10.3.4</w:t>
      </w:r>
      <w:r w:rsidRPr="00677D1F">
        <w:rPr>
          <w:rFonts w:ascii="宋体" w:hAnsi="宋体" w:hint="eastAsia"/>
          <w:sz w:val="28"/>
          <w:szCs w:val="28"/>
        </w:rPr>
        <w:t xml:space="preserve"> 循环经济发展建议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）建议企业认真落实各项处理及回用措施，保证在正式生产时稳定运行。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）建议企业加快发展速度，积极发展循环经济产业链中的行业，逐步实现园区循环经济产业链的构建。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）认真学习同行业的相关经验，提高自身清洁生产水平，发现并发展新的循环经济产业链接。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尾气中所含的氯化氢通过技术工艺回收生成盐酸再生利用；镁精炼排出的精炼渣全部回收，从镁精炼渣中回收金属镁，其它渣运去化肥厂用作生产化肥的原料，同时回收精炼渣采用的也是用废还原罐制作的坩埚。</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10.4</w:t>
      </w:r>
      <w:r w:rsidRPr="00677D1F">
        <w:rPr>
          <w:rFonts w:ascii="宋体" w:hAnsi="宋体" w:hint="eastAsia"/>
          <w:bCs w:val="0"/>
          <w:kern w:val="2"/>
          <w:sz w:val="30"/>
          <w:szCs w:val="30"/>
        </w:rPr>
        <w:t xml:space="preserve"> 清洁生产分析小结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本项目各装置在采用先进生产工艺的同时，注重生产全过程的“三废”控制，生产过程中产生的“三废”尽量回收利用，这样既节约了资源，控制了物料流失，又大大地减少了外排污染物对环境的影响，对不能回收的“三废”均采取切实可行的治理措施。本项目从工艺技术、污染防治和原材料综合利用上都力求体现清洁生产的原则，符合清洁生产的要求。</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11污染物排放总量控制</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11.1</w:t>
      </w:r>
      <w:r w:rsidRPr="00677D1F">
        <w:rPr>
          <w:rFonts w:ascii="宋体" w:hAnsi="宋体" w:hint="eastAsia"/>
          <w:bCs w:val="0"/>
          <w:kern w:val="2"/>
          <w:sz w:val="30"/>
          <w:szCs w:val="30"/>
        </w:rPr>
        <w:t>总量控制原则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根据国家当前的产业政策和环保技术政策，制定本项目污染物总量控制原则和方法，提出污染物总量控制思路：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第一：以国家产业政策为指导，分析产品方向的合理性和规模效益水平；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第二：采用全方位总量控制思想，提高资源的综合利用率，选用清洁能源，降低能耗水平，实现清洁生产，将污染尽可能消除在生产过程中；</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第三：强化中、末端控制，降低污染物的排放水平，实现达标排放；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第四：满足地方环境管理要求，参照区域总量控制规划，使项目造成的环境影响低于项目所在地区的环境保护目标控制水平。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通过以上分析，最后确定本项目污染物总量控制方案和目标。</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11.2</w:t>
      </w:r>
      <w:r w:rsidRPr="00677D1F">
        <w:rPr>
          <w:rFonts w:ascii="宋体" w:hAnsi="宋体" w:hint="eastAsia"/>
          <w:bCs w:val="0"/>
          <w:kern w:val="2"/>
          <w:sz w:val="30"/>
          <w:szCs w:val="30"/>
        </w:rPr>
        <w:t>总量控制因子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在《国务院关于</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期间全国主要污染物排放总量控制计划》中，明确规定了要在全国范围内对环境危害较大的</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种污染物实施总量控制（</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NOx</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COD</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NH3</w:t>
      </w:r>
      <w:r w:rsidRPr="00677D1F">
        <w:rPr>
          <w:rFonts w:asciiTheme="minorEastAsia" w:hAnsiTheme="minorEastAsia" w:cs="宋体" w:hint="eastAsia"/>
          <w:color w:val="000000"/>
          <w:kern w:val="0"/>
          <w:sz w:val="24"/>
          <w:szCs w:val="24"/>
        </w:rPr>
        <w:t>）和特征污染物。本项目废水经处理后厂区利用，因此控制因子只有</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和</w:t>
      </w:r>
      <w:r w:rsidRPr="00677D1F">
        <w:rPr>
          <w:rFonts w:asciiTheme="minorEastAsia" w:hAnsiTheme="minorEastAsia" w:cs="宋体"/>
          <w:color w:val="000000"/>
          <w:kern w:val="0"/>
          <w:sz w:val="24"/>
          <w:szCs w:val="24"/>
        </w:rPr>
        <w:t>NOx</w:t>
      </w:r>
      <w:r w:rsidRPr="00677D1F">
        <w:rPr>
          <w:rFonts w:asciiTheme="minorEastAsia" w:hAnsiTheme="minorEastAsia" w:cs="宋体" w:hint="eastAsia"/>
          <w:color w:val="000000"/>
          <w:kern w:val="0"/>
          <w:sz w:val="24"/>
          <w:szCs w:val="24"/>
        </w:rPr>
        <w:t>和特征污染物</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11.3</w:t>
      </w:r>
      <w:r w:rsidRPr="00677D1F">
        <w:rPr>
          <w:rFonts w:ascii="宋体" w:hAnsi="宋体" w:hint="eastAsia"/>
          <w:bCs w:val="0"/>
          <w:kern w:val="2"/>
          <w:sz w:val="30"/>
          <w:szCs w:val="30"/>
        </w:rPr>
        <w:t>建设项目污染物排放量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本项目的污染物发生量、处理削减量及排放量见表</w:t>
      </w:r>
      <w:r w:rsidRPr="00677D1F">
        <w:rPr>
          <w:rFonts w:asciiTheme="minorEastAsia" w:hAnsiTheme="minorEastAsia" w:cs="宋体"/>
          <w:color w:val="000000"/>
          <w:kern w:val="0"/>
          <w:sz w:val="24"/>
          <w:szCs w:val="24"/>
        </w:rPr>
        <w:t>11.1-1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表11.1-1建设项目污染物排放情况汇总</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11.4</w:t>
      </w:r>
      <w:r w:rsidRPr="00677D1F">
        <w:rPr>
          <w:rFonts w:ascii="宋体" w:hAnsi="宋体" w:hint="eastAsia"/>
          <w:bCs w:val="0"/>
          <w:kern w:val="2"/>
          <w:sz w:val="30"/>
          <w:szCs w:val="30"/>
        </w:rPr>
        <w:t>拟建项目污染物排放总量控制指标</w:t>
      </w:r>
    </w:p>
    <w:p w:rsidR="00D228BE" w:rsidRPr="00677D1F" w:rsidRDefault="00332EB6" w:rsidP="00677D1F">
      <w:pPr>
        <w:widowControl/>
        <w:spacing w:line="360" w:lineRule="auto"/>
        <w:ind w:firstLineChars="200" w:firstLine="480"/>
        <w:contextualSpacing/>
        <w:rPr>
          <w:rFonts w:ascii="宋体" w:eastAsia="宋体" w:hAnsi="宋体" w:cs="宋体"/>
          <w:kern w:val="0"/>
          <w:sz w:val="24"/>
          <w:szCs w:val="24"/>
        </w:rPr>
      </w:pPr>
      <w:r w:rsidRPr="00677D1F">
        <w:rPr>
          <w:rFonts w:asciiTheme="minorEastAsia" w:hAnsiTheme="minorEastAsia" w:cs="宋体" w:hint="eastAsia"/>
          <w:color w:val="000000"/>
          <w:kern w:val="0"/>
          <w:sz w:val="24"/>
          <w:szCs w:val="24"/>
        </w:rPr>
        <w:t>拟建工程完成后，建议本项目污染物排放总量控制指标申报量见表</w:t>
      </w:r>
      <w:r w:rsidRPr="00677D1F">
        <w:rPr>
          <w:rFonts w:ascii="Times New Roman" w:eastAsia="宋体" w:hAnsi="Times New Roman" w:cs="Times New Roman"/>
          <w:color w:val="000000"/>
          <w:kern w:val="0"/>
          <w:sz w:val="26"/>
          <w:szCs w:val="26"/>
        </w:rPr>
        <w:t>11.4-1</w:t>
      </w:r>
      <w:r w:rsidRPr="00677D1F">
        <w:rPr>
          <w:rFonts w:ascii="宋体" w:eastAsia="宋体" w:hAnsi="宋体" w:cs="宋体" w:hint="eastAsia"/>
          <w:color w:val="000000"/>
          <w:kern w:val="0"/>
          <w:sz w:val="26"/>
          <w:szCs w:val="26"/>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表11.4-1建设项目污染物排放申报量</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11.5</w:t>
      </w:r>
      <w:r w:rsidRPr="00677D1F">
        <w:rPr>
          <w:rFonts w:ascii="宋体" w:hAnsi="宋体" w:hint="eastAsia"/>
          <w:bCs w:val="0"/>
          <w:kern w:val="2"/>
          <w:sz w:val="30"/>
          <w:szCs w:val="30"/>
        </w:rPr>
        <w:t>总量平衡途径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w:t>
      </w:r>
      <w:r w:rsidRPr="00677D1F">
        <w:rPr>
          <w:rFonts w:asciiTheme="minorEastAsia" w:hAnsiTheme="minorEastAsia" w:cs="宋体"/>
          <w:color w:val="000000"/>
          <w:kern w:val="0"/>
          <w:sz w:val="24"/>
          <w:szCs w:val="24"/>
        </w:rPr>
        <w:t>SO2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NOx</w:t>
      </w:r>
      <w:r w:rsidRPr="00677D1F">
        <w:rPr>
          <w:rFonts w:asciiTheme="minorEastAsia" w:hAnsiTheme="minorEastAsia" w:cs="宋体" w:hint="eastAsia"/>
          <w:color w:val="000000"/>
          <w:kern w:val="0"/>
          <w:sz w:val="24"/>
          <w:szCs w:val="24"/>
        </w:rPr>
        <w:t>和特征污染物</w:t>
      </w:r>
      <w:r w:rsidRPr="00677D1F">
        <w:rPr>
          <w:rFonts w:asciiTheme="minorEastAsia" w:hAnsiTheme="minorEastAsia" w:cs="宋体"/>
          <w:color w:val="000000"/>
          <w:kern w:val="0"/>
          <w:sz w:val="24"/>
          <w:szCs w:val="24"/>
        </w:rPr>
        <w:t>Cl2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总量指标均向哈密地区环保局申请获得。</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11.6</w:t>
      </w:r>
      <w:r w:rsidRPr="00677D1F">
        <w:rPr>
          <w:rFonts w:ascii="宋体" w:hAnsi="宋体" w:hint="eastAsia"/>
          <w:bCs w:val="0"/>
          <w:kern w:val="2"/>
          <w:sz w:val="30"/>
          <w:szCs w:val="30"/>
        </w:rPr>
        <w:t>实现总量控制指标的保证措施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）严格执行</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三同时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制度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工程污染防治设施与主体工程必须严格执行</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三同时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制度，按设计和环评的要求运行，保证污染物达标排放。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）采用先进的生产工艺技术，实施清洁生产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提高工艺技术水平，实现各种节能技术措施，降低吨产品消耗，加强资源的循环利用，分类处理废物，减少生产过程中危险因素等方面，按照清洁生产的要求，从原料使用</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生产运行</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产品生命周期全过程进行分析、审核、评价，寻找各种环节可能实现的替代及改进办法，减轻末端治理负担，为企业的可持续发展奠定良好的基础，实现</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节能、降耗、减污、增效</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的目标。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）污染控制措施得力，可操作性强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除依靠工艺本身的清洁生产来降低污染物产生外，尾部污染治理措施的适用、可操作性也直接关系到项目生产对区域环境的影响程度。保证环保措施的可靠运行其最根本的是工艺技术方案的可行，特别是既能体现环境效益又有经济效益的清洁生产措施更宜配套实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）落实国家产业政策</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严格落实国家产业政策，在项目建设的同时，坚决采用先进的生产工艺与设备，严格控制新污染源，坚持</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清洁生产</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总量控制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达标排放</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原则，严格按照国家产业政策保证电炉符合要求。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）加强环境管理，实现污染物达标排放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加强环境管理，是实现污染物达标排放和完成污染物总量指标的重要手段和途径。管理措施包括企业内部的生产运行管理和政府机构的执法管理，作为企业要将总量控制指标纳入企业日常管理中，与各项管理制度有机结合起来，渗透到生产过程的各个环节，强化管理，杜绝跑、冒、滴、漏现象，提高资源能源利用率，把污染消灭在生产过程中，从而以尽可能小的环境代价和最少的能源、资源消耗获得最大的经济效益，使环境管理成为企业自觉的行为。</w:t>
      </w:r>
    </w:p>
    <w:p w:rsidR="00D228BE" w:rsidRPr="00677D1F" w:rsidRDefault="00D228BE" w:rsidP="00677D1F">
      <w:pPr>
        <w:widowControl/>
        <w:spacing w:line="360" w:lineRule="auto"/>
        <w:ind w:firstLineChars="200" w:firstLine="480"/>
        <w:contextualSpacing/>
        <w:rPr>
          <w:rFonts w:asciiTheme="minorEastAsia" w:hAnsiTheme="minorEastAsia" w:cs="宋体"/>
          <w:color w:val="000000"/>
          <w:kern w:val="0"/>
          <w:sz w:val="24"/>
          <w:szCs w:val="24"/>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12 产业政策、规划及选址合理性分析</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12.1</w:t>
      </w:r>
      <w:r w:rsidRPr="00677D1F">
        <w:rPr>
          <w:rFonts w:ascii="宋体" w:hAnsi="宋体" w:hint="eastAsia"/>
          <w:bCs w:val="0"/>
          <w:kern w:val="2"/>
          <w:sz w:val="30"/>
          <w:szCs w:val="30"/>
        </w:rPr>
        <w:t xml:space="preserve"> 产业政策和相关规划符合性分析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12.1.1</w:t>
      </w:r>
      <w:r w:rsidRPr="00677D1F">
        <w:rPr>
          <w:rFonts w:ascii="宋体" w:hAnsi="宋体" w:hint="eastAsia"/>
          <w:sz w:val="28"/>
          <w:szCs w:val="28"/>
        </w:rPr>
        <w:t xml:space="preserve"> 与《产业结构调整指导目录（</w:t>
      </w:r>
      <w:r w:rsidRPr="00677D1F">
        <w:rPr>
          <w:rFonts w:ascii="宋体" w:hAnsi="宋体"/>
          <w:sz w:val="28"/>
          <w:szCs w:val="28"/>
        </w:rPr>
        <w:t>201</w:t>
      </w:r>
      <w:r w:rsidR="001C1516" w:rsidRPr="00677D1F">
        <w:rPr>
          <w:rFonts w:ascii="宋体" w:hAnsi="宋体" w:hint="eastAsia"/>
          <w:sz w:val="28"/>
          <w:szCs w:val="28"/>
        </w:rPr>
        <w:t>9</w:t>
      </w:r>
      <w:r w:rsidRPr="00677D1F">
        <w:rPr>
          <w:rFonts w:ascii="宋体" w:hAnsi="宋体" w:hint="eastAsia"/>
          <w:sz w:val="28"/>
          <w:szCs w:val="28"/>
        </w:rPr>
        <w:t>年本修正）》符合性分析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板</w:t>
      </w:r>
      <w:r w:rsidRPr="00677D1F">
        <w:rPr>
          <w:rFonts w:asciiTheme="minorEastAsia" w:hAnsiTheme="minorEastAsia" w:cs="宋体"/>
          <w:color w:val="000000"/>
          <w:kern w:val="0"/>
          <w:sz w:val="24"/>
          <w:szCs w:val="24"/>
        </w:rPr>
        <w:t>9250t</w:t>
      </w:r>
      <w:r w:rsidRPr="00677D1F">
        <w:rPr>
          <w:rFonts w:asciiTheme="minorEastAsia" w:hAnsiTheme="minorEastAsia" w:cs="宋体" w:hint="eastAsia"/>
          <w:color w:val="000000"/>
          <w:kern w:val="0"/>
          <w:sz w:val="24"/>
          <w:szCs w:val="24"/>
        </w:rPr>
        <w:t>、商品钛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焊管</w:t>
      </w:r>
      <w:r w:rsidRPr="00677D1F">
        <w:rPr>
          <w:rFonts w:asciiTheme="minorEastAsia" w:hAnsiTheme="minorEastAsia" w:cs="宋体"/>
          <w:color w:val="000000"/>
          <w:kern w:val="0"/>
          <w:sz w:val="24"/>
          <w:szCs w:val="24"/>
        </w:rPr>
        <w:t>3000t</w:t>
      </w:r>
      <w:r w:rsidRPr="00677D1F">
        <w:rPr>
          <w:rFonts w:asciiTheme="minorEastAsia" w:hAnsiTheme="minorEastAsia" w:cs="宋体" w:hint="eastAsia"/>
          <w:color w:val="000000"/>
          <w:kern w:val="0"/>
          <w:sz w:val="24"/>
          <w:szCs w:val="24"/>
        </w:rPr>
        <w:t>、商品钛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无缝管</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带</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，根据《产业结构调整指导目录（</w:t>
      </w:r>
      <w:r w:rsidRPr="00677D1F">
        <w:rPr>
          <w:rFonts w:asciiTheme="minorEastAsia" w:hAnsiTheme="minorEastAsia" w:cs="宋体"/>
          <w:color w:val="000000"/>
          <w:kern w:val="0"/>
          <w:sz w:val="24"/>
          <w:szCs w:val="24"/>
        </w:rPr>
        <w:t>2011</w:t>
      </w:r>
      <w:r w:rsidRPr="00677D1F">
        <w:rPr>
          <w:rFonts w:asciiTheme="minorEastAsia" w:hAnsiTheme="minorEastAsia" w:cs="宋体" w:hint="eastAsia"/>
          <w:color w:val="000000"/>
          <w:kern w:val="0"/>
          <w:sz w:val="24"/>
          <w:szCs w:val="24"/>
        </w:rPr>
        <w:t>年本修正）》中“第一类鼓励类九、有色金属（</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高端制造及其他领域：高性能纳米硬质合金刀具和大晶粒硬质合金盾构刀具及深加工产品、稀土及贵金属催化剂材料、低模量钛合金材及记忆合金等生物医用材料、耐蚀热交换器用铜合金及钛合金材料、高性能稀土磁性材料和储氢材料及高端应用”内容，本项目属于鼓励类项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本项目采用国内的倒“</w:t>
      </w:r>
      <w:r w:rsidRPr="00677D1F">
        <w:rPr>
          <w:rFonts w:asciiTheme="minorEastAsia" w:hAnsiTheme="minorEastAsia" w:cs="宋体"/>
          <w:color w:val="000000"/>
          <w:kern w:val="0"/>
          <w:sz w:val="24"/>
          <w:szCs w:val="24"/>
        </w:rPr>
        <w:t>U</w:t>
      </w:r>
      <w:r w:rsidRPr="00677D1F">
        <w:rPr>
          <w:rFonts w:asciiTheme="minorEastAsia" w:hAnsiTheme="minorEastAsia" w:cs="宋体" w:hint="eastAsia"/>
          <w:color w:val="000000"/>
          <w:kern w:val="0"/>
          <w:sz w:val="24"/>
          <w:szCs w:val="24"/>
        </w:rPr>
        <w:t>”型</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并联法</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还原蒸馏装置，其单熔炼炉产能为</w:t>
      </w:r>
      <w:r w:rsidRPr="00677D1F">
        <w:rPr>
          <w:rFonts w:asciiTheme="minorEastAsia" w:hAnsiTheme="minorEastAsia" w:cs="宋体"/>
          <w:color w:val="000000"/>
          <w:kern w:val="0"/>
          <w:sz w:val="24"/>
          <w:szCs w:val="24"/>
        </w:rPr>
        <w:t>9.5</w:t>
      </w:r>
      <w:r w:rsidRPr="00677D1F">
        <w:rPr>
          <w:rFonts w:asciiTheme="minorEastAsia" w:hAnsiTheme="minorEastAsia" w:cs="宋体" w:hint="eastAsia"/>
          <w:color w:val="000000"/>
          <w:kern w:val="0"/>
          <w:sz w:val="24"/>
          <w:szCs w:val="24"/>
        </w:rPr>
        <w:t>吨，根据《产业结构调整指导目录（</w:t>
      </w:r>
      <w:r w:rsidRPr="00677D1F">
        <w:rPr>
          <w:rFonts w:asciiTheme="minorEastAsia" w:hAnsiTheme="minorEastAsia" w:cs="宋体"/>
          <w:color w:val="000000"/>
          <w:kern w:val="0"/>
          <w:sz w:val="24"/>
          <w:szCs w:val="24"/>
        </w:rPr>
        <w:t>2011</w:t>
      </w:r>
      <w:r w:rsidRPr="00677D1F">
        <w:rPr>
          <w:rFonts w:asciiTheme="minorEastAsia" w:hAnsiTheme="minorEastAsia" w:cs="宋体" w:hint="eastAsia"/>
          <w:color w:val="000000"/>
          <w:kern w:val="0"/>
          <w:sz w:val="24"/>
          <w:szCs w:val="24"/>
        </w:rPr>
        <w:t>年本修正）》中“第三类淘汰类一、落后生产工艺装备</w:t>
      </w:r>
      <w:r w:rsidRPr="00677D1F">
        <w:rPr>
          <w:rFonts w:asciiTheme="minorEastAsia" w:hAnsiTheme="minorEastAsia" w:cs="宋体"/>
          <w:color w:val="000000"/>
          <w:kern w:val="0"/>
          <w:sz w:val="24"/>
          <w:szCs w:val="24"/>
        </w:rPr>
        <w:t>31</w:t>
      </w:r>
      <w:r w:rsidRPr="00677D1F">
        <w:rPr>
          <w:rFonts w:asciiTheme="minorEastAsia" w:hAnsiTheme="minorEastAsia" w:cs="宋体" w:hint="eastAsia"/>
          <w:color w:val="000000"/>
          <w:kern w:val="0"/>
          <w:sz w:val="24"/>
          <w:szCs w:val="24"/>
        </w:rPr>
        <w:t>、每炉单产</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吨以下的钛铁熔炼炉、用反射炉焙烧钼精矿的钼铁生产线及用反射炉还原、煅烧红矾钠、铬酐生产金属铬的生产线”内容，本项目采用的工艺设备不是落后生产工艺装备，符合国家产业政策。</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12.1.2</w:t>
      </w:r>
      <w:r w:rsidRPr="00677D1F">
        <w:rPr>
          <w:rFonts w:ascii="宋体" w:hAnsi="宋体" w:hint="eastAsia"/>
          <w:sz w:val="28"/>
          <w:szCs w:val="28"/>
        </w:rPr>
        <w:t>与《铁合金行业准入条件（</w:t>
      </w:r>
      <w:r w:rsidRPr="00677D1F">
        <w:rPr>
          <w:rFonts w:ascii="宋体" w:hAnsi="宋体"/>
          <w:sz w:val="28"/>
          <w:szCs w:val="28"/>
        </w:rPr>
        <w:t>2008</w:t>
      </w:r>
      <w:r w:rsidRPr="00677D1F">
        <w:rPr>
          <w:rFonts w:ascii="宋体" w:hAnsi="宋体" w:hint="eastAsia"/>
          <w:sz w:val="28"/>
          <w:szCs w:val="28"/>
        </w:rPr>
        <w:t>年修订）》符合性分析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根据《铁合金行业准入条件（</w:t>
      </w:r>
      <w:r w:rsidRPr="00677D1F">
        <w:rPr>
          <w:rFonts w:asciiTheme="minorEastAsia" w:hAnsiTheme="minorEastAsia" w:cs="宋体"/>
          <w:color w:val="000000"/>
          <w:kern w:val="0"/>
          <w:sz w:val="24"/>
          <w:szCs w:val="24"/>
        </w:rPr>
        <w:t>2008</w:t>
      </w:r>
      <w:r w:rsidRPr="00677D1F">
        <w:rPr>
          <w:rFonts w:asciiTheme="minorEastAsia" w:hAnsiTheme="minorEastAsia" w:cs="宋体" w:hint="eastAsia"/>
          <w:color w:val="000000"/>
          <w:kern w:val="0"/>
          <w:sz w:val="24"/>
          <w:szCs w:val="24"/>
        </w:rPr>
        <w:t>年修订）》中对本项目相应各类指标要求与本项目各类指标情况分析见表</w:t>
      </w:r>
      <w:r w:rsidRPr="00677D1F">
        <w:rPr>
          <w:rFonts w:asciiTheme="minorEastAsia" w:hAnsiTheme="minorEastAsia" w:cs="宋体"/>
          <w:color w:val="000000"/>
          <w:kern w:val="0"/>
          <w:sz w:val="24"/>
          <w:szCs w:val="24"/>
        </w:rPr>
        <w:t>12.1-1</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表12.1-1项目各类指标指标分析</w:t>
      </w:r>
    </w:p>
    <w:p w:rsidR="00D228BE" w:rsidRPr="00677D1F" w:rsidRDefault="00332EB6" w:rsidP="00677D1F">
      <w:pPr>
        <w:widowControl/>
        <w:contextualSpacing/>
        <w:rPr>
          <w:rFonts w:ascii="宋体" w:eastAsia="宋体" w:hAnsi="宋体" w:cs="宋体"/>
          <w:kern w:val="0"/>
          <w:sz w:val="24"/>
          <w:szCs w:val="24"/>
        </w:rPr>
      </w:pPr>
      <w:r w:rsidRPr="00677D1F">
        <w:rPr>
          <w:rFonts w:ascii="宋体" w:eastAsia="宋体" w:hAnsi="宋体" w:cs="宋体" w:hint="eastAsia"/>
          <w:color w:val="000000"/>
          <w:kern w:val="0"/>
          <w:sz w:val="26"/>
          <w:szCs w:val="26"/>
        </w:rPr>
        <w:t>根据以上对照分析，本项目的各类指标符合准入条件中相关内容。</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12.1.3</w:t>
      </w:r>
      <w:r w:rsidRPr="00677D1F">
        <w:rPr>
          <w:rFonts w:ascii="宋体" w:hAnsi="宋体" w:hint="eastAsia"/>
          <w:sz w:val="28"/>
          <w:szCs w:val="28"/>
        </w:rPr>
        <w:t>与《铸造行业准入条件》符合性分析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根据《铸造行业准入条件》中对本项目相应各类指标要求与本项目各类指标情况分析见表</w:t>
      </w:r>
      <w:r w:rsidRPr="00677D1F">
        <w:rPr>
          <w:rFonts w:asciiTheme="minorEastAsia" w:hAnsiTheme="minorEastAsia" w:cs="宋体"/>
          <w:color w:val="000000"/>
          <w:kern w:val="0"/>
          <w:sz w:val="24"/>
          <w:szCs w:val="24"/>
        </w:rPr>
        <w:t>12.1-2</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lastRenderedPageBreak/>
        <w:t>表12.1-2项目各类指标指标分析</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根据以上对照分析，本项目的各类指标符合准入条件中相关内容。</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12.1.4</w:t>
      </w:r>
      <w:r w:rsidRPr="00677D1F">
        <w:rPr>
          <w:rFonts w:ascii="宋体" w:hAnsi="宋体" w:hint="eastAsia"/>
          <w:sz w:val="28"/>
          <w:szCs w:val="28"/>
        </w:rPr>
        <w:t>与《有色金属工业“十</w:t>
      </w:r>
      <w:r w:rsidR="000564E8" w:rsidRPr="00677D1F">
        <w:rPr>
          <w:rFonts w:ascii="宋体" w:hAnsi="宋体" w:hint="eastAsia"/>
          <w:sz w:val="28"/>
          <w:szCs w:val="28"/>
        </w:rPr>
        <w:t>三</w:t>
      </w:r>
      <w:r w:rsidRPr="00677D1F">
        <w:rPr>
          <w:rFonts w:ascii="宋体" w:hAnsi="宋体" w:hint="eastAsia"/>
          <w:sz w:val="28"/>
          <w:szCs w:val="28"/>
        </w:rPr>
        <w:t>五”发展规划》符合性分析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本项目海绵钛生产电耗为</w:t>
      </w:r>
      <w:r w:rsidRPr="00677D1F">
        <w:rPr>
          <w:rFonts w:asciiTheme="minorEastAsia" w:hAnsiTheme="minorEastAsia" w:cs="宋体"/>
          <w:color w:val="000000"/>
          <w:kern w:val="0"/>
          <w:sz w:val="24"/>
          <w:szCs w:val="24"/>
        </w:rPr>
        <w:t>125000kWh/t</w:t>
      </w:r>
      <w:r w:rsidRPr="00677D1F">
        <w:rPr>
          <w:rFonts w:asciiTheme="minorEastAsia" w:hAnsiTheme="minorEastAsia" w:cs="宋体" w:hint="eastAsia"/>
          <w:color w:val="000000"/>
          <w:kern w:val="0"/>
          <w:sz w:val="24"/>
          <w:szCs w:val="24"/>
        </w:rPr>
        <w:t>，符合《有色金属工业</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发展规划》中“全流程海绵钛电耗分别降到</w:t>
      </w:r>
      <w:r w:rsidRPr="00677D1F">
        <w:rPr>
          <w:rFonts w:asciiTheme="minorEastAsia" w:hAnsiTheme="minorEastAsia" w:cs="宋体"/>
          <w:color w:val="000000"/>
          <w:kern w:val="0"/>
          <w:sz w:val="24"/>
          <w:szCs w:val="24"/>
        </w:rPr>
        <w:t>12500</w:t>
      </w:r>
      <w:r w:rsidRPr="00677D1F">
        <w:rPr>
          <w:rFonts w:asciiTheme="minorEastAsia" w:hAnsiTheme="minorEastAsia" w:cs="宋体" w:hint="eastAsia"/>
          <w:color w:val="000000"/>
          <w:kern w:val="0"/>
          <w:sz w:val="24"/>
          <w:szCs w:val="24"/>
        </w:rPr>
        <w:t>千瓦时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吨和</w:t>
      </w:r>
      <w:r w:rsidRPr="00677D1F">
        <w:rPr>
          <w:rFonts w:asciiTheme="minorEastAsia" w:hAnsiTheme="minorEastAsia" w:cs="宋体"/>
          <w:color w:val="000000"/>
          <w:kern w:val="0"/>
          <w:sz w:val="24"/>
          <w:szCs w:val="24"/>
        </w:rPr>
        <w:t>25000</w:t>
      </w:r>
      <w:r w:rsidRPr="00677D1F">
        <w:rPr>
          <w:rFonts w:asciiTheme="minorEastAsia" w:hAnsiTheme="minorEastAsia" w:cs="宋体" w:hint="eastAsia"/>
          <w:color w:val="000000"/>
          <w:kern w:val="0"/>
          <w:sz w:val="24"/>
          <w:szCs w:val="24"/>
        </w:rPr>
        <w:t>千瓦时</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吨及以下”；本项目生产商品钛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板</w:t>
      </w:r>
      <w:r w:rsidRPr="00677D1F">
        <w:rPr>
          <w:rFonts w:asciiTheme="minorEastAsia" w:hAnsiTheme="minorEastAsia" w:cs="宋体"/>
          <w:color w:val="000000"/>
          <w:kern w:val="0"/>
          <w:sz w:val="24"/>
          <w:szCs w:val="24"/>
        </w:rPr>
        <w:t>9250t</w:t>
      </w:r>
      <w:r w:rsidRPr="00677D1F">
        <w:rPr>
          <w:rFonts w:asciiTheme="minorEastAsia" w:hAnsiTheme="minorEastAsia" w:cs="宋体" w:hint="eastAsia"/>
          <w:color w:val="000000"/>
          <w:kern w:val="0"/>
          <w:sz w:val="24"/>
          <w:szCs w:val="24"/>
        </w:rPr>
        <w:t>、商品钛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焊管</w:t>
      </w:r>
      <w:r w:rsidRPr="00677D1F">
        <w:rPr>
          <w:rFonts w:asciiTheme="minorEastAsia" w:hAnsiTheme="minorEastAsia" w:cs="宋体"/>
          <w:color w:val="000000"/>
          <w:kern w:val="0"/>
          <w:sz w:val="24"/>
          <w:szCs w:val="24"/>
        </w:rPr>
        <w:t>3000t</w:t>
      </w:r>
      <w:r w:rsidRPr="00677D1F">
        <w:rPr>
          <w:rFonts w:asciiTheme="minorEastAsia" w:hAnsiTheme="minorEastAsia" w:cs="宋体" w:hint="eastAsia"/>
          <w:color w:val="000000"/>
          <w:kern w:val="0"/>
          <w:sz w:val="24"/>
          <w:szCs w:val="24"/>
        </w:rPr>
        <w:t>、商品钛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无缝管</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、商品钛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带</w:t>
      </w:r>
      <w:r w:rsidRPr="00677D1F">
        <w:rPr>
          <w:rFonts w:asciiTheme="minorEastAsia" w:hAnsiTheme="minorEastAsia" w:cs="宋体"/>
          <w:color w:val="000000"/>
          <w:kern w:val="0"/>
          <w:sz w:val="24"/>
          <w:szCs w:val="24"/>
        </w:rPr>
        <w:t>2000t</w:t>
      </w:r>
      <w:r w:rsidRPr="00677D1F">
        <w:rPr>
          <w:rFonts w:asciiTheme="minorEastAsia" w:hAnsiTheme="minorEastAsia" w:cs="宋体" w:hint="eastAsia"/>
          <w:color w:val="000000"/>
          <w:kern w:val="0"/>
          <w:sz w:val="24"/>
          <w:szCs w:val="24"/>
        </w:rPr>
        <w:t>，采用沸腾氯化工艺技术、有机物除钒工艺技术、国际先进多极槽电解技术、镁还原</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真空蒸馏法联合法生产工艺技术、美国</w:t>
      </w:r>
      <w:r w:rsidRPr="00677D1F">
        <w:rPr>
          <w:rFonts w:asciiTheme="minorEastAsia" w:hAnsiTheme="minorEastAsia" w:cs="宋体"/>
          <w:color w:val="000000"/>
          <w:kern w:val="0"/>
          <w:sz w:val="24"/>
          <w:szCs w:val="24"/>
        </w:rPr>
        <w:t>RETCH</w:t>
      </w:r>
      <w:r w:rsidRPr="00677D1F">
        <w:rPr>
          <w:rFonts w:asciiTheme="minorEastAsia" w:hAnsiTheme="minorEastAsia" w:cs="宋体" w:hint="eastAsia"/>
          <w:color w:val="000000"/>
          <w:kern w:val="0"/>
          <w:sz w:val="24"/>
          <w:szCs w:val="24"/>
        </w:rPr>
        <w:t>公司电子束熔炼炉</w:t>
      </w:r>
      <w:r w:rsidRPr="00677D1F">
        <w:rPr>
          <w:rFonts w:asciiTheme="minorEastAsia" w:hAnsiTheme="minorEastAsia" w:cs="宋体"/>
          <w:color w:val="000000"/>
          <w:kern w:val="0"/>
          <w:sz w:val="24"/>
          <w:szCs w:val="24"/>
        </w:rPr>
        <w:t>（EB</w:t>
      </w:r>
      <w:r w:rsidRPr="00677D1F">
        <w:rPr>
          <w:rFonts w:asciiTheme="minorEastAsia" w:hAnsiTheme="minorEastAsia" w:cs="宋体" w:hint="eastAsia"/>
          <w:color w:val="000000"/>
          <w:kern w:val="0"/>
          <w:sz w:val="24"/>
          <w:szCs w:val="24"/>
        </w:rPr>
        <w:t>炉</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工艺装备技术、钛热轧及冷轧厚板材采用块式法生产工艺和挤压法和斜轧穿孔两种方法制备管坯，符合《有色金属工业</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发展规划》中“钛：针对国家航空航天等重大工程需求，着力发展大规格棒材和锻件、紧固件用丝材、宽幅板材和钛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钢复合板、大直径管材、大型铸件和粉末冶金件。积极发展钛带材、焊接钛管及挤压型材等，并进一步延伸产业链，提高产品附加值。”，“精深加工产品发展重点钛：优质宽幅冷轧纯钛板材，高性能宽幅钛及钛合金厚板，钛合金型材，钛及钛合金带材，大规格宽厚钛合金板材，高精度、宽幅钛合金薄板材，大规格钛合金棒材及特征锻件，紧固件用丝材、大型钛铸锭及锻件，新型钛合金结构材料，专用钛合金材料，钛及钛合金模锻件，钛基多孔材料等。”，“精深加工技术。高洁净、高均匀性合金冶炼和凝固技术，中厚板固溶及预拉伸技术，高性能铸造镁合金及变形镁合金制备及深加工技术，镁合金腐蚀控制及防护技术，</w:t>
      </w:r>
      <w:r w:rsidRPr="00677D1F">
        <w:rPr>
          <w:rFonts w:asciiTheme="minorEastAsia" w:hAnsiTheme="minorEastAsia" w:cs="宋体"/>
          <w:color w:val="000000"/>
          <w:kern w:val="0"/>
          <w:sz w:val="24"/>
          <w:szCs w:val="24"/>
        </w:rPr>
        <w:t>18</w:t>
      </w:r>
      <w:r w:rsidRPr="00677D1F">
        <w:rPr>
          <w:rFonts w:asciiTheme="minorEastAsia" w:hAnsiTheme="minorEastAsia" w:cs="宋体" w:hint="eastAsia"/>
          <w:color w:val="000000"/>
          <w:kern w:val="0"/>
          <w:sz w:val="24"/>
          <w:szCs w:val="24"/>
        </w:rPr>
        <w:t>微米及以下压延铜箔压延及表面处理工艺技术</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高质量引线框架材料合金制备及加工工艺技术，钛铝合金及加工成型技术，钛合金模锻件锻压、型材挤压、大型铸件、异型管棒丝材成型技术。”，“技术改造重点钛冶炼。重点推广植物油除钒技术、铝粉除钒技术、新型节能还蒸炉、多极槽镁电解等技术。”，“开发高强高韧、耐蚀新型钛合金和冷床炉熔炼、型材挤压技术，推进高性能钛合金大规格棒材、紧固件用丝材、热轧钛合金中厚板、宽幅冷轧钛薄板、大卷重钛带、钛合金大型铸件及锻件等产品产业化。”，“精深加工重点工程钛：高强高韧、耐蚀新型钛合金及其型材，大规格棒材，热轧钛合金中厚板，冷轧钛薄板，钛合金卷带和焊管等产品生产项目。”的要求。</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12.1.5</w:t>
      </w:r>
      <w:r w:rsidRPr="00677D1F">
        <w:rPr>
          <w:rFonts w:ascii="宋体" w:hAnsi="宋体" w:hint="eastAsia"/>
          <w:sz w:val="28"/>
          <w:szCs w:val="28"/>
        </w:rPr>
        <w:t>与《钒钛资源综合利用和产业发展“十</w:t>
      </w:r>
      <w:r w:rsidR="000564E8" w:rsidRPr="00677D1F">
        <w:rPr>
          <w:rFonts w:ascii="宋体" w:hAnsi="宋体" w:hint="eastAsia"/>
          <w:sz w:val="28"/>
          <w:szCs w:val="28"/>
        </w:rPr>
        <w:t>三</w:t>
      </w:r>
      <w:r w:rsidRPr="00677D1F">
        <w:rPr>
          <w:rFonts w:ascii="宋体" w:hAnsi="宋体" w:hint="eastAsia"/>
          <w:sz w:val="28"/>
          <w:szCs w:val="28"/>
        </w:rPr>
        <w:t>五”规划》符合性分析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富钛料生产采用大型的封闭式钛渣电炉熔炼工艺炉工艺，海绵钛生产采用目前国际上通用的镁还原蒸馏法，其单熔炼炉产能为9.5吨，本项目以钛精矿为原料采用全流程生产工艺，实现镁氯闭路循环，镁电解采用国际先进多极槽电解技术，配备完善的三废处理或处理装置；本项目海绵钛生的的钛回收率为91%，海绵钛单位产品能耗为4.378t标煤，符合《钒钛资源综合利用和产业发展“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规划》中“资源利用水平显著提高。钒钛磁铁矿中钒资源综合利用率达到50%以上，钛资源回收率达到20%以上，铬、钴、镍等主要共伴生稀有金属实现规模化回收利用。钛铁矿钛资源回收率达到70%以上，高钛渣冶炼钛回收率达到93%以上，海绵钛生产钛回收率达到89%上，含钒石煤钒资源利用率达到80%以上。”，“力争2015年末淘汰下列落后产能：敞口式高钛渣电炉；单产5吨/炉以下的钛铁熔炼炉；年生产能力5000吨以下海绵钛生产线；无完善三废处理或处理装置不能正常运行的钒钛生产设备。”，“4.6加速技术创新和产业化应用建立以企业为主体的钒钛资源综合利用技术研发和创新体系，支持企业加大研发投入。鼓励企业与科研院所、高等院校合作，实现优势互补，推动氧化钒清洁生产工艺、高品质富钛料生产工艺、新型氧化反应器、沸腾氯化工艺及装备、金属钛提取新工艺、高炉渣中钛提取与相关技术、直接还原-电炉熔分工艺提钒提钛技术、高品质钛及钛合金材料制备、红格矿铬的开发利用等一批重大核心技术研究，实现重大技术突破。加速创新成果转化，支持企业实现资金变技术、技术变资金、资金变为更高层次技术的良性循环。”，“5.1严格市场准入海绵钛生产。新建海绵钛装置年生产能力1万吨及以上，须釆用全流程工艺，配套镁电解多级槽及镁氯闭路循环等先进工艺技术，吨产品能耗7吨标准煤以下。”的相关内容要求。</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12.1.6</w:t>
      </w:r>
      <w:r w:rsidRPr="00677D1F">
        <w:rPr>
          <w:rFonts w:ascii="宋体" w:hAnsi="宋体" w:hint="eastAsia"/>
          <w:sz w:val="28"/>
          <w:szCs w:val="28"/>
        </w:rPr>
        <w:t>与《新疆有色金属行业“十</w:t>
      </w:r>
      <w:r w:rsidR="000564E8" w:rsidRPr="00677D1F">
        <w:rPr>
          <w:rFonts w:ascii="宋体" w:hAnsi="宋体" w:hint="eastAsia"/>
          <w:sz w:val="28"/>
          <w:szCs w:val="28"/>
        </w:rPr>
        <w:t>三</w:t>
      </w:r>
      <w:r w:rsidRPr="00677D1F">
        <w:rPr>
          <w:rFonts w:ascii="宋体" w:hAnsi="宋体" w:hint="eastAsia"/>
          <w:sz w:val="28"/>
          <w:szCs w:val="28"/>
        </w:rPr>
        <w:t>五”发展规划》符合性分析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根据《新疆有色金属行业“十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五”发展规划》，要求大力发展有色金属深加工和循环经济，提高资源保障能力和资源综合利用率。本项目主体项目为钛及钛合金新材料项目，配套建设氯气生产项目。本项目以钛精矿为原料采用全流程生产工</w:t>
      </w:r>
      <w:r w:rsidRPr="00677D1F">
        <w:rPr>
          <w:rFonts w:asciiTheme="minorEastAsia" w:hAnsiTheme="minorEastAsia" w:cs="宋体" w:hint="eastAsia"/>
          <w:color w:val="000000"/>
          <w:kern w:val="0"/>
          <w:sz w:val="24"/>
          <w:szCs w:val="24"/>
        </w:rPr>
        <w:lastRenderedPageBreak/>
        <w:t>艺，实现镁氯闭路循环，产业链中各生产线相互依存，相互支持，实现了能源、资源利用效率的最大化。因此，项目符合《新疆有色金属行业“十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五”发展规划》的要求。</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12.1.7</w:t>
      </w:r>
      <w:r w:rsidRPr="00677D1F">
        <w:rPr>
          <w:rFonts w:ascii="宋体" w:hAnsi="宋体" w:hint="eastAsia"/>
          <w:sz w:val="28"/>
          <w:szCs w:val="28"/>
        </w:rPr>
        <w:t>与生态区划的相容性分析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新疆生态功能区划》（2004年）和《哈密市环境功能区划》，项目位于嘎顺一南湖戈壁荒漠植被及野生动物保护生态功能区，该地区应以保护为主，防止进一步沙化和引起沙尘暴等生态问题。项目在建设时注重水土保持，建成后进行绿化补偿，最大限度的保护该区生态环境，项目与《新疆生态功能区划》（2004年）、《哈密市环境功能区划》相符。</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12.1.8</w:t>
      </w:r>
      <w:r w:rsidRPr="00677D1F">
        <w:rPr>
          <w:rFonts w:ascii="宋体" w:hAnsi="宋体" w:hint="eastAsia"/>
          <w:sz w:val="28"/>
          <w:szCs w:val="28"/>
        </w:rPr>
        <w:t>与总体规划的相容性分析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根据《哈密地区国民经济和社会发展第十</w:t>
      </w:r>
      <w:r w:rsidR="00390272"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个五年规划》，哈密工业园区重工业加工区，按照总体规划，分布实施，滚动发展的原则，加大基础设施建设的投入，进一步完善供水、供电、道路灯基础设施建设，重点发展黑色及有色金属加工冶炼等金属材料制造业、非金属资源深加工、建材、仓储、物流等。本项目位于哈密工业园区重工业加工区，为有色金属加工冶炼，符合《哈密地区国民经济和社会发展第十</w:t>
      </w:r>
      <w:r w:rsidR="00390272"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个五年规划》要求。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根据《哈密市国民经济和社会发展第十</w:t>
      </w:r>
      <w:r w:rsidR="00390272"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个五年规划纲要》，哈密工业园区重工业加工区是重点发展煤电、黑色及有色金属采选、建材、煤炭初加工等，其工业产品主要包括煤电、煤炭运输仓储、兰炭，金属铜及其制品，铁精粉、球团、铁合金、金属镁，水泥、石材加工、玻璃及其制品，膨润土、纯碱等；到</w:t>
      </w:r>
      <w:r w:rsidRPr="00677D1F">
        <w:rPr>
          <w:rFonts w:asciiTheme="minorEastAsia" w:hAnsiTheme="minorEastAsia" w:cs="宋体"/>
          <w:color w:val="000000"/>
          <w:kern w:val="0"/>
          <w:sz w:val="24"/>
          <w:szCs w:val="24"/>
        </w:rPr>
        <w:t>2015</w:t>
      </w:r>
      <w:r w:rsidRPr="00677D1F">
        <w:rPr>
          <w:rFonts w:asciiTheme="minorEastAsia" w:hAnsiTheme="minorEastAsia" w:cs="宋体" w:hint="eastAsia"/>
          <w:color w:val="000000"/>
          <w:kern w:val="0"/>
          <w:sz w:val="24"/>
          <w:szCs w:val="24"/>
        </w:rPr>
        <w:t>年加工区年工业生产总值达到</w:t>
      </w:r>
      <w:r w:rsidRPr="00677D1F">
        <w:rPr>
          <w:rFonts w:asciiTheme="minorEastAsia" w:hAnsiTheme="minorEastAsia" w:cs="宋体"/>
          <w:color w:val="000000"/>
          <w:kern w:val="0"/>
          <w:sz w:val="24"/>
          <w:szCs w:val="24"/>
        </w:rPr>
        <w:t>10.82</w:t>
      </w:r>
      <w:r w:rsidRPr="00677D1F">
        <w:rPr>
          <w:rFonts w:asciiTheme="minorEastAsia" w:hAnsiTheme="minorEastAsia" w:cs="宋体" w:hint="eastAsia"/>
          <w:color w:val="000000"/>
          <w:kern w:val="0"/>
          <w:sz w:val="24"/>
          <w:szCs w:val="24"/>
        </w:rPr>
        <w:t>亿元。本项目位于哈密工业园区重工业加工区，为钛及钛合金新材料建设项目，符合《哈密市国民经济和社会发展第十</w:t>
      </w:r>
      <w:r w:rsidR="00390272"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个五年规划纲要》。</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哈密工业园区总体规划》，哈密市的工业园区是以广东工业加工区和重工业加工区为组合，以矿产品精深加工、农副产品精深加工为龙头，以煤化工、高新技术、工程机械制造、金属加工产业为骨干的集生产、科研、仓储、物流为一体</w:t>
      </w:r>
      <w:r w:rsidRPr="00677D1F">
        <w:rPr>
          <w:rFonts w:asciiTheme="minorEastAsia" w:hAnsiTheme="minorEastAsia" w:cs="宋体" w:hint="eastAsia"/>
          <w:color w:val="000000"/>
          <w:kern w:val="0"/>
          <w:sz w:val="24"/>
          <w:szCs w:val="24"/>
        </w:rPr>
        <w:lastRenderedPageBreak/>
        <w:t>的现代化组团式自治区级综合性工业园区。本项目位于哈密重工业加工区，项目为钛及钛合金新材料项目，符合其所在园区的产业功能定位。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综上所述，本项目符合《产业结构调整指导目录（2011年本修正）》、《铁合金行业准入条件（2008年）修订》和《铸造行业准入条件、》的相关要求，项目符合《有色金属工业</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发展规划》、《钒钛资源综合利用和产业发展“十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五”规划》、《新疆有色金属行业“十</w:t>
      </w:r>
      <w:r w:rsidR="000564E8"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五”发展规划》、《新疆生态功能区划》（2004年）、《哈密市环境功能区划》以及《哈密地区国民经济和社会发展第十</w:t>
      </w:r>
      <w:r w:rsidR="00390272" w:rsidRPr="00677D1F">
        <w:rPr>
          <w:rFonts w:asciiTheme="minorEastAsia" w:hAnsiTheme="minorEastAsia" w:cs="宋体" w:hint="eastAsia"/>
          <w:color w:val="000000"/>
          <w:kern w:val="0"/>
          <w:sz w:val="24"/>
          <w:szCs w:val="24"/>
        </w:rPr>
        <w:t>三</w:t>
      </w:r>
      <w:r w:rsidRPr="00677D1F">
        <w:rPr>
          <w:rFonts w:asciiTheme="minorEastAsia" w:hAnsiTheme="minorEastAsia" w:cs="宋体" w:hint="eastAsia"/>
          <w:color w:val="000000"/>
          <w:kern w:val="0"/>
          <w:sz w:val="24"/>
          <w:szCs w:val="24"/>
        </w:rPr>
        <w:t>个五年规划》、《哈密工业园区总体规划》的相关要求。</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12.2</w:t>
      </w:r>
      <w:r w:rsidRPr="00677D1F">
        <w:rPr>
          <w:rFonts w:ascii="宋体" w:hAnsi="宋体" w:hint="eastAsia"/>
          <w:bCs w:val="0"/>
          <w:kern w:val="2"/>
          <w:sz w:val="30"/>
          <w:szCs w:val="30"/>
        </w:rPr>
        <w:t>厂址合理性分析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12.2.1</w:t>
      </w:r>
      <w:r w:rsidRPr="00677D1F">
        <w:rPr>
          <w:rFonts w:ascii="宋体" w:hAnsi="宋体" w:hint="eastAsia"/>
          <w:sz w:val="28"/>
          <w:szCs w:val="28"/>
        </w:rPr>
        <w:t>用地合理性分析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选定场址为规划的工业用地，不占用农田，且本工程选定厂址远离居民区及村庄，不影响当地居民的生活环境，项目选址用地合理。</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12.2.2</w:t>
      </w:r>
      <w:r w:rsidRPr="00677D1F">
        <w:rPr>
          <w:rFonts w:ascii="宋体" w:hAnsi="宋体" w:hint="eastAsia"/>
          <w:sz w:val="28"/>
          <w:szCs w:val="28"/>
        </w:rPr>
        <w:t>基础条件分析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本项目利用工业区的水源、供电电源、外运道路等，其基础条件较好。</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12.2.3</w:t>
      </w:r>
      <w:r w:rsidRPr="00677D1F">
        <w:rPr>
          <w:rFonts w:ascii="宋体" w:hAnsi="宋体" w:hint="eastAsia"/>
          <w:sz w:val="28"/>
          <w:szCs w:val="28"/>
        </w:rPr>
        <w:t>园区规划要求符合性分析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哈密重工业加工区主要发展以哈密鲁能煤电化基地建设项目为龙头的煤电产业和黑色及有色金属冶炼压延等金属材料制造业、非金属资源深加工，建材、仓储、物流等产业，适度发展煤化工、盐化工的产业定位。本项目位于哈密重工业加工区，选址符合规划的产业定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根据哈密重工业园园区规划结构内容，园区规划为综合服务区、有色及黑色金属产业区、煤化工产业区、非金属矿产加工产业区、仓储区等五大片区。本项目位于有色及黑色金属产业区，选址符合布局结构。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12.2.4</w:t>
      </w:r>
      <w:r w:rsidRPr="00677D1F">
        <w:rPr>
          <w:rFonts w:ascii="宋体" w:hAnsi="宋体" w:hint="eastAsia"/>
          <w:sz w:val="28"/>
          <w:szCs w:val="28"/>
        </w:rPr>
        <w:t>环境条件分析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）环境保护目标分布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①项目厂址周围无常年地表水体，且厂区无外排废水，不会影响到地表水体。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②依据现场调查，项目厂址</w:t>
      </w:r>
      <w:r w:rsidRPr="00677D1F">
        <w:rPr>
          <w:rFonts w:asciiTheme="minorEastAsia" w:hAnsiTheme="minorEastAsia" w:cs="宋体"/>
          <w:color w:val="000000"/>
          <w:kern w:val="0"/>
          <w:sz w:val="24"/>
          <w:szCs w:val="24"/>
        </w:rPr>
        <w:t>5km</w:t>
      </w:r>
      <w:r w:rsidRPr="00677D1F">
        <w:rPr>
          <w:rFonts w:asciiTheme="minorEastAsia" w:hAnsiTheme="minorEastAsia" w:cs="宋体" w:hint="eastAsia"/>
          <w:color w:val="000000"/>
          <w:kern w:val="0"/>
          <w:sz w:val="24"/>
          <w:szCs w:val="24"/>
        </w:rPr>
        <w:t>距离范围内没有大气和风险环境保护目标，项目建设不存在拆迁和居民安置问题。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③根据厂址周围环境现状调查，评价区域内无国家及省级确定的风景、历史遗迹等敏感保护区，亦无特殊自然观赏价值较高的景观，所占土地为建设用地。</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）环境质量状况</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根据环境质量现状监测结果评价，本项目区域环境质量良好，地下水水质较好，噪声环境质量现状较好。土壤环境现状各指标均能满足《土壤环境质量标准》（</w:t>
      </w:r>
      <w:r w:rsidRPr="00677D1F">
        <w:rPr>
          <w:rFonts w:asciiTheme="minorEastAsia" w:hAnsiTheme="minorEastAsia" w:cs="宋体"/>
          <w:color w:val="000000"/>
          <w:kern w:val="0"/>
          <w:sz w:val="24"/>
          <w:szCs w:val="24"/>
        </w:rPr>
        <w:t>GB15618-1995</w:t>
      </w:r>
      <w:r w:rsidRPr="00677D1F">
        <w:rPr>
          <w:rFonts w:asciiTheme="minorEastAsia" w:hAnsiTheme="minorEastAsia" w:cs="宋体" w:hint="eastAsia"/>
          <w:color w:val="000000"/>
          <w:kern w:val="0"/>
          <w:sz w:val="24"/>
          <w:szCs w:val="24"/>
        </w:rPr>
        <w:t>）二级标准的要求。</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12.2.5</w:t>
      </w:r>
      <w:r w:rsidRPr="00677D1F">
        <w:rPr>
          <w:rFonts w:ascii="宋体" w:hAnsi="宋体" w:hint="eastAsia"/>
          <w:sz w:val="28"/>
          <w:szCs w:val="28"/>
        </w:rPr>
        <w:t>项目实施后环境影响分析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）大气环境影响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依据大气环境影响预测与分析，正常生产时，拟建项目排放的大气污染物对环境影响较小，各污染物落地浓度预测结果均符合相应的环境标准。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）水环境影响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项目附近无常年地表水水体，不会对地表水环境产生影响。本项目设计对工业废水进行处理后回用于生产工艺用水，不排入外环境，实现工业废水零排放。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）声环境影响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项目厂址位于工业区，厂址周围无人群居住区，因此项目的运营不会产生扰民的现象。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）固体废物处置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本项目产生的固废可得到有效处置，不会产生二次污染，对周围环境影响较小。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）环境风险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本项目的环境风险程度在落实各项风险防范措施的前提下是可接受的。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综上所述，项目实施后，所排污染物对环境的影响较小，环境功能不下降。</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12.2.6</w:t>
      </w:r>
      <w:r w:rsidRPr="00677D1F">
        <w:rPr>
          <w:rFonts w:ascii="宋体" w:hAnsi="宋体" w:hint="eastAsia"/>
          <w:sz w:val="28"/>
          <w:szCs w:val="28"/>
        </w:rPr>
        <w:t>大气环境防护距离和卫生防护距离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根据本项目的无组织排放源计算，拟建项目不设大气环境防护距离；同时利用厂址历年年平均风速值、采用《制定地方大气污染物排放标准的技术方法》</w:t>
      </w: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GB/T13201-91</w:t>
      </w:r>
      <w:r w:rsidRPr="00677D1F">
        <w:rPr>
          <w:rFonts w:asciiTheme="minorEastAsia" w:hAnsiTheme="minorEastAsia" w:cs="宋体" w:hint="eastAsia"/>
          <w:color w:val="000000"/>
          <w:kern w:val="0"/>
          <w:sz w:val="24"/>
          <w:szCs w:val="24"/>
        </w:rPr>
        <w:t>）中给出的计算公式，计算本项目的卫生防护距离为</w:t>
      </w:r>
      <w:r w:rsidRPr="00677D1F">
        <w:rPr>
          <w:rFonts w:asciiTheme="minorEastAsia" w:hAnsiTheme="minorEastAsia" w:cs="宋体"/>
          <w:color w:val="000000"/>
          <w:kern w:val="0"/>
          <w:sz w:val="24"/>
          <w:szCs w:val="24"/>
        </w:rPr>
        <w:t>300m</w:t>
      </w:r>
      <w:r w:rsidRPr="00677D1F">
        <w:rPr>
          <w:rFonts w:asciiTheme="minorEastAsia" w:hAnsiTheme="minorEastAsia" w:cs="宋体" w:hint="eastAsia"/>
          <w:color w:val="000000"/>
          <w:kern w:val="0"/>
          <w:sz w:val="24"/>
          <w:szCs w:val="24"/>
        </w:rPr>
        <w:t>。参照《氯碱厂（电解法制碱）卫生防护距离标准》中要求，所在地区近五年平均风速＜2m/s时，卫生防护距离为1000m（最小距离），本项目应设置1000m卫生防护距离。厂址周围方圆</w:t>
      </w:r>
      <w:r w:rsidRPr="00677D1F">
        <w:rPr>
          <w:rFonts w:asciiTheme="minorEastAsia" w:hAnsiTheme="minorEastAsia" w:cs="宋体"/>
          <w:color w:val="000000"/>
          <w:kern w:val="0"/>
          <w:sz w:val="24"/>
          <w:szCs w:val="24"/>
        </w:rPr>
        <w:t>5km</w:t>
      </w:r>
      <w:r w:rsidRPr="00677D1F">
        <w:rPr>
          <w:rFonts w:asciiTheme="minorEastAsia" w:hAnsiTheme="minorEastAsia" w:cs="宋体" w:hint="eastAsia"/>
          <w:color w:val="000000"/>
          <w:kern w:val="0"/>
          <w:sz w:val="24"/>
          <w:szCs w:val="24"/>
        </w:rPr>
        <w:t>范围内无人群居住区，完全满足大气环境防护和卫生防护距离的要求。</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12.2.7</w:t>
      </w:r>
      <w:r w:rsidRPr="00677D1F">
        <w:rPr>
          <w:rFonts w:ascii="宋体" w:hAnsi="宋体" w:hint="eastAsia"/>
          <w:sz w:val="28"/>
          <w:szCs w:val="28"/>
        </w:rPr>
        <w:t>公众参与意见分析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公众参与调查结果表明，当地政府、项目周围的企事业单位和居民支持拟建项目的建设。</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12.2.8</w:t>
      </w:r>
      <w:r w:rsidRPr="00677D1F">
        <w:rPr>
          <w:rFonts w:ascii="宋体" w:hAnsi="宋体" w:hint="eastAsia"/>
          <w:sz w:val="28"/>
          <w:szCs w:val="28"/>
        </w:rPr>
        <w:t>项目选址合理性综合评定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选址地交通方便，物料运输便利，原料来源可靠；工程地质条件良好；拟建项目建成后不会对周围环境产生明显影响，被调查的单位和公众认为厂址选择合理；从环境保护角度分析，评价范围内无古树名木，无自然保护区、风景名胜区、集中居民区等重要环境敏感点。符合《建设项目环境保护设计规定》、《建设项目选址规划管理办法》及其他法律法规中关于建设项目选址的有关规定。因此从资源、环保角度衡量，拟建项目选址基本可行。</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12.3</w:t>
      </w:r>
      <w:r w:rsidRPr="00677D1F">
        <w:rPr>
          <w:rFonts w:ascii="宋体" w:hAnsi="宋体" w:hint="eastAsia"/>
          <w:bCs w:val="0"/>
          <w:kern w:val="2"/>
          <w:sz w:val="30"/>
          <w:szCs w:val="30"/>
        </w:rPr>
        <w:t>厂区平面布置合理性分析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）本项目生产区和厂前区功能明确，且本项目的行政办公布置在厂前区，符合《建设项目环境保护设计规定》和《工业企业设计卫生标准》中有关内容；</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）拟建项目总平面设计，充分利用了现有的场地，同时考虑到流程简捷顺畅，紧凑合理，缩短物料运输距离，合理占地和足够的安全间距，符合《工业企业总平面设计规范》（</w:t>
      </w:r>
      <w:r w:rsidRPr="00677D1F">
        <w:rPr>
          <w:rFonts w:asciiTheme="minorEastAsia" w:hAnsiTheme="minorEastAsia" w:cs="宋体"/>
          <w:color w:val="000000"/>
          <w:kern w:val="0"/>
          <w:sz w:val="24"/>
          <w:szCs w:val="24"/>
        </w:rPr>
        <w:t>GB50187-93</w:t>
      </w:r>
      <w:r w:rsidRPr="00677D1F">
        <w:rPr>
          <w:rFonts w:asciiTheme="minorEastAsia" w:hAnsiTheme="minorEastAsia" w:cs="宋体" w:hint="eastAsia"/>
          <w:color w:val="000000"/>
          <w:kern w:val="0"/>
          <w:sz w:val="24"/>
          <w:szCs w:val="24"/>
        </w:rPr>
        <w:t>）的规定；</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）厂区设备间留有足够的安全间距，装置区周围设有环状消防通道和装置区内的安全通道，便于消防安全和紧急疏散。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）设备的布置尽可能采用露天化设计，以防止可燃、有毒气体积聚，并贯彻</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五化</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原则。</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）将钛生产装置布置在厂区下风向，减少了对厂区的大气污染。</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w:t>
      </w:r>
      <w:r w:rsidRPr="00677D1F">
        <w:rPr>
          <w:rFonts w:asciiTheme="minorEastAsia" w:hAnsiTheme="minorEastAsia" w:cs="宋体"/>
          <w:color w:val="000000"/>
          <w:kern w:val="0"/>
          <w:sz w:val="24"/>
          <w:szCs w:val="24"/>
        </w:rPr>
        <w:t>6</w:t>
      </w:r>
      <w:r w:rsidRPr="00677D1F">
        <w:rPr>
          <w:rFonts w:asciiTheme="minorEastAsia" w:hAnsiTheme="minorEastAsia" w:cs="宋体" w:hint="eastAsia"/>
          <w:color w:val="000000"/>
          <w:kern w:val="0"/>
          <w:sz w:val="24"/>
          <w:szCs w:val="24"/>
        </w:rPr>
        <w:t>）火灾和爆炸危险性较大的贮罐区和氯气生产单独隔离布置，有利于消防和安全。</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）综合办公楼、食堂等人员比较集中的场所，布置在厂区东北侧，位于主导风向的上风向，职工身体健康产生影响较小。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8</w:t>
      </w:r>
      <w:r w:rsidRPr="00677D1F">
        <w:rPr>
          <w:rFonts w:asciiTheme="minorEastAsia" w:hAnsiTheme="minorEastAsia" w:cs="宋体" w:hint="eastAsia"/>
          <w:color w:val="000000"/>
          <w:kern w:val="0"/>
          <w:sz w:val="24"/>
          <w:szCs w:val="24"/>
        </w:rPr>
        <w:t>）各噪声污染源布置，距人员集中的生活及办公区较远，减轻了噪声的污染同时有效控制生产装置无组织的大气污染物的排放量，对保护厂区及周围大气环境是很重要的。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总之，厂区平面布置比较紧凑，距离交通干线较近，运输方便，设计基本合理。</w:t>
      </w:r>
    </w:p>
    <w:p w:rsidR="00D228BE" w:rsidRPr="00677D1F" w:rsidRDefault="00D228BE" w:rsidP="00677D1F">
      <w:pPr>
        <w:widowControl/>
        <w:contextualSpacing/>
        <w:rPr>
          <w:rFonts w:ascii="宋体" w:eastAsia="宋体" w:hAnsi="宋体" w:cs="宋体"/>
          <w:kern w:val="0"/>
          <w:sz w:val="24"/>
          <w:szCs w:val="24"/>
        </w:rPr>
      </w:pPr>
    </w:p>
    <w:p w:rsidR="00D228BE" w:rsidRPr="00677D1F" w:rsidRDefault="00D228BE" w:rsidP="00677D1F">
      <w:pPr>
        <w:widowControl/>
        <w:contextualSpacing/>
        <w:outlineLvl w:val="0"/>
        <w:rPr>
          <w:rFonts w:ascii="宋体" w:eastAsia="宋体" w:hAnsi="宋体" w:cs="宋体"/>
          <w:b/>
          <w:bCs/>
          <w:color w:val="000000"/>
          <w:kern w:val="0"/>
          <w:sz w:val="36"/>
          <w:szCs w:val="36"/>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13 环境影响经济损益分析</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13.1</w:t>
      </w:r>
      <w:r w:rsidRPr="00677D1F">
        <w:rPr>
          <w:rFonts w:ascii="宋体" w:hAnsi="宋体" w:hint="eastAsia"/>
          <w:bCs w:val="0"/>
          <w:kern w:val="2"/>
          <w:sz w:val="30"/>
          <w:szCs w:val="30"/>
        </w:rPr>
        <w:t xml:space="preserve"> 社会效益分析</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从钛精矿生产开始，到富钛料到海绵钛，再到钛加工型材，形成了合理的产品链，做大、做强了我国的钛加工产品，可促进企业周边地区的快速发展，同时为周边地区提供了一定的就业机会；本工程运输量较大，在一定程度上，可带动当地运输业的发展，充分利用社会闲散车辆，增加部分人的经济收入，同时在一定程度上也增加了就业机会，促进社会的安定团结；拟建工程的实施可以使国家和地方政府税收增加，为增强我国的综合国力和提高人民的生活质量贡献一份力量。项目的建设为企业的长远发展奠定了一定的基础，开拓了道路，将地区的电力资源优势转化为经济优势，对促进地方经济发展、支撑新疆维吾尔族自治区经济增长具有重要的意义。</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13.</w:t>
      </w:r>
      <w:r w:rsidRPr="00677D1F">
        <w:rPr>
          <w:rFonts w:ascii="宋体" w:hAnsi="宋体" w:hint="eastAsia"/>
          <w:bCs w:val="0"/>
          <w:kern w:val="2"/>
          <w:sz w:val="30"/>
          <w:szCs w:val="30"/>
        </w:rPr>
        <w:t>2 经济效益分析</w:t>
      </w:r>
    </w:p>
    <w:p w:rsidR="004D687F" w:rsidRPr="00677D1F" w:rsidRDefault="004D687F"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13.2.1</w:t>
      </w:r>
      <w:r w:rsidRPr="00677D1F">
        <w:rPr>
          <w:rFonts w:ascii="宋体" w:hAnsi="宋体" w:hint="eastAsia"/>
          <w:sz w:val="28"/>
          <w:szCs w:val="28"/>
        </w:rPr>
        <w:t xml:space="preserve"> 投资估算</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本项目总投资为979768万元，其中建设投资为877020万元，建设期利息62961万元，铺底流动资金39787万元</w:t>
      </w:r>
    </w:p>
    <w:p w:rsidR="004D687F" w:rsidRPr="00677D1F" w:rsidRDefault="004D687F"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13.2.2</w:t>
      </w:r>
      <w:r w:rsidRPr="00677D1F">
        <w:rPr>
          <w:rFonts w:ascii="宋体" w:hAnsi="宋体" w:hint="eastAsia"/>
          <w:sz w:val="28"/>
          <w:szCs w:val="28"/>
        </w:rPr>
        <w:t xml:space="preserve"> 财务盈利能力分析</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财务分析经济指标见表</w:t>
      </w:r>
      <w:r w:rsidRPr="00677D1F">
        <w:rPr>
          <w:rFonts w:asciiTheme="minorEastAsia" w:hAnsiTheme="minorEastAsia" w:cs="宋体"/>
          <w:color w:val="000000"/>
          <w:kern w:val="0"/>
          <w:sz w:val="24"/>
          <w:szCs w:val="24"/>
        </w:rPr>
        <w:t>13.2-1</w:t>
      </w:r>
      <w:r w:rsidRPr="00677D1F">
        <w:rPr>
          <w:rFonts w:asciiTheme="minorEastAsia" w:hAnsiTheme="minorEastAsia" w:cs="宋体" w:hint="eastAsia"/>
          <w:color w:val="000000"/>
          <w:kern w:val="0"/>
          <w:sz w:val="24"/>
          <w:szCs w:val="24"/>
        </w:rPr>
        <w:t>。</w:t>
      </w:r>
    </w:p>
    <w:p w:rsidR="004D687F" w:rsidRPr="00677D1F" w:rsidRDefault="004D687F"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表13.2-1  经济指标一览表</w:t>
      </w:r>
    </w:p>
    <w:tbl>
      <w:tblPr>
        <w:tblStyle w:val="TableNormal"/>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2548"/>
        <w:gridCol w:w="3143"/>
        <w:gridCol w:w="2481"/>
      </w:tblGrid>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序号</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指标名称</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说明</w:t>
            </w:r>
          </w:p>
        </w:tc>
        <w:tc>
          <w:tcPr>
            <w:tcW w:w="2400" w:type="dxa"/>
            <w:vAlign w:val="center"/>
          </w:tcPr>
          <w:p w:rsidR="004D687F" w:rsidRPr="00677D1F" w:rsidRDefault="004D687F" w:rsidP="00677D1F">
            <w:pPr>
              <w:pStyle w:val="TableParagraph"/>
              <w:contextualSpacing/>
              <w:jc w:val="center"/>
              <w:rPr>
                <w:rFonts w:asciiTheme="minorEastAsia" w:eastAsiaTheme="minorEastAsia" w:hAnsiTheme="minorEastAsia"/>
                <w:b/>
                <w:sz w:val="21"/>
              </w:rPr>
            </w:pPr>
            <w:r w:rsidRPr="00677D1F">
              <w:rPr>
                <w:rFonts w:asciiTheme="minorEastAsia" w:eastAsiaTheme="minorEastAsia" w:hAnsiTheme="minorEastAsia" w:hint="eastAsia"/>
                <w:b/>
                <w:sz w:val="21"/>
              </w:rPr>
              <w:t>指标</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财务内部收益率</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全部投资</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税前</w:t>
            </w:r>
            <w:r w:rsidRPr="00677D1F">
              <w:rPr>
                <w:rFonts w:asciiTheme="minorEastAsia" w:eastAsiaTheme="minorEastAsia" w:hAnsiTheme="minorEastAsia"/>
                <w:sz w:val="21"/>
              </w:rPr>
              <w:t>)</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15.19%</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财务内部收益率</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全部投资</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税后</w:t>
            </w:r>
            <w:r w:rsidRPr="00677D1F">
              <w:rPr>
                <w:rFonts w:asciiTheme="minorEastAsia" w:eastAsiaTheme="minorEastAsia" w:hAnsiTheme="minorEastAsia"/>
                <w:sz w:val="21"/>
              </w:rPr>
              <w:t>)</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12.26%</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3</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财务内部收益率</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资本金</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15.74%</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4</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投资回收期</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全部投资</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税前</w:t>
            </w:r>
            <w:r w:rsidRPr="00677D1F">
              <w:rPr>
                <w:rFonts w:asciiTheme="minorEastAsia" w:eastAsiaTheme="minorEastAsia" w:hAnsiTheme="minorEastAsia"/>
                <w:sz w:val="21"/>
              </w:rPr>
              <w:t>)</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8.53</w:t>
            </w:r>
            <w:r w:rsidRPr="00677D1F">
              <w:rPr>
                <w:rFonts w:asciiTheme="minorEastAsia" w:eastAsiaTheme="minorEastAsia" w:hAnsiTheme="minorEastAsia" w:hint="eastAsia"/>
                <w:sz w:val="21"/>
              </w:rPr>
              <w:t>年</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5</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投资回收期</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全部投资</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税后</w:t>
            </w:r>
            <w:r w:rsidRPr="00677D1F">
              <w:rPr>
                <w:rFonts w:asciiTheme="minorEastAsia" w:eastAsiaTheme="minorEastAsia" w:hAnsiTheme="minorEastAsia"/>
                <w:sz w:val="21"/>
              </w:rPr>
              <w:t>)</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9.67</w:t>
            </w:r>
            <w:r w:rsidRPr="00677D1F">
              <w:rPr>
                <w:rFonts w:asciiTheme="minorEastAsia" w:eastAsiaTheme="minorEastAsia" w:hAnsiTheme="minorEastAsia" w:hint="eastAsia"/>
                <w:sz w:val="21"/>
              </w:rPr>
              <w:t>年</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lastRenderedPageBreak/>
              <w:t>6</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财务净现值</w:t>
            </w:r>
            <w:r w:rsidRPr="00677D1F">
              <w:rPr>
                <w:rFonts w:asciiTheme="minorEastAsia" w:eastAsiaTheme="minorEastAsia" w:hAnsiTheme="minorEastAsia"/>
                <w:sz w:val="21"/>
              </w:rPr>
              <w:t>(ic=12%)</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全部投资</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税前</w:t>
            </w:r>
            <w:r w:rsidRPr="00677D1F">
              <w:rPr>
                <w:rFonts w:asciiTheme="minorEastAsia" w:eastAsiaTheme="minorEastAsia" w:hAnsiTheme="minorEastAsia"/>
                <w:sz w:val="21"/>
              </w:rPr>
              <w:t>)</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206707</w:t>
            </w:r>
            <w:r w:rsidRPr="00677D1F">
              <w:rPr>
                <w:rFonts w:asciiTheme="minorEastAsia" w:eastAsiaTheme="minorEastAsia" w:hAnsiTheme="minorEastAsia" w:hint="eastAsia"/>
                <w:sz w:val="21"/>
              </w:rPr>
              <w:t>万元</w:t>
            </w:r>
          </w:p>
        </w:tc>
      </w:tr>
      <w:tr w:rsidR="004D687F" w:rsidRPr="00677D1F" w:rsidTr="004D687F">
        <w:trPr>
          <w:trHeight w:val="340"/>
          <w:jc w:val="center"/>
        </w:trPr>
        <w:tc>
          <w:tcPr>
            <w:tcW w:w="87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7</w:t>
            </w:r>
          </w:p>
        </w:tc>
        <w:tc>
          <w:tcPr>
            <w:tcW w:w="2465"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财务净现值</w:t>
            </w:r>
            <w:r w:rsidRPr="00677D1F">
              <w:rPr>
                <w:rFonts w:asciiTheme="minorEastAsia" w:eastAsiaTheme="minorEastAsia" w:hAnsiTheme="minorEastAsia"/>
                <w:sz w:val="21"/>
              </w:rPr>
              <w:t>(ic=12%)</w:t>
            </w:r>
          </w:p>
        </w:tc>
        <w:tc>
          <w:tcPr>
            <w:tcW w:w="3041" w:type="dxa"/>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hint="eastAsia"/>
                <w:sz w:val="21"/>
              </w:rPr>
              <w:t>全部投资</w:t>
            </w:r>
            <w:r w:rsidRPr="00677D1F">
              <w:rPr>
                <w:rFonts w:asciiTheme="minorEastAsia" w:eastAsiaTheme="minorEastAsia" w:hAnsiTheme="minorEastAsia"/>
                <w:sz w:val="21"/>
              </w:rPr>
              <w:t>(</w:t>
            </w:r>
            <w:r w:rsidRPr="00677D1F">
              <w:rPr>
                <w:rFonts w:asciiTheme="minorEastAsia" w:eastAsiaTheme="minorEastAsia" w:hAnsiTheme="minorEastAsia" w:hint="eastAsia"/>
                <w:sz w:val="21"/>
              </w:rPr>
              <w:t>税后</w:t>
            </w:r>
            <w:r w:rsidRPr="00677D1F">
              <w:rPr>
                <w:rFonts w:asciiTheme="minorEastAsia" w:eastAsiaTheme="minorEastAsia" w:hAnsiTheme="minorEastAsia"/>
                <w:sz w:val="21"/>
              </w:rPr>
              <w:t>)</w:t>
            </w:r>
          </w:p>
        </w:tc>
        <w:tc>
          <w:tcPr>
            <w:tcW w:w="2400" w:type="dxa"/>
            <w:tcBorders>
              <w:right w:val="single" w:sz="8" w:space="0" w:color="000000"/>
            </w:tcBorders>
            <w:vAlign w:val="center"/>
          </w:tcPr>
          <w:p w:rsidR="004D687F" w:rsidRPr="00677D1F" w:rsidRDefault="004D687F" w:rsidP="00677D1F">
            <w:pPr>
              <w:pStyle w:val="TableParagraph"/>
              <w:contextualSpacing/>
              <w:jc w:val="center"/>
              <w:rPr>
                <w:rFonts w:asciiTheme="minorEastAsia" w:eastAsiaTheme="minorEastAsia" w:hAnsiTheme="minorEastAsia"/>
                <w:sz w:val="21"/>
              </w:rPr>
            </w:pPr>
            <w:r w:rsidRPr="00677D1F">
              <w:rPr>
                <w:rFonts w:asciiTheme="minorEastAsia" w:eastAsiaTheme="minorEastAsia" w:hAnsiTheme="minorEastAsia"/>
                <w:sz w:val="21"/>
              </w:rPr>
              <w:t>15757</w:t>
            </w:r>
            <w:r w:rsidRPr="00677D1F">
              <w:rPr>
                <w:rFonts w:asciiTheme="minorEastAsia" w:eastAsiaTheme="minorEastAsia" w:hAnsiTheme="minorEastAsia" w:hint="eastAsia"/>
                <w:sz w:val="21"/>
              </w:rPr>
              <w:t>万元</w:t>
            </w:r>
          </w:p>
        </w:tc>
      </w:tr>
    </w:tbl>
    <w:p w:rsidR="004D687F" w:rsidRPr="00677D1F" w:rsidRDefault="004D687F" w:rsidP="00677D1F">
      <w:pPr>
        <w:widowControl/>
        <w:spacing w:line="240" w:lineRule="exact"/>
        <w:contextualSpacing/>
        <w:rPr>
          <w:rFonts w:ascii="宋体" w:eastAsia="宋体" w:hAnsi="宋体" w:cs="宋体"/>
          <w:kern w:val="0"/>
          <w:sz w:val="24"/>
          <w:szCs w:val="24"/>
        </w:rPr>
      </w:pP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算结果表明，本项目具有一定的盈利能力。</w:t>
      </w:r>
    </w:p>
    <w:p w:rsidR="004D687F" w:rsidRPr="00677D1F" w:rsidRDefault="004D687F"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13.2.3</w:t>
      </w:r>
      <w:r w:rsidRPr="00677D1F">
        <w:rPr>
          <w:rFonts w:ascii="宋体" w:hAnsi="宋体" w:hint="eastAsia"/>
          <w:sz w:val="28"/>
          <w:szCs w:val="28"/>
        </w:rPr>
        <w:t xml:space="preserve"> 不确定性分析</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盈亏平衡分析</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本项目生产各年的盈亏平衡点见表</w:t>
      </w:r>
      <w:r w:rsidRPr="00677D1F">
        <w:rPr>
          <w:rFonts w:asciiTheme="minorEastAsia" w:hAnsiTheme="minorEastAsia" w:cs="宋体"/>
          <w:color w:val="000000"/>
          <w:kern w:val="0"/>
          <w:sz w:val="24"/>
          <w:szCs w:val="24"/>
        </w:rPr>
        <w:t>13.2-2</w:t>
      </w:r>
      <w:r w:rsidRPr="00677D1F">
        <w:rPr>
          <w:rFonts w:asciiTheme="minorEastAsia" w:hAnsiTheme="minorEastAsia" w:cs="宋体" w:hint="eastAsia"/>
          <w:color w:val="000000"/>
          <w:kern w:val="0"/>
          <w:sz w:val="24"/>
          <w:szCs w:val="24"/>
        </w:rPr>
        <w:t>。</w:t>
      </w:r>
    </w:p>
    <w:p w:rsidR="004D687F" w:rsidRPr="00677D1F" w:rsidRDefault="004D687F" w:rsidP="00677D1F">
      <w:pPr>
        <w:widowControl/>
        <w:spacing w:line="360" w:lineRule="auto"/>
        <w:contextualSpacing/>
        <w:jc w:val="center"/>
        <w:textAlignment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表13.2-2  投产各年盈亏平衡点</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09"/>
        <w:gridCol w:w="1213"/>
        <w:gridCol w:w="1215"/>
        <w:gridCol w:w="1213"/>
        <w:gridCol w:w="1213"/>
        <w:gridCol w:w="1213"/>
        <w:gridCol w:w="1196"/>
      </w:tblGrid>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计算期</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年</w:t>
            </w:r>
            <w:r w:rsidRPr="00677D1F">
              <w:rPr>
                <w:rFonts w:asciiTheme="minorEastAsia" w:eastAsiaTheme="minorEastAsia" w:hAnsiTheme="minorEastAsia"/>
                <w:sz w:val="21"/>
                <w:szCs w:val="21"/>
              </w:rPr>
              <w:t>)</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9</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BEP</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88.2%</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76.2%</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75.7%</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74.0%</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72.2%</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70.3%</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计算期</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年</w:t>
            </w:r>
            <w:r w:rsidRPr="00677D1F">
              <w:rPr>
                <w:rFonts w:asciiTheme="minorEastAsia" w:eastAsiaTheme="minorEastAsia" w:hAnsiTheme="minorEastAsia"/>
                <w:sz w:val="21"/>
                <w:szCs w:val="21"/>
              </w:rPr>
              <w:t>)</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11</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14</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BEP</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68.3%</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66.1%</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66.1%</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66.1%</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计算期</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年</w:t>
            </w:r>
            <w:r w:rsidRPr="00677D1F">
              <w:rPr>
                <w:rFonts w:asciiTheme="minorEastAsia" w:eastAsiaTheme="minorEastAsia" w:hAnsiTheme="minorEastAsia"/>
                <w:sz w:val="21"/>
                <w:szCs w:val="21"/>
              </w:rPr>
              <w:t>)</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17</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19</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21</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BEP</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计算期</w:t>
            </w:r>
            <w:r w:rsidRPr="00677D1F">
              <w:rPr>
                <w:rFonts w:asciiTheme="minorEastAsia" w:eastAsiaTheme="minorEastAsia" w:hAnsiTheme="minorEastAsia"/>
                <w:sz w:val="21"/>
                <w:szCs w:val="21"/>
              </w:rPr>
              <w:t>(</w:t>
            </w:r>
            <w:r w:rsidRPr="00677D1F">
              <w:rPr>
                <w:rFonts w:asciiTheme="minorEastAsia" w:eastAsiaTheme="minorEastAsia" w:hAnsiTheme="minorEastAsia" w:hint="eastAsia"/>
                <w:sz w:val="21"/>
                <w:szCs w:val="21"/>
              </w:rPr>
              <w:t>年</w:t>
            </w:r>
            <w:r w:rsidRPr="00677D1F">
              <w:rPr>
                <w:rFonts w:asciiTheme="minorEastAsia" w:eastAsiaTheme="minorEastAsia" w:hAnsiTheme="minorEastAsia"/>
                <w:sz w:val="21"/>
                <w:szCs w:val="21"/>
              </w:rPr>
              <w:t>)</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23</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24</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25</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26</w:t>
            </w: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27</w:t>
            </w:r>
          </w:p>
        </w:tc>
      </w:tr>
      <w:tr w:rsidR="004D687F" w:rsidRPr="00677D1F" w:rsidTr="007A7E9B">
        <w:trPr>
          <w:trHeight w:val="340"/>
          <w:jc w:val="center"/>
        </w:trPr>
        <w:tc>
          <w:tcPr>
            <w:tcW w:w="1809"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BEP</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21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65.9%</w:t>
            </w: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p>
        </w:tc>
        <w:tc>
          <w:tcPr>
            <w:tcW w:w="121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p>
        </w:tc>
        <w:tc>
          <w:tcPr>
            <w:tcW w:w="119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p>
        </w:tc>
      </w:tr>
    </w:tbl>
    <w:p w:rsidR="004D687F" w:rsidRPr="00677D1F" w:rsidRDefault="004D687F" w:rsidP="00677D1F">
      <w:pPr>
        <w:widowControl/>
        <w:spacing w:line="240" w:lineRule="exact"/>
        <w:contextualSpacing/>
        <w:rPr>
          <w:rFonts w:ascii="仿宋" w:eastAsia="仿宋" w:hAnsi="仿宋" w:cs="宋体"/>
          <w:color w:val="000000"/>
          <w:kern w:val="0"/>
          <w:szCs w:val="21"/>
        </w:rPr>
      </w:pP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从计算结果可以看出，当项目的生产能力利用率达到盈亏平衡点时， 就可做到不亏不盈(即保本)；如果生产能力利用率大于盈亏平衡点，项目即可盈利，低于时项目就亏损。盈亏平衡点越低，表明项目适应市场变化的能力越大，抗风险能力越强。本项目的盈亏平衡点较低，表明项目能适应市场的变化，具有一定的抗风险能力，盈亏平衡分析见图</w:t>
      </w:r>
      <w:r w:rsidRPr="00677D1F">
        <w:rPr>
          <w:rFonts w:asciiTheme="minorEastAsia" w:hAnsiTheme="minorEastAsia" w:cs="宋体"/>
          <w:color w:val="000000"/>
          <w:kern w:val="0"/>
          <w:sz w:val="24"/>
          <w:szCs w:val="24"/>
        </w:rPr>
        <w:t>13.2-1</w:t>
      </w:r>
      <w:r w:rsidRPr="00677D1F">
        <w:rPr>
          <w:rFonts w:asciiTheme="minorEastAsia" w:hAnsiTheme="minorEastAsia" w:cs="宋体" w:hint="eastAsia"/>
          <w:color w:val="000000"/>
          <w:kern w:val="0"/>
          <w:sz w:val="24"/>
          <w:szCs w:val="24"/>
        </w:rPr>
        <w:t>。</w:t>
      </w:r>
    </w:p>
    <w:p w:rsidR="004D687F" w:rsidRPr="00677D1F" w:rsidRDefault="004D687F" w:rsidP="00677D1F">
      <w:pPr>
        <w:widowControl/>
        <w:contextualSpacing/>
        <w:jc w:val="center"/>
        <w:rPr>
          <w:rFonts w:ascii="宋体" w:eastAsia="宋体" w:hAnsi="宋体" w:cs="宋体"/>
          <w:kern w:val="0"/>
          <w:sz w:val="24"/>
          <w:szCs w:val="24"/>
        </w:rPr>
      </w:pPr>
      <w:r w:rsidRPr="00677D1F">
        <w:rPr>
          <w:noProof/>
          <w:sz w:val="20"/>
        </w:rPr>
        <w:drawing>
          <wp:inline distT="0" distB="0" distL="0" distR="0" wp14:anchorId="44AFA9EB" wp14:editId="22167B02">
            <wp:extent cx="4381995" cy="2379674"/>
            <wp:effectExtent l="0" t="0" r="0" b="1905"/>
            <wp:docPr id="11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01.png"/>
                    <pic:cNvPicPr>
                      <a:picLocks noChangeAspect="1"/>
                    </pic:cNvPicPr>
                  </pic:nvPicPr>
                  <pic:blipFill>
                    <a:blip r:embed="rId41" cstate="print"/>
                    <a:stretch>
                      <a:fillRect/>
                    </a:stretch>
                  </pic:blipFill>
                  <pic:spPr>
                    <a:xfrm>
                      <a:off x="0" y="0"/>
                      <a:ext cx="4385246" cy="2381439"/>
                    </a:xfrm>
                    <a:prstGeom prst="rect">
                      <a:avLst/>
                    </a:prstGeom>
                  </pic:spPr>
                </pic:pic>
              </a:graphicData>
            </a:graphic>
          </wp:inline>
        </w:drawing>
      </w:r>
    </w:p>
    <w:p w:rsidR="004D687F" w:rsidRPr="00677D1F" w:rsidRDefault="004D687F"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图</w:t>
      </w:r>
      <w:r w:rsidRPr="00677D1F">
        <w:rPr>
          <w:rFonts w:ascii="黑体" w:eastAsia="黑体" w:hAnsi="黑体" w:cs="宋体"/>
          <w:b/>
          <w:color w:val="000000"/>
          <w:kern w:val="0"/>
          <w:szCs w:val="21"/>
        </w:rPr>
        <w:t>13.2-1</w:t>
      </w:r>
      <w:r w:rsidRPr="00677D1F">
        <w:rPr>
          <w:rFonts w:ascii="黑体" w:eastAsia="黑体" w:hAnsi="黑体" w:cs="宋体" w:hint="eastAsia"/>
          <w:b/>
          <w:color w:val="000000"/>
          <w:kern w:val="0"/>
          <w:szCs w:val="21"/>
        </w:rPr>
        <w:t xml:space="preserve">  盈亏平衡分析图</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lastRenderedPageBreak/>
        <w:t>（2）</w:t>
      </w:r>
      <w:r w:rsidRPr="00677D1F">
        <w:rPr>
          <w:rFonts w:asciiTheme="minorEastAsia" w:hAnsiTheme="minorEastAsia" w:cs="宋体" w:hint="eastAsia"/>
          <w:color w:val="000000"/>
          <w:kern w:val="0"/>
          <w:sz w:val="24"/>
          <w:szCs w:val="24"/>
        </w:rPr>
        <w:t>敏感性分析</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的敏感性分析以建设投资、经营成本、销售价格这三个因素单独变化时对财务内部收益率的影响。从它们的升高或降低，分析财务内部收益率的影响程度，寻找较敏感因素，评价本项目的抗风险能力，分析详见表</w:t>
      </w:r>
      <w:r w:rsidRPr="00677D1F">
        <w:rPr>
          <w:rFonts w:asciiTheme="minorEastAsia" w:hAnsiTheme="minorEastAsia" w:cs="宋体"/>
          <w:color w:val="000000"/>
          <w:kern w:val="0"/>
          <w:sz w:val="24"/>
          <w:szCs w:val="24"/>
        </w:rPr>
        <w:t>13.2-3</w:t>
      </w:r>
      <w:r w:rsidRPr="00677D1F">
        <w:rPr>
          <w:rFonts w:asciiTheme="minorEastAsia" w:hAnsiTheme="minorEastAsia" w:cs="宋体" w:hint="eastAsia"/>
          <w:color w:val="000000"/>
          <w:kern w:val="0"/>
          <w:sz w:val="24"/>
          <w:szCs w:val="24"/>
        </w:rPr>
        <w:t>。</w:t>
      </w:r>
    </w:p>
    <w:p w:rsidR="004D687F" w:rsidRPr="00677D1F" w:rsidRDefault="004D687F"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表13.2-3  敏感性分析表</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6"/>
        <w:gridCol w:w="2280"/>
        <w:gridCol w:w="2530"/>
        <w:gridCol w:w="2826"/>
      </w:tblGrid>
      <w:tr w:rsidR="004D687F" w:rsidRPr="00677D1F" w:rsidTr="007A7E9B">
        <w:trPr>
          <w:trHeight w:val="340"/>
          <w:jc w:val="center"/>
        </w:trPr>
        <w:tc>
          <w:tcPr>
            <w:tcW w:w="1436" w:type="dxa"/>
            <w:vMerge w:val="restart"/>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不确定因素变化率</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建设投资</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经营成本</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销售价格</w:t>
            </w:r>
          </w:p>
        </w:tc>
      </w:tr>
      <w:tr w:rsidR="004D687F" w:rsidRPr="00677D1F" w:rsidTr="007A7E9B">
        <w:trPr>
          <w:trHeight w:val="340"/>
          <w:jc w:val="center"/>
        </w:trPr>
        <w:tc>
          <w:tcPr>
            <w:tcW w:w="1436" w:type="dxa"/>
            <w:vMerge/>
            <w:vAlign w:val="center"/>
          </w:tcPr>
          <w:p w:rsidR="004D687F" w:rsidRPr="00677D1F" w:rsidRDefault="004D687F" w:rsidP="00677D1F">
            <w:pPr>
              <w:contextualSpacing/>
              <w:jc w:val="center"/>
              <w:rPr>
                <w:rFonts w:asciiTheme="minorEastAsia" w:hAnsiTheme="minorEastAsia"/>
                <w:kern w:val="0"/>
                <w:szCs w:val="21"/>
              </w:rPr>
            </w:pP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财务内部收益率</w:t>
            </w:r>
            <w:r w:rsidRPr="00677D1F">
              <w:rPr>
                <w:rFonts w:asciiTheme="minorEastAsia" w:eastAsiaTheme="minorEastAsia" w:hAnsiTheme="minorEastAsia"/>
                <w:b/>
                <w:sz w:val="21"/>
                <w:szCs w:val="21"/>
              </w:rPr>
              <w:t>(%)</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财务内部收益率</w:t>
            </w:r>
            <w:r w:rsidRPr="00677D1F">
              <w:rPr>
                <w:rFonts w:asciiTheme="minorEastAsia" w:eastAsiaTheme="minorEastAsia" w:hAnsiTheme="minorEastAsia"/>
                <w:b/>
                <w:sz w:val="21"/>
                <w:szCs w:val="21"/>
              </w:rPr>
              <w:t>(%)</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财务内部收益率</w:t>
            </w:r>
            <w:r w:rsidRPr="00677D1F">
              <w:rPr>
                <w:rFonts w:asciiTheme="minorEastAsia" w:eastAsiaTheme="minorEastAsia" w:hAnsiTheme="minorEastAsia"/>
                <w:b/>
                <w:sz w:val="21"/>
                <w:szCs w:val="21"/>
              </w:rPr>
              <w:t>(%)</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10.4%</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3.2%</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19.8%</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10.9%</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6.0%</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18.2%</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11.5%</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8.5%</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16.5%</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12.1%</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10.7%</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14.7%</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12.3%</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12.3%</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13.4%</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13.5%</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14.7%</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10.8%</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14.2%</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16.6%</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8.6%</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15.0%</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18.3%</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6.2%</w:t>
            </w:r>
          </w:p>
        </w:tc>
      </w:tr>
      <w:tr w:rsidR="004D687F" w:rsidRPr="00677D1F" w:rsidTr="007A7E9B">
        <w:trPr>
          <w:trHeight w:val="340"/>
          <w:jc w:val="center"/>
        </w:trPr>
        <w:tc>
          <w:tcPr>
            <w:tcW w:w="143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w:t>
            </w:r>
          </w:p>
        </w:tc>
        <w:tc>
          <w:tcPr>
            <w:tcW w:w="228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15.8%</w:t>
            </w:r>
          </w:p>
        </w:tc>
        <w:tc>
          <w:tcPr>
            <w:tcW w:w="253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20.0%</w:t>
            </w:r>
          </w:p>
        </w:tc>
        <w:tc>
          <w:tcPr>
            <w:tcW w:w="2826"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3.4%</w:t>
            </w:r>
          </w:p>
        </w:tc>
      </w:tr>
    </w:tbl>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敏感度系数是项目效益指标变化的百分率与不确定因素变化的百分率之比。经过计算，本项目敏感度系数结果如表13.2-4所示。</w:t>
      </w:r>
    </w:p>
    <w:p w:rsidR="004D687F" w:rsidRPr="00677D1F" w:rsidRDefault="004D687F"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表13.2-4  项目敏感度系数表</w:t>
      </w:r>
    </w:p>
    <w:tbl>
      <w:tblPr>
        <w:tblStyle w:val="TableNormal"/>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92"/>
        <w:gridCol w:w="1295"/>
        <w:gridCol w:w="1300"/>
        <w:gridCol w:w="1777"/>
        <w:gridCol w:w="1543"/>
        <w:gridCol w:w="1865"/>
      </w:tblGrid>
      <w:tr w:rsidR="004D687F" w:rsidRPr="00677D1F" w:rsidTr="007A7E9B">
        <w:trPr>
          <w:trHeight w:val="340"/>
          <w:jc w:val="center"/>
        </w:trPr>
        <w:tc>
          <w:tcPr>
            <w:tcW w:w="1292" w:type="dxa"/>
            <w:vMerge w:val="restart"/>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变动趋势</w:t>
            </w:r>
          </w:p>
        </w:tc>
        <w:tc>
          <w:tcPr>
            <w:tcW w:w="2595" w:type="dxa"/>
            <w:gridSpan w:val="2"/>
            <w:vMerge w:val="restart"/>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变动区间</w:t>
            </w:r>
          </w:p>
        </w:tc>
        <w:tc>
          <w:tcPr>
            <w:tcW w:w="5185" w:type="dxa"/>
            <w:gridSpan w:val="3"/>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变动因素</w:t>
            </w:r>
          </w:p>
        </w:tc>
      </w:tr>
      <w:tr w:rsidR="004D687F" w:rsidRPr="00677D1F" w:rsidTr="007A7E9B">
        <w:trPr>
          <w:trHeight w:val="340"/>
          <w:jc w:val="center"/>
        </w:trPr>
        <w:tc>
          <w:tcPr>
            <w:tcW w:w="1292" w:type="dxa"/>
            <w:vMerge/>
            <w:vAlign w:val="center"/>
          </w:tcPr>
          <w:p w:rsidR="004D687F" w:rsidRPr="00677D1F" w:rsidRDefault="004D687F" w:rsidP="00677D1F">
            <w:pPr>
              <w:contextualSpacing/>
              <w:jc w:val="center"/>
              <w:rPr>
                <w:rFonts w:asciiTheme="minorEastAsia" w:hAnsiTheme="minorEastAsia"/>
                <w:kern w:val="0"/>
                <w:szCs w:val="21"/>
              </w:rPr>
            </w:pPr>
          </w:p>
        </w:tc>
        <w:tc>
          <w:tcPr>
            <w:tcW w:w="2595" w:type="dxa"/>
            <w:gridSpan w:val="2"/>
            <w:vMerge/>
            <w:vAlign w:val="center"/>
          </w:tcPr>
          <w:p w:rsidR="004D687F" w:rsidRPr="00677D1F" w:rsidRDefault="004D687F" w:rsidP="00677D1F">
            <w:pPr>
              <w:contextualSpacing/>
              <w:jc w:val="center"/>
              <w:rPr>
                <w:rFonts w:asciiTheme="minorEastAsia" w:hAnsiTheme="minorEastAsia"/>
                <w:kern w:val="0"/>
                <w:szCs w:val="21"/>
              </w:rPr>
            </w:pP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建设投资</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经营成本</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b/>
                <w:sz w:val="21"/>
                <w:szCs w:val="21"/>
              </w:rPr>
            </w:pPr>
            <w:r w:rsidRPr="00677D1F">
              <w:rPr>
                <w:rFonts w:asciiTheme="minorEastAsia" w:eastAsiaTheme="minorEastAsia" w:hAnsiTheme="minorEastAsia" w:hint="eastAsia"/>
                <w:b/>
                <w:sz w:val="21"/>
                <w:szCs w:val="21"/>
              </w:rPr>
              <w:t>销售价格</w:t>
            </w:r>
          </w:p>
        </w:tc>
      </w:tr>
      <w:tr w:rsidR="004D687F" w:rsidRPr="00677D1F" w:rsidTr="007A7E9B">
        <w:trPr>
          <w:trHeight w:val="340"/>
          <w:jc w:val="center"/>
        </w:trPr>
        <w:tc>
          <w:tcPr>
            <w:tcW w:w="1292" w:type="dxa"/>
            <w:vMerge w:val="restart"/>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增加</w:t>
            </w:r>
          </w:p>
        </w:tc>
        <w:tc>
          <w:tcPr>
            <w:tcW w:w="129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w:t>
            </w:r>
          </w:p>
        </w:tc>
        <w:tc>
          <w:tcPr>
            <w:tcW w:w="130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-0.22</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-2.53</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1.89</w:t>
            </w:r>
          </w:p>
        </w:tc>
      </w:tr>
      <w:tr w:rsidR="004D687F" w:rsidRPr="00677D1F" w:rsidTr="007A7E9B">
        <w:trPr>
          <w:trHeight w:val="340"/>
          <w:jc w:val="center"/>
        </w:trPr>
        <w:tc>
          <w:tcPr>
            <w:tcW w:w="1292" w:type="dxa"/>
            <w:vMerge/>
            <w:vAlign w:val="center"/>
          </w:tcPr>
          <w:p w:rsidR="004D687F" w:rsidRPr="00677D1F" w:rsidRDefault="004D687F" w:rsidP="00677D1F">
            <w:pPr>
              <w:contextualSpacing/>
              <w:jc w:val="center"/>
              <w:rPr>
                <w:rFonts w:asciiTheme="minorEastAsia" w:hAnsiTheme="minorEastAsia"/>
                <w:kern w:val="0"/>
                <w:szCs w:val="21"/>
              </w:rPr>
            </w:pPr>
          </w:p>
        </w:tc>
        <w:tc>
          <w:tcPr>
            <w:tcW w:w="129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130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-1.07</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-4.39</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2.55</w:t>
            </w:r>
          </w:p>
        </w:tc>
      </w:tr>
      <w:tr w:rsidR="004D687F" w:rsidRPr="00677D1F" w:rsidTr="007A7E9B">
        <w:trPr>
          <w:trHeight w:val="340"/>
          <w:jc w:val="center"/>
        </w:trPr>
        <w:tc>
          <w:tcPr>
            <w:tcW w:w="1292" w:type="dxa"/>
            <w:vMerge/>
            <w:vAlign w:val="center"/>
          </w:tcPr>
          <w:p w:rsidR="004D687F" w:rsidRPr="00677D1F" w:rsidRDefault="004D687F" w:rsidP="00677D1F">
            <w:pPr>
              <w:contextualSpacing/>
              <w:jc w:val="center"/>
              <w:rPr>
                <w:rFonts w:asciiTheme="minorEastAsia" w:hAnsiTheme="minorEastAsia"/>
                <w:kern w:val="0"/>
                <w:szCs w:val="21"/>
              </w:rPr>
            </w:pPr>
          </w:p>
        </w:tc>
        <w:tc>
          <w:tcPr>
            <w:tcW w:w="2595" w:type="dxa"/>
            <w:gridSpan w:val="2"/>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平均</w:t>
            </w: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-0.64</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-3.46</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2.22</w:t>
            </w:r>
          </w:p>
        </w:tc>
      </w:tr>
      <w:tr w:rsidR="004D687F" w:rsidRPr="00677D1F" w:rsidTr="007A7E9B">
        <w:trPr>
          <w:trHeight w:val="340"/>
          <w:jc w:val="center"/>
        </w:trPr>
        <w:tc>
          <w:tcPr>
            <w:tcW w:w="1292" w:type="dxa"/>
            <w:vMerge w:val="restart"/>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减少</w:t>
            </w:r>
          </w:p>
        </w:tc>
        <w:tc>
          <w:tcPr>
            <w:tcW w:w="129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0</w:t>
            </w:r>
          </w:p>
        </w:tc>
        <w:tc>
          <w:tcPr>
            <w:tcW w:w="130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-1.97</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-4.02</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3.95</w:t>
            </w:r>
          </w:p>
        </w:tc>
      </w:tr>
      <w:tr w:rsidR="004D687F" w:rsidRPr="00677D1F" w:rsidTr="007A7E9B">
        <w:trPr>
          <w:trHeight w:val="340"/>
          <w:jc w:val="center"/>
        </w:trPr>
        <w:tc>
          <w:tcPr>
            <w:tcW w:w="1292" w:type="dxa"/>
            <w:vMerge/>
            <w:vAlign w:val="center"/>
          </w:tcPr>
          <w:p w:rsidR="004D687F" w:rsidRPr="00677D1F" w:rsidRDefault="004D687F" w:rsidP="00677D1F">
            <w:pPr>
              <w:contextualSpacing/>
              <w:jc w:val="center"/>
              <w:rPr>
                <w:rFonts w:asciiTheme="minorEastAsia" w:hAnsiTheme="minorEastAsia"/>
                <w:kern w:val="0"/>
                <w:szCs w:val="21"/>
              </w:rPr>
            </w:pPr>
          </w:p>
        </w:tc>
        <w:tc>
          <w:tcPr>
            <w:tcW w:w="129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-5%</w:t>
            </w:r>
          </w:p>
        </w:tc>
        <w:tc>
          <w:tcPr>
            <w:tcW w:w="1300"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w:t>
            </w: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-1.03</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-2.37</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3.87</w:t>
            </w:r>
          </w:p>
        </w:tc>
      </w:tr>
      <w:tr w:rsidR="004D687F" w:rsidRPr="00677D1F" w:rsidTr="007A7E9B">
        <w:trPr>
          <w:trHeight w:val="340"/>
          <w:jc w:val="center"/>
        </w:trPr>
        <w:tc>
          <w:tcPr>
            <w:tcW w:w="1292" w:type="dxa"/>
            <w:vMerge/>
            <w:vAlign w:val="center"/>
          </w:tcPr>
          <w:p w:rsidR="004D687F" w:rsidRPr="00677D1F" w:rsidRDefault="004D687F" w:rsidP="00677D1F">
            <w:pPr>
              <w:contextualSpacing/>
              <w:jc w:val="center"/>
              <w:rPr>
                <w:rFonts w:asciiTheme="minorEastAsia" w:hAnsiTheme="minorEastAsia"/>
                <w:kern w:val="0"/>
                <w:szCs w:val="21"/>
              </w:rPr>
            </w:pPr>
          </w:p>
        </w:tc>
        <w:tc>
          <w:tcPr>
            <w:tcW w:w="2595" w:type="dxa"/>
            <w:gridSpan w:val="2"/>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hint="eastAsia"/>
                <w:sz w:val="21"/>
                <w:szCs w:val="21"/>
              </w:rPr>
              <w:t>平均</w:t>
            </w:r>
          </w:p>
        </w:tc>
        <w:tc>
          <w:tcPr>
            <w:tcW w:w="1777"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-1.50</w:t>
            </w:r>
          </w:p>
        </w:tc>
        <w:tc>
          <w:tcPr>
            <w:tcW w:w="1543"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-3.20</w:t>
            </w:r>
          </w:p>
        </w:tc>
        <w:tc>
          <w:tcPr>
            <w:tcW w:w="1865" w:type="dxa"/>
            <w:vAlign w:val="center"/>
          </w:tcPr>
          <w:p w:rsidR="004D687F" w:rsidRPr="00677D1F" w:rsidRDefault="004D687F" w:rsidP="00677D1F">
            <w:pPr>
              <w:pStyle w:val="TableParagraph"/>
              <w:contextualSpacing/>
              <w:jc w:val="center"/>
              <w:rPr>
                <w:rFonts w:asciiTheme="minorEastAsia" w:eastAsiaTheme="minorEastAsia" w:hAnsiTheme="minorEastAsia"/>
                <w:sz w:val="21"/>
                <w:szCs w:val="21"/>
              </w:rPr>
            </w:pPr>
            <w:r w:rsidRPr="00677D1F">
              <w:rPr>
                <w:rFonts w:asciiTheme="minorEastAsia" w:eastAsiaTheme="minorEastAsia" w:hAnsiTheme="minorEastAsia"/>
                <w:sz w:val="21"/>
                <w:szCs w:val="21"/>
              </w:rPr>
              <w:t>3.91</w:t>
            </w:r>
          </w:p>
        </w:tc>
      </w:tr>
    </w:tbl>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通过敏感度系数表可以看出，产品的销售价格变化对企业财务内部收益率影响最大，其次是经营成本，再次是销售量和建设投资。为了使项目更好地发挥经济效益，企业应搞好产品的营销和节能降耗，最终达到降低项目成本费用的目的，是保持项目经济效益的关键。</w:t>
      </w:r>
    </w:p>
    <w:p w:rsidR="004D687F" w:rsidRPr="00677D1F" w:rsidRDefault="004D687F"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lastRenderedPageBreak/>
        <w:t>13.2.4</w:t>
      </w:r>
      <w:r w:rsidRPr="00677D1F">
        <w:rPr>
          <w:rFonts w:ascii="宋体" w:hAnsi="宋体" w:hint="eastAsia"/>
          <w:sz w:val="28"/>
          <w:szCs w:val="28"/>
        </w:rPr>
        <w:t xml:space="preserve"> 财务评价结论</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本项目建成后，预计可实现年平均利润总额为11324万元，项目达产年平均应纳所得税为28310万元，财务净现值</w:t>
      </w:r>
      <w:r w:rsidRPr="00677D1F">
        <w:rPr>
          <w:rFonts w:asciiTheme="minorEastAsia" w:hAnsiTheme="minorEastAsia" w:cs="宋体"/>
          <w:color w:val="000000"/>
          <w:kern w:val="0"/>
          <w:sz w:val="24"/>
          <w:szCs w:val="24"/>
        </w:rPr>
        <w:t>（I=1</w:t>
      </w:r>
      <w:r w:rsidRPr="00677D1F">
        <w:rPr>
          <w:rFonts w:asciiTheme="minorEastAsia" w:hAnsiTheme="minorEastAsia" w:cs="宋体" w:hint="eastAsia"/>
          <w:color w:val="000000"/>
          <w:kern w:val="0"/>
          <w:sz w:val="24"/>
          <w:szCs w:val="24"/>
        </w:rPr>
        <w:t>2</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税后</w:t>
      </w:r>
      <w:r w:rsidRPr="00677D1F">
        <w:rPr>
          <w:rFonts w:asciiTheme="minorEastAsia" w:hAnsiTheme="minorEastAsia" w:cs="宋体"/>
          <w:color w:val="000000"/>
          <w:kern w:val="0"/>
          <w:sz w:val="24"/>
          <w:szCs w:val="24"/>
        </w:rPr>
        <w:t>15757</w:t>
      </w:r>
      <w:r w:rsidRPr="00677D1F">
        <w:rPr>
          <w:rFonts w:asciiTheme="minorEastAsia" w:hAnsiTheme="minorEastAsia" w:cs="宋体" w:hint="eastAsia"/>
          <w:color w:val="000000"/>
          <w:kern w:val="0"/>
          <w:sz w:val="24"/>
          <w:szCs w:val="24"/>
        </w:rPr>
        <w:t>万元。</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项目财务内部收益率为</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2.26</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，投资回收期为</w:t>
      </w:r>
      <w:r w:rsidRPr="00677D1F">
        <w:rPr>
          <w:rFonts w:asciiTheme="minorEastAsia" w:hAnsiTheme="minorEastAsia" w:cs="宋体"/>
          <w:color w:val="000000"/>
          <w:kern w:val="0"/>
          <w:sz w:val="24"/>
          <w:szCs w:val="24"/>
        </w:rPr>
        <w:t>9.</w:t>
      </w:r>
      <w:r w:rsidRPr="00677D1F">
        <w:rPr>
          <w:rFonts w:asciiTheme="minorEastAsia" w:hAnsiTheme="minorEastAsia" w:cs="宋体" w:hint="eastAsia"/>
          <w:color w:val="000000"/>
          <w:kern w:val="0"/>
          <w:sz w:val="24"/>
          <w:szCs w:val="24"/>
        </w:rPr>
        <w:t>67年，与行业平均盈利指标相比，项目计算指标较好，项目的盈利较好。通过对项目的财务不确定性分析和敏感性分析，项目具有较强的抗风险能力。</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综上所述，项目在财务上是可行的。</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13.</w:t>
      </w:r>
      <w:r w:rsidRPr="00677D1F">
        <w:rPr>
          <w:rFonts w:ascii="宋体" w:hAnsi="宋体" w:hint="eastAsia"/>
          <w:bCs w:val="0"/>
          <w:kern w:val="2"/>
          <w:sz w:val="30"/>
          <w:szCs w:val="30"/>
        </w:rPr>
        <w:t>3 环境经济效益分析</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13.</w:t>
      </w:r>
      <w:r w:rsidRPr="00677D1F">
        <w:rPr>
          <w:rFonts w:ascii="宋体" w:hAnsi="宋体" w:hint="eastAsia"/>
          <w:sz w:val="28"/>
          <w:szCs w:val="28"/>
        </w:rPr>
        <w:t>3</w:t>
      </w:r>
      <w:r w:rsidRPr="00677D1F">
        <w:rPr>
          <w:rFonts w:ascii="宋体" w:hAnsi="宋体"/>
          <w:sz w:val="28"/>
          <w:szCs w:val="28"/>
        </w:rPr>
        <w:t>.1</w:t>
      </w:r>
      <w:r w:rsidRPr="00677D1F">
        <w:rPr>
          <w:rFonts w:ascii="宋体" w:hAnsi="宋体" w:hint="eastAsia"/>
          <w:sz w:val="28"/>
          <w:szCs w:val="28"/>
        </w:rPr>
        <w:t xml:space="preserve"> 环保投资</w:t>
      </w:r>
    </w:p>
    <w:p w:rsidR="00D228BE" w:rsidRPr="00677D1F" w:rsidRDefault="00332EB6" w:rsidP="00677D1F">
      <w:pPr>
        <w:widowControl/>
        <w:spacing w:line="360" w:lineRule="auto"/>
        <w:ind w:firstLineChars="200" w:firstLine="480"/>
        <w:contextualSpacing/>
        <w:rPr>
          <w:sz w:val="24"/>
          <w:szCs w:val="24"/>
        </w:rPr>
      </w:pPr>
      <w:r w:rsidRPr="00677D1F">
        <w:rPr>
          <w:rFonts w:hint="eastAsia"/>
          <w:sz w:val="24"/>
          <w:szCs w:val="24"/>
        </w:rPr>
        <w:t>依据《建设项目环境保护设计规定》，环保设施划分的基本原则是：凡属于污染治理环境保护所需的设施、装置和工程设施，属生产工艺需要又为环境保护服务的设施，为保证生产有良好环境所采取的防尘、绿化设施均属环保设施。本工程环保设施内容及投资估算见表</w:t>
      </w:r>
      <w:r w:rsidRPr="00677D1F">
        <w:rPr>
          <w:rFonts w:hint="eastAsia"/>
          <w:sz w:val="24"/>
          <w:szCs w:val="24"/>
        </w:rPr>
        <w:t>13</w:t>
      </w:r>
      <w:r w:rsidRPr="00677D1F">
        <w:rPr>
          <w:sz w:val="24"/>
          <w:szCs w:val="24"/>
        </w:rPr>
        <w:t>.</w:t>
      </w:r>
      <w:r w:rsidRPr="00677D1F">
        <w:rPr>
          <w:rFonts w:hint="eastAsia"/>
          <w:sz w:val="24"/>
          <w:szCs w:val="24"/>
        </w:rPr>
        <w:t>3</w:t>
      </w:r>
      <w:r w:rsidRPr="00677D1F">
        <w:rPr>
          <w:sz w:val="24"/>
          <w:szCs w:val="24"/>
        </w:rPr>
        <w:t>-1</w:t>
      </w:r>
      <w:r w:rsidRPr="00677D1F">
        <w:rPr>
          <w:rFonts w:hint="eastAsia"/>
          <w:sz w:val="24"/>
          <w:szCs w:val="24"/>
        </w:rPr>
        <w:t>。</w:t>
      </w:r>
    </w:p>
    <w:p w:rsidR="00D228BE" w:rsidRPr="00677D1F" w:rsidRDefault="00332EB6" w:rsidP="00677D1F">
      <w:pPr>
        <w:widowControl/>
        <w:spacing w:line="360" w:lineRule="auto"/>
        <w:contextualSpacing/>
        <w:jc w:val="center"/>
        <w:textAlignment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表13</w:t>
      </w:r>
      <w:r w:rsidRPr="00677D1F">
        <w:rPr>
          <w:rFonts w:ascii="黑体" w:eastAsia="黑体" w:hAnsi="黑体" w:cs="宋体"/>
          <w:b/>
          <w:color w:val="000000"/>
          <w:kern w:val="0"/>
          <w:szCs w:val="21"/>
        </w:rPr>
        <w:t>.</w:t>
      </w:r>
      <w:r w:rsidRPr="00677D1F">
        <w:rPr>
          <w:rFonts w:ascii="黑体" w:eastAsia="黑体" w:hAnsi="黑体" w:cs="宋体" w:hint="eastAsia"/>
          <w:b/>
          <w:color w:val="000000"/>
          <w:kern w:val="0"/>
          <w:szCs w:val="21"/>
        </w:rPr>
        <w:t>3</w:t>
      </w:r>
      <w:r w:rsidRPr="00677D1F">
        <w:rPr>
          <w:rFonts w:ascii="黑体" w:eastAsia="黑体" w:hAnsi="黑体" w:cs="宋体"/>
          <w:b/>
          <w:color w:val="000000"/>
          <w:kern w:val="0"/>
          <w:szCs w:val="21"/>
        </w:rPr>
        <w:t xml:space="preserve">-1  </w:t>
      </w:r>
      <w:r w:rsidRPr="00677D1F">
        <w:rPr>
          <w:rFonts w:ascii="黑体" w:eastAsia="黑体" w:hAnsi="黑体" w:cs="宋体" w:hint="eastAsia"/>
          <w:b/>
          <w:color w:val="000000"/>
          <w:kern w:val="0"/>
          <w:szCs w:val="21"/>
        </w:rPr>
        <w:t>环保投资情况一览表</w:t>
      </w:r>
    </w:p>
    <w:tbl>
      <w:tblPr>
        <w:tblW w:w="90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4"/>
        <w:gridCol w:w="2520"/>
        <w:gridCol w:w="3969"/>
        <w:gridCol w:w="1240"/>
      </w:tblGrid>
      <w:tr w:rsidR="00D228BE" w:rsidRPr="00677D1F">
        <w:trPr>
          <w:trHeight w:val="340"/>
        </w:trPr>
        <w:tc>
          <w:tcPr>
            <w:tcW w:w="1274" w:type="dxa"/>
            <w:tcBorders>
              <w:top w:val="single" w:sz="4" w:space="0" w:color="auto"/>
              <w:left w:val="single" w:sz="4" w:space="0" w:color="auto"/>
              <w:bottom w:val="single" w:sz="6" w:space="0" w:color="auto"/>
              <w:right w:val="single" w:sz="6" w:space="0" w:color="auto"/>
            </w:tcBorders>
            <w:vAlign w:val="center"/>
          </w:tcPr>
          <w:p w:rsidR="00D228BE" w:rsidRPr="00677D1F" w:rsidRDefault="00332EB6" w:rsidP="00677D1F">
            <w:pPr>
              <w:contextualSpacing/>
              <w:jc w:val="center"/>
              <w:rPr>
                <w:b/>
                <w:bCs/>
                <w:szCs w:val="21"/>
              </w:rPr>
            </w:pPr>
            <w:r w:rsidRPr="00677D1F">
              <w:rPr>
                <w:rFonts w:hint="eastAsia"/>
                <w:b/>
                <w:bCs/>
              </w:rPr>
              <w:t>工程阶段</w:t>
            </w:r>
          </w:p>
        </w:tc>
        <w:tc>
          <w:tcPr>
            <w:tcW w:w="2520" w:type="dxa"/>
            <w:tcBorders>
              <w:top w:val="single" w:sz="4" w:space="0" w:color="auto"/>
              <w:left w:val="single" w:sz="6" w:space="0" w:color="auto"/>
              <w:bottom w:val="single" w:sz="6" w:space="0" w:color="auto"/>
              <w:right w:val="single" w:sz="6" w:space="0" w:color="auto"/>
            </w:tcBorders>
            <w:vAlign w:val="center"/>
          </w:tcPr>
          <w:p w:rsidR="00D228BE" w:rsidRPr="00677D1F" w:rsidRDefault="00332EB6" w:rsidP="00677D1F">
            <w:pPr>
              <w:contextualSpacing/>
              <w:jc w:val="center"/>
              <w:rPr>
                <w:b/>
                <w:bCs/>
                <w:szCs w:val="21"/>
              </w:rPr>
            </w:pPr>
            <w:r w:rsidRPr="00677D1F">
              <w:rPr>
                <w:rFonts w:hint="eastAsia"/>
                <w:b/>
                <w:bCs/>
              </w:rPr>
              <w:t>污染源</w:t>
            </w:r>
          </w:p>
        </w:tc>
        <w:tc>
          <w:tcPr>
            <w:tcW w:w="3969" w:type="dxa"/>
            <w:tcBorders>
              <w:top w:val="single" w:sz="4" w:space="0" w:color="auto"/>
              <w:left w:val="single" w:sz="6" w:space="0" w:color="auto"/>
              <w:bottom w:val="single" w:sz="6" w:space="0" w:color="auto"/>
              <w:right w:val="single" w:sz="6" w:space="0" w:color="auto"/>
            </w:tcBorders>
            <w:vAlign w:val="center"/>
          </w:tcPr>
          <w:p w:rsidR="00D228BE" w:rsidRPr="00677D1F" w:rsidRDefault="00332EB6" w:rsidP="00677D1F">
            <w:pPr>
              <w:contextualSpacing/>
              <w:jc w:val="center"/>
              <w:rPr>
                <w:b/>
                <w:bCs/>
                <w:szCs w:val="21"/>
              </w:rPr>
            </w:pPr>
            <w:r w:rsidRPr="00677D1F">
              <w:rPr>
                <w:rFonts w:hint="eastAsia"/>
                <w:b/>
                <w:bCs/>
              </w:rPr>
              <w:t>环保设施</w:t>
            </w:r>
          </w:p>
        </w:tc>
        <w:tc>
          <w:tcPr>
            <w:tcW w:w="1240" w:type="dxa"/>
            <w:tcBorders>
              <w:top w:val="single" w:sz="4" w:space="0" w:color="auto"/>
              <w:left w:val="single" w:sz="6" w:space="0" w:color="auto"/>
              <w:bottom w:val="single" w:sz="6"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投资</w:t>
            </w:r>
          </w:p>
        </w:tc>
      </w:tr>
      <w:tr w:rsidR="00D228BE" w:rsidRPr="00677D1F">
        <w:trPr>
          <w:trHeight w:val="340"/>
        </w:trPr>
        <w:tc>
          <w:tcPr>
            <w:tcW w:w="1274" w:type="dxa"/>
            <w:tcBorders>
              <w:top w:val="single" w:sz="6" w:space="0" w:color="auto"/>
              <w:left w:val="single" w:sz="4" w:space="0" w:color="auto"/>
              <w:bottom w:val="single" w:sz="6" w:space="0" w:color="auto"/>
              <w:right w:val="single" w:sz="6" w:space="0" w:color="auto"/>
            </w:tcBorders>
            <w:vAlign w:val="center"/>
          </w:tcPr>
          <w:p w:rsidR="00D228BE" w:rsidRPr="00677D1F" w:rsidRDefault="00332EB6" w:rsidP="00677D1F">
            <w:pPr>
              <w:contextualSpacing/>
              <w:jc w:val="center"/>
              <w:rPr>
                <w:szCs w:val="21"/>
              </w:rPr>
            </w:pPr>
            <w:r w:rsidRPr="00677D1F">
              <w:rPr>
                <w:rFonts w:hint="eastAsia"/>
              </w:rPr>
              <w:t>施工期</w:t>
            </w:r>
          </w:p>
        </w:tc>
        <w:tc>
          <w:tcPr>
            <w:tcW w:w="2520" w:type="dxa"/>
            <w:tcBorders>
              <w:top w:val="single" w:sz="6" w:space="0" w:color="auto"/>
              <w:left w:val="single" w:sz="6" w:space="0" w:color="auto"/>
              <w:bottom w:val="single" w:sz="6" w:space="0" w:color="auto"/>
              <w:right w:val="single" w:sz="6" w:space="0" w:color="auto"/>
            </w:tcBorders>
            <w:vAlign w:val="center"/>
          </w:tcPr>
          <w:p w:rsidR="00D228BE" w:rsidRPr="00677D1F" w:rsidRDefault="00332EB6" w:rsidP="00677D1F">
            <w:pPr>
              <w:contextualSpacing/>
              <w:jc w:val="center"/>
              <w:rPr>
                <w:szCs w:val="21"/>
              </w:rPr>
            </w:pPr>
            <w:r w:rsidRPr="00677D1F">
              <w:rPr>
                <w:rFonts w:hint="eastAsia"/>
              </w:rPr>
              <w:t>施工场地</w:t>
            </w:r>
          </w:p>
        </w:tc>
        <w:tc>
          <w:tcPr>
            <w:tcW w:w="3969" w:type="dxa"/>
            <w:tcBorders>
              <w:top w:val="single" w:sz="6" w:space="0" w:color="auto"/>
              <w:left w:val="single" w:sz="6" w:space="0" w:color="auto"/>
              <w:bottom w:val="single" w:sz="6" w:space="0" w:color="auto"/>
              <w:right w:val="single" w:sz="6" w:space="0" w:color="auto"/>
            </w:tcBorders>
            <w:vAlign w:val="center"/>
          </w:tcPr>
          <w:p w:rsidR="00D228BE" w:rsidRPr="00677D1F" w:rsidRDefault="00332EB6" w:rsidP="00677D1F">
            <w:pPr>
              <w:contextualSpacing/>
              <w:jc w:val="center"/>
              <w:rPr>
                <w:szCs w:val="21"/>
              </w:rPr>
            </w:pPr>
            <w:r w:rsidRPr="00677D1F">
              <w:rPr>
                <w:rFonts w:hint="eastAsia"/>
                <w:szCs w:val="21"/>
              </w:rPr>
              <w:t>洒水降尘</w:t>
            </w:r>
          </w:p>
        </w:tc>
        <w:tc>
          <w:tcPr>
            <w:tcW w:w="1240" w:type="dxa"/>
            <w:tcBorders>
              <w:top w:val="single" w:sz="6" w:space="0" w:color="auto"/>
              <w:left w:val="single" w:sz="6" w:space="0" w:color="auto"/>
              <w:bottom w:val="single" w:sz="6"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szCs w:val="21"/>
              </w:rPr>
              <w:t>2</w:t>
            </w:r>
          </w:p>
        </w:tc>
      </w:tr>
      <w:tr w:rsidR="00AC3C58" w:rsidRPr="00677D1F">
        <w:trPr>
          <w:trHeight w:val="340"/>
        </w:trPr>
        <w:tc>
          <w:tcPr>
            <w:tcW w:w="1274" w:type="dxa"/>
            <w:vMerge w:val="restart"/>
            <w:tcBorders>
              <w:top w:val="single" w:sz="6" w:space="0" w:color="auto"/>
              <w:left w:val="single" w:sz="4" w:space="0" w:color="auto"/>
              <w:right w:val="single" w:sz="6" w:space="0" w:color="auto"/>
            </w:tcBorders>
            <w:vAlign w:val="center"/>
          </w:tcPr>
          <w:p w:rsidR="00AC3C58" w:rsidRPr="00677D1F" w:rsidRDefault="00AC3C58" w:rsidP="00677D1F">
            <w:pPr>
              <w:contextualSpacing/>
              <w:jc w:val="center"/>
              <w:rPr>
                <w:szCs w:val="21"/>
              </w:rPr>
            </w:pPr>
            <w:r w:rsidRPr="00677D1F">
              <w:rPr>
                <w:rFonts w:hint="eastAsia"/>
              </w:rPr>
              <w:t>运营期</w:t>
            </w:r>
          </w:p>
        </w:tc>
        <w:tc>
          <w:tcPr>
            <w:tcW w:w="2520" w:type="dxa"/>
            <w:vMerge w:val="restart"/>
            <w:tcBorders>
              <w:top w:val="single" w:sz="6" w:space="0" w:color="auto"/>
              <w:left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hint="eastAsia"/>
              </w:rPr>
              <w:t>大气环境保护措施</w:t>
            </w: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电炉烟气净化</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1644.93</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contextualSpacing/>
              <w:jc w:val="cente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出炉口烟气净化</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240.79</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contextualSpacing/>
              <w:jc w:val="cente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四氯化钛尾气处理系统</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9432.05</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contextualSpacing/>
              <w:jc w:val="cente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四氯化钛卫生排气处理系统</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682.70</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contextualSpacing/>
              <w:jc w:val="cente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四氯化钛收尘渣处理系统</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6668.41</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contextualSpacing/>
              <w:jc w:val="cente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还原蒸馏废气处理</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rPr>
                <w:rFonts w:hint="eastAsia"/>
                <w:szCs w:val="21"/>
              </w:rPr>
              <w:t>3587.58</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contextualSpacing/>
              <w:jc w:val="center"/>
            </w:pPr>
          </w:p>
        </w:tc>
        <w:tc>
          <w:tcPr>
            <w:tcW w:w="2520" w:type="dxa"/>
            <w:vMerge/>
            <w:tcBorders>
              <w:left w:val="single" w:sz="6" w:space="0" w:color="auto"/>
              <w:bottom w:val="single" w:sz="6" w:space="0" w:color="000000"/>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rFonts w:ascii="宋体" w:eastAsia="宋体"/>
                <w:color w:val="FF0000"/>
              </w:rPr>
            </w:pPr>
            <w:r w:rsidRPr="00677D1F">
              <w:rPr>
                <w:rFonts w:ascii="宋体" w:eastAsia="宋体" w:hint="eastAsia"/>
                <w:color w:val="FF0000"/>
              </w:rPr>
              <w:t>钠电解卫生排气处理</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422.49</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val="restart"/>
            <w:tcBorders>
              <w:top w:val="single" w:sz="6" w:space="0" w:color="000000"/>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hint="eastAsia"/>
              </w:rPr>
              <w:t>水环境保护措施</w:t>
            </w:r>
          </w:p>
        </w:tc>
        <w:tc>
          <w:tcPr>
            <w:tcW w:w="3969" w:type="dxa"/>
            <w:tcBorders>
              <w:top w:val="single" w:sz="6" w:space="0" w:color="000000"/>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color w:val="FF0000"/>
                <w:szCs w:val="21"/>
              </w:rPr>
            </w:pPr>
            <w:r w:rsidRPr="00677D1F">
              <w:rPr>
                <w:rFonts w:hint="eastAsia"/>
                <w:color w:val="FF0000"/>
              </w:rPr>
              <w:t>全厂生活污水处理站</w:t>
            </w:r>
          </w:p>
        </w:tc>
        <w:tc>
          <w:tcPr>
            <w:tcW w:w="1240" w:type="dxa"/>
            <w:tcBorders>
              <w:top w:val="single" w:sz="6" w:space="0" w:color="000000"/>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379.58</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widowControl/>
              <w:contextualSpacing/>
              <w:jc w:val="left"/>
              <w:rPr>
                <w:szCs w:val="21"/>
              </w:rP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color w:val="FF0000"/>
                <w:szCs w:val="21"/>
              </w:rPr>
            </w:pPr>
            <w:r w:rsidRPr="00677D1F">
              <w:rPr>
                <w:rFonts w:ascii="宋体" w:eastAsia="宋体" w:hint="eastAsia"/>
                <w:color w:val="FF0000"/>
              </w:rPr>
              <w:t>全厂生产废水处理站</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1891.09</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widowControl/>
              <w:contextualSpacing/>
              <w:jc w:val="left"/>
              <w:rPr>
                <w:szCs w:val="21"/>
              </w:rPr>
            </w:pPr>
          </w:p>
        </w:tc>
        <w:tc>
          <w:tcPr>
            <w:tcW w:w="3969" w:type="dxa"/>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高盐废水处理</w:t>
            </w:r>
          </w:p>
        </w:tc>
        <w:tc>
          <w:tcPr>
            <w:tcW w:w="1240" w:type="dxa"/>
            <w:tcBorders>
              <w:top w:val="single" w:sz="6" w:space="0" w:color="auto"/>
              <w:left w:val="single" w:sz="6" w:space="0" w:color="auto"/>
              <w:bottom w:val="single" w:sz="6" w:space="0" w:color="000000"/>
              <w:right w:val="single" w:sz="4" w:space="0" w:color="auto"/>
            </w:tcBorders>
            <w:vAlign w:val="center"/>
          </w:tcPr>
          <w:p w:rsidR="00AC3C58" w:rsidRPr="00677D1F" w:rsidRDefault="00AC3C58" w:rsidP="00677D1F">
            <w:pPr>
              <w:contextualSpacing/>
              <w:jc w:val="center"/>
              <w:rPr>
                <w:szCs w:val="21"/>
              </w:rPr>
            </w:pPr>
            <w:r w:rsidRPr="00677D1F">
              <w:t>1544.20</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val="restart"/>
            <w:tcBorders>
              <w:top w:val="single" w:sz="6" w:space="0" w:color="000000"/>
              <w:left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hint="eastAsia"/>
              </w:rPr>
              <w:t>固废污染治理措施</w:t>
            </w:r>
          </w:p>
        </w:tc>
        <w:tc>
          <w:tcPr>
            <w:tcW w:w="3969" w:type="dxa"/>
            <w:tcBorders>
              <w:top w:val="single" w:sz="6" w:space="0" w:color="000000"/>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厂外渣场</w:t>
            </w:r>
          </w:p>
        </w:tc>
        <w:tc>
          <w:tcPr>
            <w:tcW w:w="1240" w:type="dxa"/>
            <w:tcBorders>
              <w:top w:val="single" w:sz="6" w:space="0" w:color="000000"/>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2000.00</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pPr>
            <w:r w:rsidRPr="00677D1F">
              <w:rPr>
                <w:rFonts w:ascii="宋体" w:eastAsia="宋体" w:hint="eastAsia"/>
                <w:color w:val="FF0000"/>
              </w:rPr>
              <w:t>危废暂存间</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pPr>
            <w:r w:rsidRPr="00677D1F">
              <w:t>152.41</w:t>
            </w:r>
          </w:p>
        </w:tc>
      </w:tr>
      <w:tr w:rsidR="00AC3C58" w:rsidRPr="00677D1F">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rFonts w:ascii="宋体" w:eastAsia="宋体"/>
              </w:rPr>
            </w:pPr>
            <w:r w:rsidRPr="00677D1F">
              <w:rPr>
                <w:rFonts w:ascii="宋体" w:eastAsia="宋体" w:hint="eastAsia"/>
                <w:color w:val="FF0000"/>
              </w:rPr>
              <w:t>临时渣场</w:t>
            </w:r>
          </w:p>
        </w:tc>
        <w:tc>
          <w:tcPr>
            <w:tcW w:w="1240" w:type="dxa"/>
            <w:tcBorders>
              <w:top w:val="single" w:sz="6" w:space="0" w:color="auto"/>
              <w:left w:val="single" w:sz="6" w:space="0" w:color="auto"/>
              <w:bottom w:val="single" w:sz="6" w:space="0" w:color="000000"/>
              <w:right w:val="single" w:sz="4" w:space="0" w:color="auto"/>
            </w:tcBorders>
            <w:vAlign w:val="center"/>
          </w:tcPr>
          <w:p w:rsidR="00AC3C58" w:rsidRPr="00677D1F" w:rsidRDefault="00AC3C58" w:rsidP="00677D1F">
            <w:pPr>
              <w:contextualSpacing/>
              <w:jc w:val="center"/>
            </w:pPr>
            <w:r w:rsidRPr="00677D1F">
              <w:t>444.42</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left w:val="single" w:sz="6" w:space="0" w:color="auto"/>
              <w:bottom w:val="single" w:sz="6" w:space="0" w:color="000000"/>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szCs w:val="21"/>
              </w:rPr>
            </w:pPr>
            <w:r w:rsidRPr="00677D1F">
              <w:rPr>
                <w:rFonts w:hint="eastAsia"/>
              </w:rPr>
              <w:t>生活垃圾收集设施</w:t>
            </w:r>
          </w:p>
        </w:tc>
        <w:tc>
          <w:tcPr>
            <w:tcW w:w="1240" w:type="dxa"/>
            <w:tcBorders>
              <w:top w:val="single" w:sz="6" w:space="0" w:color="auto"/>
              <w:left w:val="single" w:sz="6" w:space="0" w:color="auto"/>
              <w:bottom w:val="single" w:sz="6" w:space="0" w:color="000000"/>
              <w:right w:val="single" w:sz="4" w:space="0" w:color="auto"/>
            </w:tcBorders>
            <w:vAlign w:val="center"/>
          </w:tcPr>
          <w:p w:rsidR="00AC3C58" w:rsidRPr="00677D1F" w:rsidRDefault="00AC3C58" w:rsidP="00677D1F">
            <w:pPr>
              <w:contextualSpacing/>
              <w:jc w:val="center"/>
              <w:rPr>
                <w:szCs w:val="21"/>
              </w:rPr>
            </w:pPr>
            <w:r w:rsidRPr="00677D1F">
              <w:rPr>
                <w:rFonts w:hint="eastAsia"/>
              </w:rPr>
              <w:t>1</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tcBorders>
              <w:top w:val="single" w:sz="6" w:space="0" w:color="000000"/>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szCs w:val="21"/>
              </w:rPr>
            </w:pPr>
            <w:r w:rsidRPr="00677D1F">
              <w:rPr>
                <w:rFonts w:hint="eastAsia"/>
              </w:rPr>
              <w:t>噪声污染治理措施</w:t>
            </w:r>
          </w:p>
        </w:tc>
        <w:tc>
          <w:tcPr>
            <w:tcW w:w="3969" w:type="dxa"/>
            <w:tcBorders>
              <w:top w:val="single" w:sz="6" w:space="0" w:color="000000"/>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szCs w:val="21"/>
              </w:rPr>
            </w:pPr>
            <w:r w:rsidRPr="00677D1F">
              <w:rPr>
                <w:rFonts w:hint="eastAsia"/>
              </w:rPr>
              <w:t>封闭厂房、基础减震，加装消声器等</w:t>
            </w:r>
          </w:p>
        </w:tc>
        <w:tc>
          <w:tcPr>
            <w:tcW w:w="1240" w:type="dxa"/>
            <w:tcBorders>
              <w:top w:val="single" w:sz="6" w:space="0" w:color="000000"/>
              <w:left w:val="single" w:sz="6" w:space="0" w:color="auto"/>
              <w:bottom w:val="single" w:sz="6" w:space="0" w:color="000000"/>
              <w:right w:val="single" w:sz="4" w:space="0" w:color="auto"/>
            </w:tcBorders>
            <w:vAlign w:val="center"/>
          </w:tcPr>
          <w:p w:rsidR="00AC3C58" w:rsidRPr="00677D1F" w:rsidRDefault="00AC3C58" w:rsidP="00677D1F">
            <w:pPr>
              <w:contextualSpacing/>
              <w:jc w:val="center"/>
              <w:rPr>
                <w:szCs w:val="21"/>
              </w:rPr>
            </w:pPr>
            <w:r w:rsidRPr="00677D1F">
              <w:rPr>
                <w:rFonts w:hint="eastAsia"/>
              </w:rPr>
              <w:t>30</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val="restart"/>
            <w:tcBorders>
              <w:top w:val="single" w:sz="6" w:space="0" w:color="000000"/>
              <w:left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hint="eastAsia"/>
              </w:rPr>
              <w:t>环境风险防范工程</w:t>
            </w:r>
          </w:p>
        </w:tc>
        <w:tc>
          <w:tcPr>
            <w:tcW w:w="3969" w:type="dxa"/>
            <w:tcBorders>
              <w:top w:val="single" w:sz="6" w:space="0" w:color="000000"/>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初期雨水收集</w:t>
            </w:r>
            <w:r w:rsidRPr="00677D1F">
              <w:rPr>
                <w:color w:val="FF0000"/>
              </w:rPr>
              <w:t>/</w:t>
            </w:r>
            <w:r w:rsidRPr="00677D1F">
              <w:rPr>
                <w:rFonts w:ascii="宋体" w:eastAsia="宋体" w:hint="eastAsia"/>
                <w:color w:val="FF0000"/>
              </w:rPr>
              <w:t>事故水池</w:t>
            </w:r>
          </w:p>
        </w:tc>
        <w:tc>
          <w:tcPr>
            <w:tcW w:w="1240" w:type="dxa"/>
            <w:tcBorders>
              <w:top w:val="single" w:sz="6" w:space="0" w:color="000000"/>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1511.53</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left w:val="single" w:sz="6" w:space="0" w:color="auto"/>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事故氯气处理</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2021.54</w:t>
            </w:r>
          </w:p>
        </w:tc>
      </w:tr>
      <w:tr w:rsidR="00AC3C58" w:rsidRPr="00677D1F" w:rsidTr="0040642A">
        <w:trPr>
          <w:trHeight w:val="340"/>
        </w:trPr>
        <w:tc>
          <w:tcPr>
            <w:tcW w:w="1274" w:type="dxa"/>
            <w:vMerge/>
            <w:tcBorders>
              <w:left w:val="single" w:sz="4"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vMerge/>
            <w:tcBorders>
              <w:left w:val="single" w:sz="6" w:space="0" w:color="auto"/>
              <w:bottom w:val="single" w:sz="6" w:space="0" w:color="000000"/>
              <w:right w:val="single" w:sz="6" w:space="0" w:color="auto"/>
            </w:tcBorders>
            <w:vAlign w:val="center"/>
          </w:tcPr>
          <w:p w:rsidR="00AC3C58" w:rsidRPr="00677D1F" w:rsidRDefault="00AC3C58" w:rsidP="00677D1F">
            <w:pPr>
              <w:contextualSpacing/>
              <w:jc w:val="center"/>
            </w:pPr>
          </w:p>
        </w:tc>
        <w:tc>
          <w:tcPr>
            <w:tcW w:w="3969" w:type="dxa"/>
            <w:tcBorders>
              <w:top w:val="single" w:sz="6" w:space="0" w:color="auto"/>
              <w:left w:val="single" w:sz="6" w:space="0" w:color="auto"/>
              <w:bottom w:val="single" w:sz="6" w:space="0" w:color="000000"/>
              <w:right w:val="single" w:sz="6" w:space="0" w:color="auto"/>
            </w:tcBorders>
            <w:vAlign w:val="center"/>
          </w:tcPr>
          <w:p w:rsidR="00AC3C58" w:rsidRPr="00677D1F" w:rsidRDefault="00AC3C58" w:rsidP="00677D1F">
            <w:pPr>
              <w:contextualSpacing/>
              <w:jc w:val="center"/>
              <w:rPr>
                <w:rFonts w:ascii="宋体" w:eastAsia="宋体"/>
              </w:rPr>
            </w:pPr>
            <w:r w:rsidRPr="00677D1F">
              <w:rPr>
                <w:rFonts w:ascii="宋体" w:eastAsia="宋体" w:hint="eastAsia"/>
                <w:color w:val="FF0000"/>
              </w:rPr>
              <w:t>钠电解事故氯气处理</w:t>
            </w:r>
          </w:p>
        </w:tc>
        <w:tc>
          <w:tcPr>
            <w:tcW w:w="1240" w:type="dxa"/>
            <w:tcBorders>
              <w:top w:val="single" w:sz="6" w:space="0" w:color="auto"/>
              <w:left w:val="single" w:sz="6" w:space="0" w:color="auto"/>
              <w:bottom w:val="single" w:sz="6" w:space="0" w:color="auto"/>
              <w:right w:val="single" w:sz="4" w:space="0" w:color="auto"/>
            </w:tcBorders>
            <w:vAlign w:val="center"/>
          </w:tcPr>
          <w:p w:rsidR="00AC3C58" w:rsidRPr="00677D1F" w:rsidRDefault="00AC3C58" w:rsidP="00677D1F">
            <w:pPr>
              <w:contextualSpacing/>
              <w:jc w:val="center"/>
            </w:pPr>
            <w:r w:rsidRPr="00677D1F">
              <w:t>622.64</w:t>
            </w:r>
          </w:p>
        </w:tc>
      </w:tr>
      <w:tr w:rsidR="00AC3C58" w:rsidRPr="00677D1F" w:rsidTr="0040642A">
        <w:trPr>
          <w:trHeight w:val="340"/>
        </w:trPr>
        <w:tc>
          <w:tcPr>
            <w:tcW w:w="1274" w:type="dxa"/>
            <w:vMerge/>
            <w:tcBorders>
              <w:left w:val="single" w:sz="4" w:space="0" w:color="auto"/>
              <w:bottom w:val="single" w:sz="6" w:space="0" w:color="auto"/>
              <w:right w:val="single" w:sz="6" w:space="0" w:color="auto"/>
            </w:tcBorders>
            <w:vAlign w:val="center"/>
          </w:tcPr>
          <w:p w:rsidR="00AC3C58" w:rsidRPr="00677D1F" w:rsidRDefault="00AC3C58" w:rsidP="00677D1F">
            <w:pPr>
              <w:widowControl/>
              <w:contextualSpacing/>
              <w:jc w:val="left"/>
              <w:rPr>
                <w:szCs w:val="21"/>
              </w:rPr>
            </w:pPr>
          </w:p>
        </w:tc>
        <w:tc>
          <w:tcPr>
            <w:tcW w:w="2520" w:type="dxa"/>
            <w:tcBorders>
              <w:top w:val="single" w:sz="6" w:space="0" w:color="000000"/>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hint="eastAsia"/>
              </w:rPr>
              <w:t>绿化</w:t>
            </w:r>
          </w:p>
        </w:tc>
        <w:tc>
          <w:tcPr>
            <w:tcW w:w="3969" w:type="dxa"/>
            <w:tcBorders>
              <w:top w:val="single" w:sz="6" w:space="0" w:color="000000"/>
              <w:left w:val="single" w:sz="6" w:space="0" w:color="auto"/>
              <w:bottom w:val="single" w:sz="6" w:space="0" w:color="auto"/>
              <w:right w:val="single" w:sz="6" w:space="0" w:color="auto"/>
            </w:tcBorders>
            <w:vAlign w:val="center"/>
          </w:tcPr>
          <w:p w:rsidR="00AC3C58" w:rsidRPr="00677D1F" w:rsidRDefault="00AC3C58" w:rsidP="00677D1F">
            <w:pPr>
              <w:contextualSpacing/>
              <w:jc w:val="center"/>
              <w:rPr>
                <w:szCs w:val="21"/>
              </w:rPr>
            </w:pPr>
            <w:r w:rsidRPr="00677D1F">
              <w:rPr>
                <w:rFonts w:ascii="宋体" w:eastAsia="宋体" w:hint="eastAsia"/>
                <w:color w:val="FF0000"/>
              </w:rPr>
              <w:t>厂前区及全厂绿化</w:t>
            </w:r>
          </w:p>
        </w:tc>
        <w:tc>
          <w:tcPr>
            <w:tcW w:w="1240" w:type="dxa"/>
            <w:tcBorders>
              <w:top w:val="single" w:sz="6" w:space="0" w:color="000000"/>
              <w:left w:val="single" w:sz="6" w:space="0" w:color="auto"/>
              <w:bottom w:val="single" w:sz="6" w:space="0" w:color="auto"/>
              <w:right w:val="single" w:sz="4" w:space="0" w:color="auto"/>
            </w:tcBorders>
            <w:vAlign w:val="center"/>
          </w:tcPr>
          <w:p w:rsidR="00AC3C58" w:rsidRPr="00677D1F" w:rsidRDefault="00AC3C58" w:rsidP="00677D1F">
            <w:pPr>
              <w:contextualSpacing/>
              <w:jc w:val="center"/>
              <w:rPr>
                <w:szCs w:val="21"/>
              </w:rPr>
            </w:pPr>
            <w:r w:rsidRPr="00677D1F">
              <w:t>1246.50</w:t>
            </w:r>
          </w:p>
        </w:tc>
      </w:tr>
      <w:tr w:rsidR="00D228BE" w:rsidRPr="00677D1F">
        <w:trPr>
          <w:trHeight w:val="340"/>
        </w:trPr>
        <w:tc>
          <w:tcPr>
            <w:tcW w:w="7763" w:type="dxa"/>
            <w:gridSpan w:val="3"/>
            <w:tcBorders>
              <w:top w:val="single" w:sz="6" w:space="0" w:color="auto"/>
              <w:left w:val="single" w:sz="4" w:space="0" w:color="auto"/>
              <w:bottom w:val="single" w:sz="4" w:space="0" w:color="auto"/>
              <w:right w:val="single" w:sz="6" w:space="0" w:color="auto"/>
            </w:tcBorders>
            <w:vAlign w:val="center"/>
          </w:tcPr>
          <w:p w:rsidR="00D228BE" w:rsidRPr="00677D1F" w:rsidRDefault="00332EB6" w:rsidP="00677D1F">
            <w:pPr>
              <w:contextualSpacing/>
              <w:jc w:val="center"/>
              <w:rPr>
                <w:szCs w:val="21"/>
              </w:rPr>
            </w:pPr>
            <w:r w:rsidRPr="00677D1F">
              <w:rPr>
                <w:rFonts w:hint="eastAsia"/>
              </w:rPr>
              <w:t>合</w:t>
            </w:r>
            <w:r w:rsidRPr="00677D1F">
              <w:t xml:space="preserve">       </w:t>
            </w:r>
            <w:r w:rsidRPr="00677D1F">
              <w:rPr>
                <w:rFonts w:hint="eastAsia"/>
              </w:rPr>
              <w:t>计</w:t>
            </w:r>
          </w:p>
        </w:tc>
        <w:tc>
          <w:tcPr>
            <w:tcW w:w="1240" w:type="dxa"/>
            <w:tcBorders>
              <w:top w:val="single" w:sz="6" w:space="0" w:color="auto"/>
              <w:left w:val="single" w:sz="6"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t>3452</w:t>
            </w:r>
            <w:r w:rsidRPr="00677D1F">
              <w:rPr>
                <w:rFonts w:hint="eastAsia"/>
              </w:rPr>
              <w:t>5</w:t>
            </w:r>
            <w:r w:rsidRPr="00677D1F">
              <w:t>.86</w:t>
            </w:r>
          </w:p>
        </w:tc>
      </w:tr>
    </w:tbl>
    <w:p w:rsidR="00D228BE" w:rsidRPr="00677D1F" w:rsidRDefault="00332EB6" w:rsidP="00677D1F">
      <w:pPr>
        <w:widowControl/>
        <w:spacing w:line="360" w:lineRule="auto"/>
        <w:ind w:firstLineChars="200" w:firstLine="480"/>
        <w:contextualSpacing/>
        <w:rPr>
          <w:sz w:val="24"/>
          <w:szCs w:val="24"/>
        </w:rPr>
      </w:pPr>
      <w:r w:rsidRPr="00677D1F">
        <w:rPr>
          <w:rFonts w:hint="eastAsia"/>
          <w:sz w:val="24"/>
          <w:szCs w:val="24"/>
        </w:rPr>
        <w:t>工程建设投资为</w:t>
      </w:r>
      <w:r w:rsidRPr="00677D1F">
        <w:rPr>
          <w:sz w:val="24"/>
          <w:szCs w:val="24"/>
        </w:rPr>
        <w:t>979768</w:t>
      </w:r>
      <w:r w:rsidRPr="00677D1F">
        <w:rPr>
          <w:rFonts w:hint="eastAsia"/>
          <w:sz w:val="24"/>
          <w:szCs w:val="24"/>
        </w:rPr>
        <w:t>万元，工程的环保投资为</w:t>
      </w:r>
      <w:r w:rsidRPr="00677D1F">
        <w:rPr>
          <w:rFonts w:hint="eastAsia"/>
          <w:sz w:val="24"/>
          <w:szCs w:val="24"/>
        </w:rPr>
        <w:t>34525.86</w:t>
      </w:r>
      <w:r w:rsidRPr="00677D1F">
        <w:rPr>
          <w:rFonts w:hint="eastAsia"/>
          <w:sz w:val="24"/>
          <w:szCs w:val="24"/>
        </w:rPr>
        <w:t>万元，占工程总投资的</w:t>
      </w:r>
      <w:r w:rsidRPr="00677D1F">
        <w:rPr>
          <w:rFonts w:hint="eastAsia"/>
          <w:sz w:val="24"/>
          <w:szCs w:val="24"/>
        </w:rPr>
        <w:t>3.52</w:t>
      </w:r>
      <w:r w:rsidRPr="00677D1F">
        <w:rPr>
          <w:sz w:val="24"/>
          <w:szCs w:val="24"/>
        </w:rPr>
        <w:t>%</w:t>
      </w:r>
      <w:r w:rsidRPr="00677D1F">
        <w:rPr>
          <w:rFonts w:hint="eastAsia"/>
          <w:sz w:val="24"/>
          <w:szCs w:val="24"/>
        </w:rPr>
        <w:t>。</w:t>
      </w:r>
    </w:p>
    <w:p w:rsidR="00E10347" w:rsidRPr="00677D1F" w:rsidRDefault="00E10347"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13.</w:t>
      </w:r>
      <w:r w:rsidRPr="00677D1F">
        <w:rPr>
          <w:rFonts w:ascii="宋体" w:hAnsi="宋体" w:hint="eastAsia"/>
          <w:sz w:val="28"/>
          <w:szCs w:val="28"/>
        </w:rPr>
        <w:t>3</w:t>
      </w:r>
      <w:r w:rsidRPr="00677D1F">
        <w:rPr>
          <w:rFonts w:ascii="宋体" w:hAnsi="宋体"/>
          <w:sz w:val="28"/>
          <w:szCs w:val="28"/>
        </w:rPr>
        <w:t>.</w:t>
      </w:r>
      <w:r w:rsidRPr="00677D1F">
        <w:rPr>
          <w:rFonts w:ascii="宋体" w:hAnsi="宋体" w:hint="eastAsia"/>
          <w:sz w:val="28"/>
          <w:szCs w:val="28"/>
        </w:rPr>
        <w:t>2 环保影响损益分析</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本项目钛渣熔炼工程采用全密闭钛渣电炉，该生产设备能够更好的提高电能效率降低能耗，吨渣电耗降低约200kWh，年节约电能约20×10</w:t>
      </w:r>
      <w:r w:rsidRPr="00677D1F">
        <w:rPr>
          <w:rFonts w:asciiTheme="minorEastAsia" w:hAnsiTheme="minorEastAsia" w:cs="宋体" w:hint="eastAsia"/>
          <w:color w:val="000000"/>
          <w:kern w:val="0"/>
          <w:sz w:val="24"/>
          <w:szCs w:val="24"/>
          <w:vertAlign w:val="superscript"/>
        </w:rPr>
        <w:t>6</w:t>
      </w:r>
      <w:r w:rsidRPr="00677D1F">
        <w:rPr>
          <w:rFonts w:asciiTheme="minorEastAsia" w:hAnsiTheme="minorEastAsia" w:cs="宋体" w:hint="eastAsia"/>
          <w:color w:val="000000"/>
          <w:kern w:val="0"/>
          <w:sz w:val="24"/>
          <w:szCs w:val="24"/>
        </w:rPr>
        <w:t>kWh</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还原蒸馏工序采用10t还原蒸馏炉，与国内5t联合炉技术相比，按年产40000t海绵钛计算，年可节约电力48×10</w:t>
      </w:r>
      <w:r w:rsidRPr="00677D1F">
        <w:rPr>
          <w:rFonts w:asciiTheme="minorEastAsia" w:hAnsiTheme="minorEastAsia" w:cs="宋体" w:hint="eastAsia"/>
          <w:color w:val="000000"/>
          <w:kern w:val="0"/>
          <w:sz w:val="24"/>
          <w:szCs w:val="24"/>
          <w:vertAlign w:val="superscript"/>
        </w:rPr>
        <w:t>6</w:t>
      </w:r>
      <w:r w:rsidRPr="00677D1F">
        <w:rPr>
          <w:rFonts w:asciiTheme="minorEastAsia" w:hAnsiTheme="minorEastAsia" w:cs="宋体" w:hint="eastAsia"/>
          <w:color w:val="000000"/>
          <w:kern w:val="0"/>
          <w:sz w:val="24"/>
          <w:szCs w:val="24"/>
        </w:rPr>
        <w:t>kWh。</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与国内无隔板电解槽比较，生产1t镁节电3000kWh左右，多回收氯气0.1t左右，年节电约66×10</w:t>
      </w:r>
      <w:r w:rsidRPr="00677D1F">
        <w:rPr>
          <w:rFonts w:asciiTheme="minorEastAsia" w:hAnsiTheme="minorEastAsia" w:cs="宋体" w:hint="eastAsia"/>
          <w:color w:val="000000"/>
          <w:kern w:val="0"/>
          <w:sz w:val="24"/>
          <w:szCs w:val="24"/>
          <w:vertAlign w:val="superscript"/>
        </w:rPr>
        <w:t>6</w:t>
      </w:r>
      <w:r w:rsidRPr="00677D1F">
        <w:rPr>
          <w:rFonts w:asciiTheme="minorEastAsia" w:hAnsiTheme="minorEastAsia" w:cs="宋体" w:hint="eastAsia"/>
          <w:color w:val="000000"/>
          <w:kern w:val="0"/>
          <w:sz w:val="24"/>
          <w:szCs w:val="24"/>
        </w:rPr>
        <w:t>kWh，折合标准煤16222t，多回收氯气约4400t。</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电解镁(液体粗镁)精炼可采用两种设备—坩埚精炼炉或连续精炼炉。本设计采用节能型连续精炼炉。连续精炼炉与坩埚精炼炉比较，1t镁节电220kWh；年节电 5.69×10</w:t>
      </w:r>
      <w:r w:rsidRPr="00677D1F">
        <w:rPr>
          <w:rFonts w:asciiTheme="minorEastAsia" w:hAnsiTheme="minorEastAsia" w:cs="宋体" w:hint="eastAsia"/>
          <w:color w:val="000000"/>
          <w:kern w:val="0"/>
          <w:sz w:val="24"/>
          <w:szCs w:val="24"/>
          <w:vertAlign w:val="superscript"/>
        </w:rPr>
        <w:t>6</w:t>
      </w:r>
      <w:r w:rsidRPr="00677D1F">
        <w:rPr>
          <w:rFonts w:asciiTheme="minorEastAsia" w:hAnsiTheme="minorEastAsia" w:cs="宋体" w:hint="eastAsia"/>
          <w:color w:val="000000"/>
          <w:kern w:val="0"/>
          <w:sz w:val="24"/>
          <w:szCs w:val="24"/>
        </w:rPr>
        <w:t>kWh，折合标准煤1190t。合计年节约标准煤23312t。</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本项目运营期二次利用水水量为3362m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/d，年可节约生产用水1227130m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运营期电价按0.28元/kWh计算，水价按5.5元/m</w:t>
      </w:r>
      <w:r w:rsidRPr="00677D1F">
        <w:rPr>
          <w:rFonts w:asciiTheme="minorEastAsia" w:hAnsiTheme="minorEastAsia" w:cs="宋体" w:hint="eastAsia"/>
          <w:color w:val="000000"/>
          <w:kern w:val="0"/>
          <w:sz w:val="24"/>
          <w:szCs w:val="24"/>
          <w:vertAlign w:val="superscript"/>
        </w:rPr>
        <w:t>3</w:t>
      </w:r>
      <w:r w:rsidRPr="00677D1F">
        <w:rPr>
          <w:rFonts w:asciiTheme="minorEastAsia" w:hAnsiTheme="minorEastAsia" w:cs="宋体" w:hint="eastAsia"/>
          <w:color w:val="000000"/>
          <w:kern w:val="0"/>
          <w:sz w:val="24"/>
          <w:szCs w:val="24"/>
        </w:rPr>
        <w:t>计算，本项目每年可节约能耗开支约45862415元。</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环境投资效益是指环境经济效益与环保运行管理费用的比值。</w:t>
      </w:r>
    </w:p>
    <w:p w:rsidR="004D687F" w:rsidRPr="00677D1F" w:rsidRDefault="004D687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环境投资效益=环境经济效益/环保运行管理费用</w:t>
      </w:r>
    </w:p>
    <w:p w:rsidR="004D687F" w:rsidRPr="00677D1F" w:rsidRDefault="004D687F" w:rsidP="00677D1F">
      <w:pPr>
        <w:widowControl/>
        <w:spacing w:line="360" w:lineRule="auto"/>
        <w:ind w:firstLineChars="800" w:firstLine="192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=45862415/</w:t>
      </w:r>
      <w:r w:rsidRPr="00677D1F">
        <w:rPr>
          <w:rFonts w:asciiTheme="minorEastAsia" w:hAnsiTheme="minorEastAsia" w:cs="宋体"/>
          <w:color w:val="000000"/>
          <w:kern w:val="0"/>
          <w:sz w:val="24"/>
          <w:szCs w:val="24"/>
        </w:rPr>
        <w:t>3452586</w:t>
      </w:r>
      <w:r w:rsidRPr="00677D1F">
        <w:rPr>
          <w:rFonts w:asciiTheme="minorEastAsia" w:hAnsiTheme="minorEastAsia" w:cs="宋体" w:hint="eastAsia"/>
          <w:color w:val="000000"/>
          <w:kern w:val="0"/>
          <w:sz w:val="24"/>
          <w:szCs w:val="24"/>
        </w:rPr>
        <w:t>00=13.24%。</w:t>
      </w:r>
    </w:p>
    <w:p w:rsidR="00E10347" w:rsidRPr="00677D1F" w:rsidRDefault="004D687F" w:rsidP="00677D1F">
      <w:pPr>
        <w:widowControl/>
        <w:spacing w:line="360" w:lineRule="auto"/>
        <w:ind w:firstLineChars="200" w:firstLine="480"/>
        <w:contextualSpacing/>
        <w:rPr>
          <w:sz w:val="24"/>
          <w:szCs w:val="24"/>
        </w:rPr>
      </w:pPr>
      <w:r w:rsidRPr="00677D1F">
        <w:rPr>
          <w:rFonts w:asciiTheme="minorEastAsia" w:hAnsiTheme="minorEastAsia" w:cs="宋体" w:hint="eastAsia"/>
          <w:color w:val="000000"/>
          <w:kern w:val="0"/>
          <w:sz w:val="24"/>
          <w:szCs w:val="24"/>
        </w:rPr>
        <w:t>通过以上计算可以看出，本建设项目环境成本低、环境系数低、环境环境投资效益一般。</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lastRenderedPageBreak/>
        <w:t>13.</w:t>
      </w:r>
      <w:r w:rsidR="00AC3C58" w:rsidRPr="00677D1F">
        <w:rPr>
          <w:rFonts w:ascii="宋体" w:hAnsi="宋体" w:hint="eastAsia"/>
          <w:bCs w:val="0"/>
          <w:kern w:val="2"/>
          <w:sz w:val="30"/>
          <w:szCs w:val="30"/>
        </w:rPr>
        <w:t>4 环保综合效益分析</w:t>
      </w:r>
    </w:p>
    <w:p w:rsidR="00CF2A0D" w:rsidRPr="00677D1F" w:rsidRDefault="00AC3C58" w:rsidP="00677D1F">
      <w:pPr>
        <w:widowControl/>
        <w:spacing w:line="360" w:lineRule="auto"/>
        <w:ind w:firstLineChars="200" w:firstLine="480"/>
        <w:contextualSpacing/>
        <w:rPr>
          <w:sz w:val="24"/>
          <w:szCs w:val="24"/>
        </w:rPr>
      </w:pPr>
      <w:r w:rsidRPr="00677D1F">
        <w:rPr>
          <w:rFonts w:hint="eastAsia"/>
          <w:sz w:val="24"/>
          <w:szCs w:val="24"/>
        </w:rPr>
        <w:t>综上所述，本项目在建设时应认真贯彻执行“清洁生产”、“污染物达标排放”、“污染物总量控制”等环保政策，尽可能减少污染物的产生量和排放量；本项目建成投产后，可取得一定的经济效益、较好的社会效益和非常显著的环境效益，达到三者协调发展的目的。</w:t>
      </w:r>
    </w:p>
    <w:p w:rsidR="00AC3C58" w:rsidRPr="00677D1F" w:rsidRDefault="00CF2A0D" w:rsidP="00677D1F">
      <w:pPr>
        <w:widowControl/>
        <w:spacing w:line="360" w:lineRule="auto"/>
        <w:ind w:firstLineChars="200" w:firstLine="480"/>
        <w:contextualSpacing/>
        <w:rPr>
          <w:sz w:val="24"/>
          <w:szCs w:val="24"/>
        </w:rPr>
      </w:pPr>
      <w:r w:rsidRPr="00677D1F">
        <w:rPr>
          <w:rFonts w:hint="eastAsia"/>
          <w:sz w:val="24"/>
          <w:szCs w:val="24"/>
        </w:rPr>
        <w:t>结合本工程带来的环境损失、产生的经济效益和社会效益以及工程的环保投入和产生的环境效益进行综合分析和比较，本工程的建设在创造良好经济效益和社会效益的同时，对环境的影响有限，经采取污染防治措施后，能够将工程带来的环境损失降到很低程度。</w:t>
      </w:r>
    </w:p>
    <w:p w:rsidR="00D228BE" w:rsidRPr="00677D1F" w:rsidRDefault="00D228BE" w:rsidP="00677D1F">
      <w:pPr>
        <w:widowControl/>
        <w:spacing w:line="360" w:lineRule="auto"/>
        <w:ind w:firstLineChars="200" w:firstLine="480"/>
        <w:contextualSpacing/>
        <w:rPr>
          <w:sz w:val="24"/>
          <w:szCs w:val="24"/>
        </w:rPr>
      </w:pPr>
    </w:p>
    <w:p w:rsidR="00D228BE" w:rsidRPr="00677D1F" w:rsidRDefault="00D228BE" w:rsidP="00677D1F">
      <w:pPr>
        <w:widowControl/>
        <w:spacing w:line="360" w:lineRule="auto"/>
        <w:ind w:firstLineChars="200" w:firstLine="480"/>
        <w:contextualSpacing/>
        <w:rPr>
          <w:sz w:val="24"/>
          <w:szCs w:val="24"/>
        </w:rPr>
        <w:sectPr w:rsidR="00D228BE" w:rsidRPr="00677D1F">
          <w:pgSz w:w="11906" w:h="16838"/>
          <w:pgMar w:top="1588" w:right="1418" w:bottom="1418" w:left="1701" w:header="1021" w:footer="907" w:gutter="0"/>
          <w:cols w:space="425"/>
          <w:docGrid w:type="linesAndChars" w:linePitch="312"/>
        </w:sectPr>
      </w:pPr>
    </w:p>
    <w:p w:rsidR="00D228BE" w:rsidRPr="00677D1F" w:rsidRDefault="00332EB6" w:rsidP="00677D1F">
      <w:pPr>
        <w:pStyle w:val="1"/>
        <w:pageBreakBefore/>
        <w:spacing w:beforeLines="150" w:before="360" w:afterLines="150" w:after="360"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14 环境管理与环境监控计划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为了贯彻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rsidR="00D228BE" w:rsidRPr="00677D1F" w:rsidRDefault="00332EB6" w:rsidP="00677D1F">
      <w:pPr>
        <w:pStyle w:val="2"/>
        <w:keepNext/>
        <w:spacing w:beforeLines="100" w:before="240" w:afterLines="100" w:after="240"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14.1</w:t>
      </w:r>
      <w:r w:rsidRPr="00677D1F">
        <w:rPr>
          <w:rFonts w:ascii="宋体" w:hAnsi="宋体" w:hint="eastAsia"/>
          <w:bCs w:val="0"/>
          <w:kern w:val="2"/>
          <w:sz w:val="30"/>
          <w:szCs w:val="30"/>
        </w:rPr>
        <w:t xml:space="preserve"> 环境保护管理</w:t>
      </w:r>
    </w:p>
    <w:p w:rsidR="00D228BE" w:rsidRPr="00677D1F" w:rsidRDefault="00332EB6" w:rsidP="00677D1F">
      <w:pPr>
        <w:pStyle w:val="3"/>
        <w:keepNext/>
        <w:keepLines/>
        <w:spacing w:beforeLines="50" w:before="120" w:afterLines="50" w:after="120" w:line="360" w:lineRule="auto"/>
        <w:ind w:firstLineChars="0" w:firstLine="0"/>
        <w:contextualSpacing/>
        <w:textAlignment w:val="baseline"/>
        <w:rPr>
          <w:rFonts w:ascii="宋体" w:hAnsi="宋体"/>
          <w:sz w:val="28"/>
          <w:szCs w:val="28"/>
        </w:rPr>
      </w:pPr>
      <w:r w:rsidRPr="00677D1F">
        <w:rPr>
          <w:rFonts w:ascii="宋体" w:hAnsi="宋体"/>
          <w:sz w:val="28"/>
          <w:szCs w:val="28"/>
        </w:rPr>
        <w:t>14.1.1</w:t>
      </w:r>
      <w:r w:rsidRPr="00677D1F">
        <w:rPr>
          <w:rFonts w:ascii="宋体" w:hAnsi="宋体" w:hint="eastAsia"/>
          <w:sz w:val="28"/>
          <w:szCs w:val="28"/>
        </w:rPr>
        <w:t xml:space="preserve"> 环境管理机构的设置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绿色”产品，努力通过环境认证，积极参与社会环境整治，推动员工和公众的环保宣传和引导，树立“绿色企业”的良好形象。</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本项目境保护管理工作由新疆湘晟新材料科技有限公司已设置的环境管理部门主管，在本项目生产车间和主要污染源均置环境管理责任人，组成公司、车间、污染源三级环境管理体系，明确分工，各负其责。</w:t>
      </w:r>
    </w:p>
    <w:p w:rsidR="00D228BE" w:rsidRPr="00677D1F" w:rsidRDefault="00332EB6" w:rsidP="00677D1F">
      <w:pPr>
        <w:pStyle w:val="3"/>
        <w:keepNext/>
        <w:keepLines/>
        <w:spacing w:beforeLines="50" w:before="120" w:afterLines="50" w:after="120" w:line="360" w:lineRule="auto"/>
        <w:ind w:firstLineChars="0" w:firstLine="0"/>
        <w:contextualSpacing/>
        <w:textAlignment w:val="baseline"/>
        <w:rPr>
          <w:rFonts w:ascii="宋体" w:hAnsi="宋体"/>
          <w:sz w:val="28"/>
          <w:szCs w:val="28"/>
        </w:rPr>
      </w:pPr>
      <w:r w:rsidRPr="00677D1F">
        <w:rPr>
          <w:rFonts w:ascii="宋体" w:hAnsi="宋体"/>
          <w:sz w:val="28"/>
          <w:szCs w:val="28"/>
        </w:rPr>
        <w:t>14.1.</w:t>
      </w:r>
      <w:r w:rsidRPr="00677D1F">
        <w:rPr>
          <w:rFonts w:ascii="宋体" w:hAnsi="宋体" w:hint="eastAsia"/>
          <w:sz w:val="28"/>
          <w:szCs w:val="28"/>
        </w:rPr>
        <w:t>2 环境管理机构的职责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环境管理机构负责项目建设期与运营期的环境管理与环境监测工作，主要职责：</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（1）编制、提出项目建设期、运营期的短期环境保护计划及长远环境保护计划；</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（2）贯彻落实国家和地方的环境保护法律、法规、政策和标准，直接接受行业主管部门、各级环境保护局的监督、领导，配合环境保护主管部门作好环保工作；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（3）制定和实施环境监测方案，负责所有环保设施的日常运行管理，保障各环保设施的正常运行，并对环保设施的改进提出积极的建议；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（4）在项目建设阶段负责监督环保设施的施工、安装、调试等，落实项目项目的环境保护“三同时”制度；</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（5）监督污染物总量排放及达标情况，确保污染物排放达到国家排放标准和总量控制指标；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（6）参与环保设施竣工验收工作；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（7）负责对职工环保宣传教育工作及检查、监督各岗位环保制度的执行情况；</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（8）领导并组织环境监测工作，建立污染源与监测档案，定期向主管部门及环保部门上报监测报表。</w:t>
      </w:r>
    </w:p>
    <w:p w:rsidR="00D228BE" w:rsidRPr="00677D1F" w:rsidRDefault="00332EB6" w:rsidP="00677D1F">
      <w:pPr>
        <w:pStyle w:val="3"/>
        <w:keepNext/>
        <w:keepLines/>
        <w:spacing w:beforeLines="50" w:before="120" w:afterLines="50" w:after="120" w:line="360" w:lineRule="auto"/>
        <w:ind w:firstLineChars="0" w:firstLine="0"/>
        <w:contextualSpacing/>
        <w:textAlignment w:val="baseline"/>
        <w:rPr>
          <w:rFonts w:ascii="宋体" w:hAnsi="宋体"/>
          <w:sz w:val="28"/>
          <w:szCs w:val="28"/>
        </w:rPr>
      </w:pPr>
      <w:r w:rsidRPr="00677D1F">
        <w:rPr>
          <w:rFonts w:ascii="宋体" w:hAnsi="宋体"/>
          <w:sz w:val="28"/>
          <w:szCs w:val="28"/>
        </w:rPr>
        <w:t>14.1.</w:t>
      </w:r>
      <w:r w:rsidRPr="00677D1F">
        <w:rPr>
          <w:rFonts w:ascii="宋体" w:hAnsi="宋体" w:hint="eastAsia"/>
          <w:sz w:val="28"/>
          <w:szCs w:val="28"/>
        </w:rPr>
        <w:t>3 环境保护管理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（1）根据国家环保政策、标准及环境监测要求，制定该项目运行期环保管理规章制度、各种污染物排放控制指标；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（2）负责该项目内所有环保设施的日常运行管理，保障各环保设施的正常运行，并对环保设施的改进提出积极的建议；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（3）负责该项目运行期环境监测工作，及时掌握该项目污染状况，整理监测数据，建立污染源档案；</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（4）该项目运行期的环境管理由安全生产环保科承担；负责该项目内所有环保设施的日常运行管理，保障各环保设施的正常运行，并对环保设施的改进提出积极的建议；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（5）负责对职工进行环保宣传教育工作，以及检查、监督各单位环保制度的执行情况；</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（6）建立健全环境档案管理与保密制度、污染防治设施设计技术改进及运行资料、污染源调查技术档案、环境监测及评价资料、项目平面图和给排水管网图等。</w:t>
      </w:r>
    </w:p>
    <w:p w:rsidR="00D228BE" w:rsidRPr="00677D1F" w:rsidRDefault="00332EB6" w:rsidP="00677D1F">
      <w:pPr>
        <w:pStyle w:val="3"/>
        <w:keepNext/>
        <w:keepLines/>
        <w:spacing w:beforeLines="50" w:before="120" w:afterLines="50" w:after="120" w:line="360" w:lineRule="auto"/>
        <w:ind w:firstLineChars="0" w:firstLine="0"/>
        <w:contextualSpacing/>
        <w:textAlignment w:val="baseline"/>
        <w:rPr>
          <w:rFonts w:ascii="宋体" w:hAnsi="宋体"/>
          <w:sz w:val="28"/>
          <w:szCs w:val="28"/>
        </w:rPr>
      </w:pPr>
      <w:r w:rsidRPr="00677D1F">
        <w:rPr>
          <w:rFonts w:ascii="宋体" w:hAnsi="宋体"/>
          <w:sz w:val="28"/>
          <w:szCs w:val="28"/>
        </w:rPr>
        <w:t>14.1.</w:t>
      </w:r>
      <w:r w:rsidRPr="00677D1F">
        <w:rPr>
          <w:rFonts w:ascii="宋体" w:hAnsi="宋体" w:hint="eastAsia"/>
          <w:sz w:val="28"/>
          <w:szCs w:val="28"/>
        </w:rPr>
        <w:t>4 排污口规范化</w:t>
      </w:r>
    </w:p>
    <w:p w:rsidR="00D228BE" w:rsidRPr="00677D1F" w:rsidRDefault="00332EB6" w:rsidP="00677D1F">
      <w:pPr>
        <w:spacing w:line="360" w:lineRule="auto"/>
        <w:ind w:firstLineChars="200" w:firstLine="480"/>
        <w:contextualSpacing/>
        <w:rPr>
          <w:sz w:val="24"/>
        </w:rPr>
      </w:pPr>
      <w:r w:rsidRPr="00677D1F">
        <w:rPr>
          <w:rFonts w:hint="eastAsia"/>
          <w:sz w:val="24"/>
        </w:rPr>
        <w:t>本项目应按《环境保护图形标志</w:t>
      </w:r>
      <w:r w:rsidRPr="00677D1F">
        <w:rPr>
          <w:sz w:val="24"/>
        </w:rPr>
        <w:t>—</w:t>
      </w:r>
      <w:r w:rsidRPr="00677D1F">
        <w:rPr>
          <w:rFonts w:hint="eastAsia"/>
          <w:sz w:val="24"/>
        </w:rPr>
        <w:t>排放口（源）》（</w:t>
      </w:r>
      <w:r w:rsidRPr="00677D1F">
        <w:rPr>
          <w:sz w:val="24"/>
        </w:rPr>
        <w:t>GB15562.1-1995</w:t>
      </w:r>
      <w:r w:rsidRPr="00677D1F">
        <w:rPr>
          <w:rFonts w:hint="eastAsia"/>
          <w:sz w:val="24"/>
        </w:rPr>
        <w:t>）规定的图形，在各气、水、声排污口（源）挂牌标识，做到各排污口（源）的环保标志明显，便于企业管理和公众监督。</w:t>
      </w:r>
    </w:p>
    <w:p w:rsidR="00D228BE" w:rsidRPr="00677D1F" w:rsidRDefault="00332EB6" w:rsidP="00677D1F">
      <w:pPr>
        <w:spacing w:line="360" w:lineRule="auto"/>
        <w:ind w:firstLineChars="200" w:firstLine="480"/>
        <w:contextualSpacing/>
        <w:rPr>
          <w:sz w:val="24"/>
        </w:rPr>
      </w:pPr>
      <w:r w:rsidRPr="00677D1F">
        <w:rPr>
          <w:rFonts w:hint="eastAsia"/>
          <w:sz w:val="24"/>
        </w:rPr>
        <w:lastRenderedPageBreak/>
        <w:t>列入总量控制污染物的排污口为管理的重点，排污口应便于采样与计量监测，便于日常现场监督检查。排污口位置必须合理确定，按环监</w:t>
      </w:r>
      <w:r w:rsidRPr="00677D1F">
        <w:rPr>
          <w:sz w:val="24"/>
        </w:rPr>
        <w:t>[1996]470</w:t>
      </w:r>
      <w:r w:rsidRPr="00677D1F">
        <w:rPr>
          <w:rFonts w:hint="eastAsia"/>
          <w:sz w:val="24"/>
        </w:rPr>
        <w:t>号文件要求进行规范化管理。</w:t>
      </w:r>
    </w:p>
    <w:p w:rsidR="00D228BE" w:rsidRPr="00677D1F" w:rsidRDefault="00332EB6" w:rsidP="00677D1F">
      <w:pPr>
        <w:spacing w:line="360" w:lineRule="auto"/>
        <w:ind w:firstLineChars="200" w:firstLine="480"/>
        <w:contextualSpacing/>
        <w:rPr>
          <w:sz w:val="24"/>
        </w:rPr>
      </w:pPr>
      <w:r w:rsidRPr="00677D1F">
        <w:rPr>
          <w:rFonts w:hint="eastAsia"/>
          <w:sz w:val="24"/>
        </w:rPr>
        <w:t>污染物排放口的环保图形标志牌应设置在靠近采样点的醒目位置处，标志牌设置高度为其上缘距地面约</w:t>
      </w:r>
      <w:r w:rsidRPr="00677D1F">
        <w:rPr>
          <w:sz w:val="24"/>
        </w:rPr>
        <w:t>2m</w:t>
      </w:r>
      <w:r w:rsidRPr="00677D1F">
        <w:rPr>
          <w:rFonts w:hint="eastAsia"/>
          <w:sz w:val="24"/>
        </w:rPr>
        <w:t>。</w:t>
      </w:r>
    </w:p>
    <w:p w:rsidR="00D228BE" w:rsidRPr="00677D1F" w:rsidRDefault="00332EB6" w:rsidP="00677D1F">
      <w:pPr>
        <w:spacing w:line="360" w:lineRule="auto"/>
        <w:ind w:firstLineChars="200" w:firstLine="480"/>
        <w:contextualSpacing/>
        <w:rPr>
          <w:sz w:val="24"/>
        </w:rPr>
      </w:pPr>
      <w:r w:rsidRPr="00677D1F">
        <w:rPr>
          <w:rFonts w:hint="eastAsia"/>
          <w:sz w:val="24"/>
        </w:rPr>
        <w:t>重点排污单位的污染物排放口或固体废物贮存处置场地以设置立式标志牌为主，一般排污单位的污染物排放口或固体废物贮存处置场地可以根据情况设置立式或平面固定式标志牌。一般污染物排放口、危险废物排放口或固体废物贮存堆放场地设置提示性环境保护图形标志牌。</w:t>
      </w:r>
    </w:p>
    <w:p w:rsidR="00D228BE" w:rsidRPr="00677D1F" w:rsidRDefault="00332EB6" w:rsidP="00677D1F">
      <w:pPr>
        <w:spacing w:line="360" w:lineRule="auto"/>
        <w:ind w:firstLineChars="200" w:firstLine="480"/>
        <w:contextualSpacing/>
        <w:rPr>
          <w:sz w:val="24"/>
        </w:rPr>
      </w:pPr>
      <w:r w:rsidRPr="00677D1F">
        <w:rPr>
          <w:rFonts w:hint="eastAsia"/>
          <w:sz w:val="24"/>
        </w:rPr>
        <w:t>环境保护图形标志具体设置图形见表</w:t>
      </w:r>
      <w:r w:rsidRPr="00677D1F">
        <w:rPr>
          <w:rFonts w:hint="eastAsia"/>
          <w:sz w:val="24"/>
        </w:rPr>
        <w:t>14</w:t>
      </w:r>
      <w:r w:rsidRPr="00677D1F">
        <w:rPr>
          <w:sz w:val="24"/>
        </w:rPr>
        <w:t>.1-1</w:t>
      </w:r>
      <w:r w:rsidRPr="00677D1F">
        <w:rPr>
          <w:rFonts w:hint="eastAsia"/>
          <w:sz w:val="24"/>
        </w:rPr>
        <w:t>、</w:t>
      </w:r>
      <w:r w:rsidRPr="00677D1F">
        <w:rPr>
          <w:rFonts w:hint="eastAsia"/>
          <w:sz w:val="24"/>
        </w:rPr>
        <w:t>14</w:t>
      </w:r>
      <w:r w:rsidRPr="00677D1F">
        <w:rPr>
          <w:sz w:val="24"/>
        </w:rPr>
        <w:t>.1-2</w:t>
      </w:r>
      <w:r w:rsidRPr="00677D1F">
        <w:rPr>
          <w:rFonts w:hint="eastAsia"/>
          <w:sz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表14</w:t>
      </w:r>
      <w:r w:rsidRPr="00677D1F">
        <w:rPr>
          <w:rFonts w:ascii="黑体" w:eastAsia="黑体" w:hAnsi="黑体" w:cs="宋体"/>
          <w:b/>
          <w:color w:val="000000"/>
          <w:kern w:val="0"/>
          <w:szCs w:val="21"/>
        </w:rPr>
        <w:t>.1</w:t>
      </w:r>
      <w:r w:rsidRPr="00677D1F">
        <w:rPr>
          <w:rFonts w:ascii="黑体" w:eastAsia="黑体" w:hAnsi="黑体" w:cs="宋体" w:hint="eastAsia"/>
          <w:b/>
          <w:color w:val="000000"/>
          <w:kern w:val="0"/>
          <w:szCs w:val="21"/>
        </w:rPr>
        <w:t>-</w:t>
      </w:r>
      <w:r w:rsidRPr="00677D1F">
        <w:rPr>
          <w:rFonts w:ascii="黑体" w:eastAsia="黑体" w:hAnsi="黑体" w:cs="宋体"/>
          <w:b/>
          <w:color w:val="000000"/>
          <w:kern w:val="0"/>
          <w:szCs w:val="21"/>
        </w:rPr>
        <w:t xml:space="preserve">1  </w:t>
      </w:r>
      <w:r w:rsidRPr="00677D1F">
        <w:rPr>
          <w:rFonts w:ascii="黑体" w:eastAsia="黑体" w:hAnsi="黑体" w:cs="宋体" w:hint="eastAsia"/>
          <w:b/>
          <w:color w:val="000000"/>
          <w:kern w:val="0"/>
          <w:szCs w:val="21"/>
        </w:rPr>
        <w:t>一般污染物环境保护图形标志设置图形表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2289"/>
        <w:gridCol w:w="2257"/>
        <w:gridCol w:w="2269"/>
      </w:tblGrid>
      <w:tr w:rsidR="00D228BE" w:rsidRPr="00677D1F">
        <w:trPr>
          <w:trHeight w:val="340"/>
          <w:jc w:val="center"/>
        </w:trPr>
        <w:tc>
          <w:tcPr>
            <w:tcW w:w="225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
                <w:szCs w:val="21"/>
              </w:rPr>
            </w:pPr>
            <w:r w:rsidRPr="00677D1F">
              <w:rPr>
                <w:rFonts w:asciiTheme="minorEastAsia" w:hAnsiTheme="minorEastAsia" w:hint="eastAsia"/>
                <w:b/>
              </w:rPr>
              <w:t>排放口</w:t>
            </w:r>
          </w:p>
        </w:tc>
        <w:tc>
          <w:tcPr>
            <w:tcW w:w="228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
                <w:szCs w:val="21"/>
              </w:rPr>
            </w:pPr>
            <w:r w:rsidRPr="00677D1F">
              <w:rPr>
                <w:rFonts w:asciiTheme="minorEastAsia" w:hAnsiTheme="minorEastAsia" w:hint="eastAsia"/>
                <w:b/>
              </w:rPr>
              <w:t>废水排口</w:t>
            </w:r>
          </w:p>
        </w:tc>
        <w:tc>
          <w:tcPr>
            <w:tcW w:w="225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
                <w:szCs w:val="21"/>
              </w:rPr>
            </w:pPr>
            <w:r w:rsidRPr="00677D1F">
              <w:rPr>
                <w:rFonts w:asciiTheme="minorEastAsia" w:hAnsiTheme="minorEastAsia" w:hint="eastAsia"/>
                <w:b/>
              </w:rPr>
              <w:t>废气排口</w:t>
            </w:r>
          </w:p>
        </w:tc>
        <w:tc>
          <w:tcPr>
            <w:tcW w:w="226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
                <w:szCs w:val="21"/>
              </w:rPr>
            </w:pPr>
            <w:r w:rsidRPr="00677D1F">
              <w:rPr>
                <w:rFonts w:asciiTheme="minorEastAsia" w:hAnsiTheme="minorEastAsia" w:hint="eastAsia"/>
                <w:b/>
              </w:rPr>
              <w:t>噪声源</w:t>
            </w:r>
          </w:p>
        </w:tc>
      </w:tr>
      <w:tr w:rsidR="00D228BE" w:rsidRPr="00677D1F">
        <w:trPr>
          <w:trHeight w:val="340"/>
          <w:jc w:val="center"/>
        </w:trPr>
        <w:tc>
          <w:tcPr>
            <w:tcW w:w="225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hint="eastAsia"/>
                <w:bCs/>
              </w:rPr>
              <w:t>图形符号</w:t>
            </w:r>
          </w:p>
        </w:tc>
        <w:tc>
          <w:tcPr>
            <w:tcW w:w="228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noProof/>
                <w:szCs w:val="21"/>
              </w:rPr>
              <w:drawing>
                <wp:inline distT="0" distB="0" distL="0" distR="0" wp14:anchorId="5379BF03" wp14:editId="00A1B447">
                  <wp:extent cx="1095375" cy="1028700"/>
                  <wp:effectExtent l="0" t="0" r="9525" b="0"/>
                  <wp:docPr id="11" name="图片 11"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废水排口"/>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95375" cy="1028700"/>
                          </a:xfrm>
                          <a:prstGeom prst="rect">
                            <a:avLst/>
                          </a:prstGeom>
                          <a:noFill/>
                        </pic:spPr>
                      </pic:pic>
                    </a:graphicData>
                  </a:graphic>
                </wp:inline>
              </w:drawing>
            </w:r>
          </w:p>
        </w:tc>
        <w:tc>
          <w:tcPr>
            <w:tcW w:w="225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widowControl/>
              <w:contextualSpacing/>
              <w:jc w:val="center"/>
              <w:rPr>
                <w:rFonts w:asciiTheme="minorEastAsia" w:hAnsiTheme="minorEastAsia"/>
                <w:bCs/>
                <w:szCs w:val="21"/>
              </w:rPr>
            </w:pPr>
            <w:r w:rsidRPr="00677D1F">
              <w:rPr>
                <w:rFonts w:asciiTheme="minorEastAsia" w:hAnsiTheme="minorEastAsia"/>
                <w:noProof/>
                <w:szCs w:val="21"/>
              </w:rPr>
              <w:drawing>
                <wp:inline distT="0" distB="0" distL="0" distR="0" wp14:anchorId="568DC7A1" wp14:editId="18306267">
                  <wp:extent cx="1125220" cy="1017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25220" cy="1017905"/>
                          </a:xfrm>
                          <a:prstGeom prst="rect">
                            <a:avLst/>
                          </a:prstGeom>
                          <a:noFill/>
                        </pic:spPr>
                      </pic:pic>
                    </a:graphicData>
                  </a:graphic>
                </wp:inline>
              </w:drawing>
            </w:r>
          </w:p>
        </w:tc>
        <w:tc>
          <w:tcPr>
            <w:tcW w:w="226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noProof/>
                <w:szCs w:val="21"/>
              </w:rPr>
              <w:drawing>
                <wp:inline distT="0" distB="0" distL="0" distR="0" wp14:anchorId="133BD27A" wp14:editId="7906499D">
                  <wp:extent cx="1047750" cy="1047750"/>
                  <wp:effectExtent l="0" t="0" r="0" b="0"/>
                  <wp:docPr id="9" name="图片 9"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噪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pic:spPr>
                      </pic:pic>
                    </a:graphicData>
                  </a:graphic>
                </wp:inline>
              </w:drawing>
            </w:r>
          </w:p>
        </w:tc>
      </w:tr>
      <w:tr w:rsidR="00D228BE" w:rsidRPr="00677D1F">
        <w:trPr>
          <w:trHeight w:val="340"/>
          <w:jc w:val="center"/>
        </w:trPr>
        <w:tc>
          <w:tcPr>
            <w:tcW w:w="225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hint="eastAsia"/>
                <w:bCs/>
              </w:rPr>
              <w:t>背景颜色</w:t>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hint="eastAsia"/>
                <w:bCs/>
              </w:rPr>
              <w:t>绿色</w:t>
            </w:r>
          </w:p>
        </w:tc>
      </w:tr>
      <w:tr w:rsidR="00D228BE" w:rsidRPr="00677D1F">
        <w:trPr>
          <w:trHeight w:val="340"/>
          <w:jc w:val="center"/>
        </w:trPr>
        <w:tc>
          <w:tcPr>
            <w:tcW w:w="225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hint="eastAsia"/>
                <w:bCs/>
              </w:rPr>
              <w:t>图形颜色</w:t>
            </w:r>
          </w:p>
        </w:tc>
        <w:tc>
          <w:tcPr>
            <w:tcW w:w="6815" w:type="dxa"/>
            <w:gridSpan w:val="3"/>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rFonts w:asciiTheme="minorEastAsia" w:hAnsiTheme="minorEastAsia"/>
                <w:bCs/>
                <w:szCs w:val="21"/>
              </w:rPr>
            </w:pPr>
            <w:r w:rsidRPr="00677D1F">
              <w:rPr>
                <w:rFonts w:asciiTheme="minorEastAsia" w:hAnsiTheme="minorEastAsia" w:hint="eastAsia"/>
                <w:bCs/>
              </w:rPr>
              <w:t>白色</w:t>
            </w:r>
          </w:p>
        </w:tc>
      </w:tr>
    </w:tbl>
    <w:p w:rsidR="00D228BE" w:rsidRPr="00677D1F" w:rsidRDefault="00D228BE" w:rsidP="00677D1F">
      <w:pPr>
        <w:spacing w:line="240" w:lineRule="exact"/>
        <w:ind w:firstLineChars="200" w:firstLine="480"/>
        <w:contextualSpacing/>
        <w:rPr>
          <w:sz w:val="24"/>
        </w:rPr>
      </w:pP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表14</w:t>
      </w:r>
      <w:r w:rsidRPr="00677D1F">
        <w:rPr>
          <w:rFonts w:ascii="黑体" w:eastAsia="黑体" w:hAnsi="黑体" w:cs="宋体"/>
          <w:b/>
          <w:color w:val="000000"/>
          <w:kern w:val="0"/>
          <w:szCs w:val="21"/>
        </w:rPr>
        <w:t xml:space="preserve">.1-2  </w:t>
      </w:r>
      <w:r w:rsidRPr="00677D1F">
        <w:rPr>
          <w:rFonts w:ascii="黑体" w:eastAsia="黑体" w:hAnsi="黑体" w:cs="宋体" w:hint="eastAsia"/>
          <w:b/>
          <w:color w:val="000000"/>
          <w:kern w:val="0"/>
          <w:szCs w:val="21"/>
        </w:rPr>
        <w:t>危险废物标识标牌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3248"/>
        <w:gridCol w:w="4021"/>
      </w:tblGrid>
      <w:tr w:rsidR="00D228BE" w:rsidRPr="00677D1F">
        <w:trPr>
          <w:trHeight w:val="340"/>
          <w:jc w:val="center"/>
        </w:trPr>
        <w:tc>
          <w:tcPr>
            <w:tcW w:w="1803"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szCs w:val="21"/>
              </w:rPr>
            </w:pPr>
            <w:r w:rsidRPr="00677D1F">
              <w:rPr>
                <w:rFonts w:hint="eastAsia"/>
                <w:b/>
              </w:rPr>
              <w:t>位置</w:t>
            </w:r>
          </w:p>
        </w:tc>
        <w:tc>
          <w:tcPr>
            <w:tcW w:w="3248"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szCs w:val="21"/>
              </w:rPr>
            </w:pPr>
            <w:r w:rsidRPr="00677D1F">
              <w:rPr>
                <w:rFonts w:hint="eastAsia"/>
                <w:b/>
              </w:rPr>
              <w:t>图形符号</w:t>
            </w:r>
          </w:p>
        </w:tc>
        <w:tc>
          <w:tcPr>
            <w:tcW w:w="4021"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szCs w:val="21"/>
              </w:rPr>
            </w:pPr>
            <w:r w:rsidRPr="00677D1F">
              <w:rPr>
                <w:rFonts w:hint="eastAsia"/>
                <w:b/>
              </w:rPr>
              <w:t>说明</w:t>
            </w:r>
          </w:p>
        </w:tc>
      </w:tr>
      <w:tr w:rsidR="00D228BE" w:rsidRPr="00677D1F">
        <w:trPr>
          <w:trHeight w:val="340"/>
          <w:jc w:val="center"/>
        </w:trPr>
        <w:tc>
          <w:tcPr>
            <w:tcW w:w="1803"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Cs/>
                <w:szCs w:val="21"/>
              </w:rPr>
            </w:pPr>
            <w:r w:rsidRPr="00677D1F">
              <w:rPr>
                <w:rFonts w:hint="eastAsia"/>
                <w:bCs/>
              </w:rPr>
              <w:t>适合在室内外悬挂</w:t>
            </w:r>
          </w:p>
        </w:tc>
        <w:tc>
          <w:tcPr>
            <w:tcW w:w="3248"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kern w:val="0"/>
              </w:rPr>
            </w:pPr>
            <w:r w:rsidRPr="00677D1F">
              <w:rPr>
                <w:noProof/>
                <w:szCs w:val="21"/>
              </w:rPr>
              <w:drawing>
                <wp:inline distT="0" distB="0" distL="0" distR="0" wp14:anchorId="01430E31" wp14:editId="04840E8C">
                  <wp:extent cx="1211580" cy="1129030"/>
                  <wp:effectExtent l="0" t="0" r="7620" b="0"/>
                  <wp:docPr id="8" name="图片 8" descr="wps4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4EE2"/>
                          <pic:cNvPicPr>
                            <a:picLocks noChangeAspect="1" noChangeArrowheads="1"/>
                          </pic:cNvPicPr>
                        </pic:nvPicPr>
                        <pic:blipFill>
                          <a:blip r:embed="rId45">
                            <a:extLst>
                              <a:ext uri="{28A0092B-C50C-407E-A947-70E740481C1C}">
                                <a14:useLocalDpi xmlns:a14="http://schemas.microsoft.com/office/drawing/2010/main" val="0"/>
                              </a:ext>
                            </a:extLst>
                          </a:blip>
                          <a:srcRect b="2890"/>
                          <a:stretch>
                            <a:fillRect/>
                          </a:stretch>
                        </pic:blipFill>
                        <pic:spPr>
                          <a:xfrm>
                            <a:off x="0" y="0"/>
                            <a:ext cx="1211580" cy="1129030"/>
                          </a:xfrm>
                          <a:prstGeom prst="rect">
                            <a:avLst/>
                          </a:prstGeom>
                          <a:noFill/>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rPr>
                <w:bCs/>
                <w:szCs w:val="21"/>
              </w:rPr>
            </w:pPr>
            <w:r w:rsidRPr="00677D1F">
              <w:rPr>
                <w:bCs/>
              </w:rPr>
              <w:t>1</w:t>
            </w:r>
            <w:r w:rsidRPr="00677D1F">
              <w:rPr>
                <w:rFonts w:hint="eastAsia"/>
                <w:bCs/>
              </w:rPr>
              <w:t>、危险废物警告标志规格颜色</w:t>
            </w:r>
          </w:p>
          <w:p w:rsidR="00D228BE" w:rsidRPr="00677D1F" w:rsidRDefault="00332EB6" w:rsidP="00677D1F">
            <w:pPr>
              <w:contextualSpacing/>
              <w:rPr>
                <w:bCs/>
              </w:rPr>
            </w:pPr>
            <w:r w:rsidRPr="00677D1F">
              <w:rPr>
                <w:rFonts w:hint="eastAsia"/>
                <w:bCs/>
              </w:rPr>
              <w:t>形状：等边三角形</w:t>
            </w:r>
          </w:p>
          <w:p w:rsidR="00D228BE" w:rsidRPr="00677D1F" w:rsidRDefault="00332EB6" w:rsidP="00677D1F">
            <w:pPr>
              <w:contextualSpacing/>
              <w:rPr>
                <w:bCs/>
              </w:rPr>
            </w:pPr>
            <w:r w:rsidRPr="00677D1F">
              <w:rPr>
                <w:rFonts w:hint="eastAsia"/>
                <w:bCs/>
              </w:rPr>
              <w:t>颜色：背景为黄色，图形为黑色</w:t>
            </w:r>
          </w:p>
          <w:p w:rsidR="00D228BE" w:rsidRPr="00677D1F" w:rsidRDefault="00332EB6" w:rsidP="00677D1F">
            <w:pPr>
              <w:contextualSpacing/>
              <w:rPr>
                <w:bCs/>
              </w:rPr>
            </w:pPr>
            <w:r w:rsidRPr="00677D1F">
              <w:rPr>
                <w:bCs/>
              </w:rPr>
              <w:t>2</w:t>
            </w:r>
            <w:r w:rsidRPr="00677D1F">
              <w:rPr>
                <w:rFonts w:hint="eastAsia"/>
                <w:bCs/>
              </w:rPr>
              <w:t>、警告标志外檐</w:t>
            </w:r>
            <w:r w:rsidRPr="00677D1F">
              <w:rPr>
                <w:bCs/>
              </w:rPr>
              <w:t>2.5cm</w:t>
            </w:r>
          </w:p>
          <w:p w:rsidR="00D228BE" w:rsidRPr="00677D1F" w:rsidRDefault="00332EB6" w:rsidP="00677D1F">
            <w:pPr>
              <w:contextualSpacing/>
              <w:rPr>
                <w:bCs/>
                <w:szCs w:val="21"/>
              </w:rPr>
            </w:pPr>
            <w:r w:rsidRPr="00677D1F">
              <w:rPr>
                <w:bCs/>
              </w:rPr>
              <w:t>3</w:t>
            </w:r>
            <w:r w:rsidRPr="00677D1F">
              <w:rPr>
                <w:rFonts w:hint="eastAsia"/>
                <w:bCs/>
              </w:rPr>
              <w:t>、使用于：危险废物贮存设为房屋的，建有围墙或防护栅栏，且高度高于</w:t>
            </w:r>
            <w:r w:rsidRPr="00677D1F">
              <w:rPr>
                <w:bCs/>
              </w:rPr>
              <w:t>100CM</w:t>
            </w:r>
            <w:r w:rsidRPr="00677D1F">
              <w:rPr>
                <w:rFonts w:hint="eastAsia"/>
                <w:bCs/>
              </w:rPr>
              <w:t>时；部分危险废物利用、处置场所。</w:t>
            </w:r>
          </w:p>
        </w:tc>
      </w:tr>
      <w:tr w:rsidR="00D228BE" w:rsidRPr="00677D1F">
        <w:trPr>
          <w:trHeight w:val="340"/>
          <w:jc w:val="center"/>
        </w:trPr>
        <w:tc>
          <w:tcPr>
            <w:tcW w:w="1803"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Cs/>
                <w:szCs w:val="21"/>
              </w:rPr>
            </w:pPr>
            <w:r w:rsidRPr="00677D1F">
              <w:rPr>
                <w:rFonts w:hint="eastAsia"/>
                <w:bCs/>
              </w:rPr>
              <w:t>粘贴于危险废物储存容器</w:t>
            </w:r>
          </w:p>
        </w:tc>
        <w:tc>
          <w:tcPr>
            <w:tcW w:w="3248"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Cs/>
                <w:szCs w:val="21"/>
              </w:rPr>
            </w:pPr>
            <w:r w:rsidRPr="00677D1F">
              <w:rPr>
                <w:noProof/>
                <w:szCs w:val="21"/>
              </w:rPr>
              <w:drawing>
                <wp:inline distT="0" distB="0" distL="0" distR="0" wp14:anchorId="592ED2CC" wp14:editId="7459BB74">
                  <wp:extent cx="1444625" cy="1114425"/>
                  <wp:effectExtent l="0" t="0" r="3175" b="9525"/>
                  <wp:docPr id="7" name="图片 7" descr="wps9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ps9D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444625" cy="1114425"/>
                          </a:xfrm>
                          <a:prstGeom prst="rect">
                            <a:avLst/>
                          </a:prstGeom>
                          <a:noFill/>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rPr>
                <w:bCs/>
                <w:szCs w:val="21"/>
              </w:rPr>
            </w:pPr>
            <w:r w:rsidRPr="00677D1F">
              <w:rPr>
                <w:bCs/>
              </w:rPr>
              <w:t>1</w:t>
            </w:r>
            <w:r w:rsidRPr="00677D1F">
              <w:rPr>
                <w:rFonts w:hint="eastAsia"/>
                <w:bCs/>
              </w:rPr>
              <w:t>、危险废物标签尺寸颜色</w:t>
            </w:r>
          </w:p>
          <w:p w:rsidR="00D228BE" w:rsidRPr="00677D1F" w:rsidRDefault="00332EB6" w:rsidP="00677D1F">
            <w:pPr>
              <w:contextualSpacing/>
              <w:rPr>
                <w:bCs/>
              </w:rPr>
            </w:pPr>
            <w:r w:rsidRPr="00677D1F">
              <w:rPr>
                <w:rFonts w:hint="eastAsia"/>
                <w:bCs/>
              </w:rPr>
              <w:t>底色：醒目的橘黄色</w:t>
            </w:r>
          </w:p>
          <w:p w:rsidR="00D228BE" w:rsidRPr="00677D1F" w:rsidRDefault="00332EB6" w:rsidP="00677D1F">
            <w:pPr>
              <w:contextualSpacing/>
              <w:rPr>
                <w:bCs/>
              </w:rPr>
            </w:pPr>
            <w:r w:rsidRPr="00677D1F">
              <w:rPr>
                <w:rFonts w:hint="eastAsia"/>
                <w:bCs/>
              </w:rPr>
              <w:t>字体：黑体字</w:t>
            </w:r>
          </w:p>
          <w:p w:rsidR="00D228BE" w:rsidRPr="00677D1F" w:rsidRDefault="00332EB6" w:rsidP="00677D1F">
            <w:pPr>
              <w:contextualSpacing/>
              <w:rPr>
                <w:bCs/>
              </w:rPr>
            </w:pPr>
            <w:r w:rsidRPr="00677D1F">
              <w:rPr>
                <w:rFonts w:hint="eastAsia"/>
                <w:bCs/>
              </w:rPr>
              <w:t>字体颜色：黑色</w:t>
            </w:r>
          </w:p>
          <w:p w:rsidR="00D228BE" w:rsidRPr="00677D1F" w:rsidRDefault="00332EB6" w:rsidP="00677D1F">
            <w:pPr>
              <w:contextualSpacing/>
              <w:rPr>
                <w:bCs/>
              </w:rPr>
            </w:pPr>
            <w:r w:rsidRPr="00677D1F">
              <w:rPr>
                <w:bCs/>
              </w:rPr>
              <w:t>2</w:t>
            </w:r>
            <w:r w:rsidRPr="00677D1F">
              <w:rPr>
                <w:rFonts w:hint="eastAsia"/>
                <w:bCs/>
              </w:rPr>
              <w:t>、危险类别：按危险废物种类选择。</w:t>
            </w:r>
          </w:p>
          <w:p w:rsidR="00D228BE" w:rsidRPr="00677D1F" w:rsidRDefault="00332EB6" w:rsidP="00677D1F">
            <w:pPr>
              <w:contextualSpacing/>
              <w:rPr>
                <w:bCs/>
                <w:szCs w:val="21"/>
              </w:rPr>
            </w:pPr>
            <w:r w:rsidRPr="00677D1F">
              <w:rPr>
                <w:bCs/>
              </w:rPr>
              <w:t>3</w:t>
            </w:r>
            <w:r w:rsidRPr="00677D1F">
              <w:rPr>
                <w:rFonts w:hint="eastAsia"/>
                <w:bCs/>
              </w:rPr>
              <w:t>、材料为不干胶印刷品。</w:t>
            </w:r>
          </w:p>
        </w:tc>
      </w:tr>
      <w:tr w:rsidR="00D228BE" w:rsidRPr="00677D1F">
        <w:trPr>
          <w:trHeight w:val="340"/>
          <w:jc w:val="center"/>
        </w:trPr>
        <w:tc>
          <w:tcPr>
            <w:tcW w:w="1803"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Cs/>
                <w:szCs w:val="21"/>
              </w:rPr>
            </w:pPr>
            <w:r w:rsidRPr="00677D1F">
              <w:rPr>
                <w:rFonts w:hint="eastAsia"/>
                <w:bCs/>
              </w:rPr>
              <w:lastRenderedPageBreak/>
              <w:t>系挂于袋装危险废物包装物</w:t>
            </w:r>
          </w:p>
        </w:tc>
        <w:tc>
          <w:tcPr>
            <w:tcW w:w="3248"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noProof/>
                <w:szCs w:val="21"/>
              </w:rPr>
              <w:drawing>
                <wp:inline distT="0" distB="0" distL="0" distR="0" wp14:anchorId="3179437B" wp14:editId="141EA692">
                  <wp:extent cx="1482090" cy="1151890"/>
                  <wp:effectExtent l="0" t="0" r="3810" b="0"/>
                  <wp:docPr id="3" name="图片 3" descr="wps2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245B"/>
                          <pic:cNvPicPr>
                            <a:picLocks noChangeAspect="1" noChangeArrowheads="1"/>
                          </pic:cNvPicPr>
                        </pic:nvPicPr>
                        <pic:blipFill>
                          <a:blip r:embed="rId47">
                            <a:extLst>
                              <a:ext uri="{28A0092B-C50C-407E-A947-70E740481C1C}">
                                <a14:useLocalDpi xmlns:a14="http://schemas.microsoft.com/office/drawing/2010/main" val="0"/>
                              </a:ext>
                            </a:extLst>
                          </a:blip>
                          <a:srcRect t="2296"/>
                          <a:stretch>
                            <a:fillRect/>
                          </a:stretch>
                        </pic:blipFill>
                        <pic:spPr>
                          <a:xfrm>
                            <a:off x="0" y="0"/>
                            <a:ext cx="1482090" cy="1151890"/>
                          </a:xfrm>
                          <a:prstGeom prst="rect">
                            <a:avLst/>
                          </a:prstGeom>
                          <a:noFill/>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rPr>
                <w:bCs/>
                <w:szCs w:val="21"/>
              </w:rPr>
            </w:pPr>
            <w:r w:rsidRPr="00677D1F">
              <w:rPr>
                <w:bCs/>
              </w:rPr>
              <w:t>1</w:t>
            </w:r>
            <w:r w:rsidRPr="00677D1F">
              <w:rPr>
                <w:rFonts w:hint="eastAsia"/>
                <w:bCs/>
              </w:rPr>
              <w:t>、危险废物标签尺寸颜色</w:t>
            </w:r>
          </w:p>
          <w:p w:rsidR="00D228BE" w:rsidRPr="00677D1F" w:rsidRDefault="00332EB6" w:rsidP="00677D1F">
            <w:pPr>
              <w:contextualSpacing/>
              <w:rPr>
                <w:bCs/>
              </w:rPr>
            </w:pPr>
            <w:r w:rsidRPr="00677D1F">
              <w:rPr>
                <w:rFonts w:hint="eastAsia"/>
                <w:bCs/>
              </w:rPr>
              <w:t>底色：醒目的橘黄色</w:t>
            </w:r>
          </w:p>
          <w:p w:rsidR="00D228BE" w:rsidRPr="00677D1F" w:rsidRDefault="00332EB6" w:rsidP="00677D1F">
            <w:pPr>
              <w:contextualSpacing/>
              <w:rPr>
                <w:bCs/>
              </w:rPr>
            </w:pPr>
            <w:r w:rsidRPr="00677D1F">
              <w:rPr>
                <w:rFonts w:hint="eastAsia"/>
                <w:bCs/>
              </w:rPr>
              <w:t>字体：黑体字</w:t>
            </w:r>
          </w:p>
          <w:p w:rsidR="00D228BE" w:rsidRPr="00677D1F" w:rsidRDefault="00332EB6" w:rsidP="00677D1F">
            <w:pPr>
              <w:contextualSpacing/>
              <w:rPr>
                <w:bCs/>
              </w:rPr>
            </w:pPr>
            <w:r w:rsidRPr="00677D1F">
              <w:rPr>
                <w:rFonts w:hint="eastAsia"/>
                <w:bCs/>
              </w:rPr>
              <w:t>字体颜色：黑色</w:t>
            </w:r>
          </w:p>
          <w:p w:rsidR="00D228BE" w:rsidRPr="00677D1F" w:rsidRDefault="00332EB6" w:rsidP="00677D1F">
            <w:pPr>
              <w:contextualSpacing/>
              <w:rPr>
                <w:bCs/>
              </w:rPr>
            </w:pPr>
            <w:r w:rsidRPr="00677D1F">
              <w:rPr>
                <w:bCs/>
              </w:rPr>
              <w:t>2</w:t>
            </w:r>
            <w:r w:rsidRPr="00677D1F">
              <w:rPr>
                <w:rFonts w:hint="eastAsia"/>
                <w:bCs/>
              </w:rPr>
              <w:t>、危险类别：按危险废物种类选择。</w:t>
            </w:r>
          </w:p>
          <w:p w:rsidR="00D228BE" w:rsidRPr="00677D1F" w:rsidRDefault="00332EB6" w:rsidP="00677D1F">
            <w:pPr>
              <w:contextualSpacing/>
              <w:rPr>
                <w:bCs/>
                <w:szCs w:val="21"/>
              </w:rPr>
            </w:pPr>
            <w:r w:rsidRPr="00677D1F">
              <w:rPr>
                <w:bCs/>
              </w:rPr>
              <w:t>3</w:t>
            </w:r>
            <w:r w:rsidRPr="00677D1F">
              <w:rPr>
                <w:rFonts w:hint="eastAsia"/>
                <w:bCs/>
              </w:rPr>
              <w:t>、材料为印刷品。</w:t>
            </w:r>
          </w:p>
        </w:tc>
      </w:tr>
    </w:tbl>
    <w:p w:rsidR="00D228BE" w:rsidRPr="00677D1F" w:rsidRDefault="00D228BE" w:rsidP="00677D1F">
      <w:pPr>
        <w:widowControl/>
        <w:spacing w:line="240" w:lineRule="exact"/>
        <w:ind w:firstLineChars="200" w:firstLine="480"/>
        <w:contextualSpacing/>
        <w:rPr>
          <w:rFonts w:asciiTheme="minorEastAsia" w:hAnsiTheme="minorEastAsia" w:cs="宋体"/>
          <w:color w:val="000000"/>
          <w:kern w:val="0"/>
          <w:sz w:val="24"/>
          <w:szCs w:val="24"/>
        </w:rPr>
      </w:pPr>
    </w:p>
    <w:p w:rsidR="00D228BE" w:rsidRPr="00677D1F" w:rsidRDefault="00332EB6" w:rsidP="00677D1F">
      <w:pPr>
        <w:pStyle w:val="2"/>
        <w:keepNext/>
        <w:spacing w:beforeLines="100" w:before="240" w:afterLines="100" w:after="240"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14.</w:t>
      </w:r>
      <w:r w:rsidRPr="00677D1F">
        <w:rPr>
          <w:rFonts w:ascii="宋体" w:hAnsi="宋体" w:hint="eastAsia"/>
          <w:bCs w:val="0"/>
          <w:kern w:val="2"/>
          <w:sz w:val="30"/>
          <w:szCs w:val="30"/>
        </w:rPr>
        <w:t>2 环境监测</w:t>
      </w:r>
    </w:p>
    <w:p w:rsidR="00D228BE" w:rsidRPr="00677D1F" w:rsidRDefault="00332EB6" w:rsidP="00677D1F">
      <w:pPr>
        <w:pStyle w:val="3"/>
        <w:keepNext/>
        <w:keepLines/>
        <w:spacing w:beforeLines="50" w:before="120" w:afterLines="50" w:after="120" w:line="360" w:lineRule="auto"/>
        <w:ind w:firstLineChars="0" w:firstLine="0"/>
        <w:contextualSpacing/>
        <w:textAlignment w:val="baseline"/>
        <w:rPr>
          <w:rFonts w:ascii="宋体" w:hAnsi="宋体"/>
          <w:sz w:val="28"/>
          <w:szCs w:val="28"/>
        </w:rPr>
      </w:pPr>
      <w:r w:rsidRPr="00677D1F">
        <w:rPr>
          <w:rFonts w:ascii="宋体" w:hAnsi="宋体"/>
          <w:sz w:val="28"/>
          <w:szCs w:val="28"/>
        </w:rPr>
        <w:t>14.</w:t>
      </w:r>
      <w:r w:rsidRPr="00677D1F">
        <w:rPr>
          <w:rFonts w:ascii="宋体" w:hAnsi="宋体" w:hint="eastAsia"/>
          <w:sz w:val="28"/>
          <w:szCs w:val="28"/>
        </w:rPr>
        <w:t>2</w:t>
      </w:r>
      <w:r w:rsidRPr="00677D1F">
        <w:rPr>
          <w:rFonts w:ascii="宋体" w:hAnsi="宋体"/>
          <w:sz w:val="28"/>
          <w:szCs w:val="28"/>
        </w:rPr>
        <w:t>.1</w:t>
      </w:r>
      <w:r w:rsidRPr="00677D1F">
        <w:rPr>
          <w:rFonts w:ascii="宋体" w:hAnsi="宋体" w:hint="eastAsia"/>
          <w:sz w:val="28"/>
          <w:szCs w:val="28"/>
        </w:rPr>
        <w:t xml:space="preserve"> 环境监测机构及检测仪器配置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项目外环境的监测应由环保管理部门认可的专业监测单位进行，检测频次及监测项目按环保局的相关规定进行，项目内的环境监测可以由企业内部专业的环境监测分析人员或委托具有计量认证的监测单位进行。</w:t>
      </w:r>
    </w:p>
    <w:p w:rsidR="00D228BE" w:rsidRPr="00677D1F" w:rsidRDefault="00332EB6" w:rsidP="00677D1F">
      <w:pPr>
        <w:pStyle w:val="3"/>
        <w:keepNext/>
        <w:keepLines/>
        <w:spacing w:beforeLines="50" w:before="120" w:afterLines="50" w:after="120" w:line="360" w:lineRule="auto"/>
        <w:ind w:firstLineChars="0" w:firstLine="0"/>
        <w:contextualSpacing/>
        <w:textAlignment w:val="baseline"/>
        <w:rPr>
          <w:rFonts w:ascii="宋体" w:hAnsi="宋体"/>
          <w:sz w:val="28"/>
          <w:szCs w:val="28"/>
        </w:rPr>
      </w:pPr>
      <w:r w:rsidRPr="00677D1F">
        <w:rPr>
          <w:rFonts w:ascii="宋体" w:hAnsi="宋体"/>
          <w:sz w:val="28"/>
          <w:szCs w:val="28"/>
        </w:rPr>
        <w:t>14.</w:t>
      </w:r>
      <w:r w:rsidRPr="00677D1F">
        <w:rPr>
          <w:rFonts w:ascii="宋体" w:hAnsi="宋体" w:hint="eastAsia"/>
          <w:sz w:val="28"/>
          <w:szCs w:val="28"/>
        </w:rPr>
        <w:t>2</w:t>
      </w:r>
      <w:r w:rsidRPr="00677D1F">
        <w:rPr>
          <w:rFonts w:ascii="宋体" w:hAnsi="宋体"/>
          <w:sz w:val="28"/>
          <w:szCs w:val="28"/>
        </w:rPr>
        <w:t>.</w:t>
      </w:r>
      <w:r w:rsidRPr="00677D1F">
        <w:rPr>
          <w:rFonts w:ascii="宋体" w:hAnsi="宋体" w:hint="eastAsia"/>
          <w:sz w:val="28"/>
          <w:szCs w:val="28"/>
        </w:rPr>
        <w:t>2 管理要求</w:t>
      </w:r>
    </w:p>
    <w:p w:rsidR="00D228BE" w:rsidRPr="00677D1F" w:rsidRDefault="00332EB6" w:rsidP="00677D1F">
      <w:pPr>
        <w:widowControl/>
        <w:spacing w:line="360" w:lineRule="auto"/>
        <w:contextualSpacing/>
        <w:outlineLvl w:val="3"/>
        <w:rPr>
          <w:rFonts w:asciiTheme="minorEastAsia" w:hAnsiTheme="minorEastAsia" w:cs="宋体"/>
          <w:kern w:val="0"/>
          <w:sz w:val="24"/>
          <w:szCs w:val="24"/>
        </w:rPr>
      </w:pPr>
      <w:r w:rsidRPr="00677D1F">
        <w:rPr>
          <w:rFonts w:asciiTheme="minorEastAsia" w:hAnsiTheme="minorEastAsia" w:cs="Times New Roman"/>
          <w:b/>
          <w:bCs/>
          <w:color w:val="000000"/>
          <w:kern w:val="0"/>
          <w:sz w:val="24"/>
          <w:szCs w:val="24"/>
        </w:rPr>
        <w:t>14.</w:t>
      </w:r>
      <w:r w:rsidRPr="00677D1F">
        <w:rPr>
          <w:rFonts w:asciiTheme="minorEastAsia" w:hAnsiTheme="minorEastAsia" w:cs="Times New Roman" w:hint="eastAsia"/>
          <w:b/>
          <w:bCs/>
          <w:color w:val="000000"/>
          <w:kern w:val="0"/>
          <w:sz w:val="24"/>
          <w:szCs w:val="24"/>
        </w:rPr>
        <w:t>2</w:t>
      </w:r>
      <w:r w:rsidRPr="00677D1F">
        <w:rPr>
          <w:rFonts w:asciiTheme="minorEastAsia" w:hAnsiTheme="minorEastAsia" w:cs="Times New Roman"/>
          <w:b/>
          <w:bCs/>
          <w:color w:val="000000"/>
          <w:kern w:val="0"/>
          <w:sz w:val="24"/>
          <w:szCs w:val="24"/>
        </w:rPr>
        <w:t>.</w:t>
      </w:r>
      <w:r w:rsidRPr="00677D1F">
        <w:rPr>
          <w:rFonts w:asciiTheme="minorEastAsia" w:hAnsiTheme="minorEastAsia" w:cs="Times New Roman" w:hint="eastAsia"/>
          <w:b/>
          <w:bCs/>
          <w:color w:val="000000"/>
          <w:kern w:val="0"/>
          <w:sz w:val="24"/>
          <w:szCs w:val="24"/>
        </w:rPr>
        <w:t>2</w:t>
      </w:r>
      <w:r w:rsidRPr="00677D1F">
        <w:rPr>
          <w:rFonts w:asciiTheme="minorEastAsia" w:hAnsiTheme="minorEastAsia" w:cs="Times New Roman"/>
          <w:b/>
          <w:bCs/>
          <w:color w:val="000000"/>
          <w:kern w:val="0"/>
          <w:sz w:val="24"/>
          <w:szCs w:val="24"/>
        </w:rPr>
        <w:t>.1</w:t>
      </w:r>
      <w:r w:rsidRPr="00677D1F">
        <w:rPr>
          <w:rFonts w:asciiTheme="minorEastAsia" w:hAnsiTheme="minorEastAsia" w:cs="Times New Roman" w:hint="eastAsia"/>
          <w:b/>
          <w:bCs/>
          <w:color w:val="000000"/>
          <w:kern w:val="0"/>
          <w:sz w:val="24"/>
          <w:szCs w:val="24"/>
        </w:rPr>
        <w:t xml:space="preserve"> </w:t>
      </w:r>
      <w:r w:rsidRPr="00677D1F">
        <w:rPr>
          <w:rFonts w:asciiTheme="minorEastAsia" w:hAnsiTheme="minorEastAsia" w:cs="宋体" w:hint="eastAsia"/>
          <w:b/>
          <w:bCs/>
          <w:color w:val="000000"/>
          <w:kern w:val="0"/>
          <w:sz w:val="24"/>
          <w:szCs w:val="24"/>
        </w:rPr>
        <w:t>运行管理要求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根据《排污许可证管理条例》，有组织排放要求主要是针对布袋除尘器、喷淋塔的安装、运行、维护等规范和要求。无组织排放节点主要包括生产区等。</w:t>
      </w:r>
    </w:p>
    <w:p w:rsidR="00D228BE" w:rsidRPr="00677D1F" w:rsidRDefault="00332EB6" w:rsidP="00677D1F">
      <w:pPr>
        <w:widowControl/>
        <w:spacing w:line="360" w:lineRule="auto"/>
        <w:contextualSpacing/>
        <w:outlineLvl w:val="3"/>
        <w:rPr>
          <w:rFonts w:asciiTheme="minorEastAsia" w:hAnsiTheme="minorEastAsia" w:cs="宋体"/>
          <w:kern w:val="0"/>
          <w:sz w:val="24"/>
          <w:szCs w:val="24"/>
        </w:rPr>
      </w:pPr>
      <w:r w:rsidRPr="00677D1F">
        <w:rPr>
          <w:rFonts w:asciiTheme="minorEastAsia" w:hAnsiTheme="minorEastAsia" w:cs="Times New Roman"/>
          <w:b/>
          <w:bCs/>
          <w:color w:val="000000"/>
          <w:kern w:val="0"/>
          <w:sz w:val="24"/>
          <w:szCs w:val="24"/>
        </w:rPr>
        <w:t>14.</w:t>
      </w:r>
      <w:r w:rsidRPr="00677D1F">
        <w:rPr>
          <w:rFonts w:asciiTheme="minorEastAsia" w:hAnsiTheme="minorEastAsia" w:cs="Times New Roman" w:hint="eastAsia"/>
          <w:b/>
          <w:bCs/>
          <w:color w:val="000000"/>
          <w:kern w:val="0"/>
          <w:sz w:val="24"/>
          <w:szCs w:val="24"/>
        </w:rPr>
        <w:t>2</w:t>
      </w:r>
      <w:r w:rsidRPr="00677D1F">
        <w:rPr>
          <w:rFonts w:asciiTheme="minorEastAsia" w:hAnsiTheme="minorEastAsia" w:cs="Times New Roman"/>
          <w:b/>
          <w:bCs/>
          <w:color w:val="000000"/>
          <w:kern w:val="0"/>
          <w:sz w:val="24"/>
          <w:szCs w:val="24"/>
        </w:rPr>
        <w:t>.</w:t>
      </w:r>
      <w:r w:rsidRPr="00677D1F">
        <w:rPr>
          <w:rFonts w:asciiTheme="minorEastAsia" w:hAnsiTheme="minorEastAsia" w:cs="Times New Roman" w:hint="eastAsia"/>
          <w:b/>
          <w:bCs/>
          <w:color w:val="000000"/>
          <w:kern w:val="0"/>
          <w:sz w:val="24"/>
          <w:szCs w:val="24"/>
        </w:rPr>
        <w:t>2</w:t>
      </w:r>
      <w:r w:rsidRPr="00677D1F">
        <w:rPr>
          <w:rFonts w:asciiTheme="minorEastAsia" w:hAnsiTheme="minorEastAsia" w:cs="Times New Roman"/>
          <w:b/>
          <w:bCs/>
          <w:color w:val="000000"/>
          <w:kern w:val="0"/>
          <w:sz w:val="24"/>
          <w:szCs w:val="24"/>
        </w:rPr>
        <w:t>.</w:t>
      </w:r>
      <w:r w:rsidRPr="00677D1F">
        <w:rPr>
          <w:rFonts w:asciiTheme="minorEastAsia" w:hAnsiTheme="minorEastAsia" w:cs="Times New Roman" w:hint="eastAsia"/>
          <w:b/>
          <w:bCs/>
          <w:color w:val="000000"/>
          <w:kern w:val="0"/>
          <w:sz w:val="24"/>
          <w:szCs w:val="24"/>
        </w:rPr>
        <w:t xml:space="preserve">2 </w:t>
      </w:r>
      <w:r w:rsidRPr="00677D1F">
        <w:rPr>
          <w:rFonts w:asciiTheme="minorEastAsia" w:hAnsiTheme="minorEastAsia" w:cs="宋体" w:hint="eastAsia"/>
          <w:b/>
          <w:bCs/>
          <w:color w:val="000000"/>
          <w:kern w:val="0"/>
          <w:sz w:val="24"/>
          <w:szCs w:val="24"/>
        </w:rPr>
        <w:t>自行监测管理要求</w:t>
      </w:r>
    </w:p>
    <w:p w:rsidR="00D228BE" w:rsidRPr="00677D1F" w:rsidRDefault="00332EB6" w:rsidP="00677D1F">
      <w:pPr>
        <w:spacing w:line="360" w:lineRule="auto"/>
        <w:ind w:firstLineChars="200" w:firstLine="480"/>
        <w:contextualSpacing/>
        <w:rPr>
          <w:sz w:val="24"/>
        </w:rPr>
      </w:pPr>
      <w:r w:rsidRPr="00677D1F">
        <w:rPr>
          <w:rFonts w:hint="eastAsia"/>
          <w:sz w:val="24"/>
        </w:rPr>
        <w:t>企业制定自行监测管理要求的目的是证明排污许可证许可的产排污节点、排放口、污染治理设施及许可限值落实情况。企业在申请排污许可证时，应当按照技术规范制定自行监测方案并在排污许可证申请表中明确。以确定产排污节点、排放口、污染因子及许可限值的要求为依据，对需要综合考虑批复的环境影响评价文件等其他管理要求的，应当同步完善企业自行监测管理要求。</w:t>
      </w:r>
    </w:p>
    <w:p w:rsidR="00D228BE" w:rsidRPr="00677D1F" w:rsidRDefault="00332EB6" w:rsidP="00677D1F">
      <w:pPr>
        <w:spacing w:line="360" w:lineRule="auto"/>
        <w:ind w:firstLineChars="200" w:firstLine="480"/>
        <w:contextualSpacing/>
        <w:rPr>
          <w:sz w:val="24"/>
        </w:rPr>
      </w:pPr>
      <w:r w:rsidRPr="00677D1F">
        <w:rPr>
          <w:rFonts w:hint="eastAsia"/>
          <w:sz w:val="24"/>
        </w:rPr>
        <w:t>（</w:t>
      </w:r>
      <w:r w:rsidRPr="00677D1F">
        <w:rPr>
          <w:sz w:val="24"/>
        </w:rPr>
        <w:t>1</w:t>
      </w:r>
      <w:r w:rsidRPr="00677D1F">
        <w:rPr>
          <w:rFonts w:hint="eastAsia"/>
          <w:sz w:val="24"/>
        </w:rPr>
        <w:t>）自行监测方案</w:t>
      </w:r>
    </w:p>
    <w:p w:rsidR="00D228BE" w:rsidRPr="00677D1F" w:rsidRDefault="00332EB6" w:rsidP="00677D1F">
      <w:pPr>
        <w:spacing w:line="360" w:lineRule="auto"/>
        <w:ind w:firstLineChars="200" w:firstLine="480"/>
        <w:contextualSpacing/>
        <w:rPr>
          <w:sz w:val="24"/>
        </w:rPr>
      </w:pPr>
      <w:r w:rsidRPr="00677D1F">
        <w:rPr>
          <w:rFonts w:hint="eastAsia"/>
          <w:sz w:val="24"/>
        </w:rPr>
        <w:t>自行监测方案中应明确企业的基本情况、监测点位、监测指标、执行排放标准及其限值、监测频次、监测方法和仪器、采样方法、监测质量控制、监测点位示意图、监测结果公开时限等。</w:t>
      </w:r>
    </w:p>
    <w:p w:rsidR="00D228BE" w:rsidRPr="00677D1F" w:rsidRDefault="00332EB6" w:rsidP="00677D1F">
      <w:pPr>
        <w:spacing w:line="360" w:lineRule="auto"/>
        <w:ind w:firstLineChars="200" w:firstLine="480"/>
        <w:contextualSpacing/>
        <w:rPr>
          <w:sz w:val="24"/>
        </w:rPr>
      </w:pPr>
      <w:r w:rsidRPr="00677D1F">
        <w:rPr>
          <w:rFonts w:hint="eastAsia"/>
          <w:sz w:val="24"/>
        </w:rPr>
        <w:t>（</w:t>
      </w:r>
      <w:r w:rsidRPr="00677D1F">
        <w:rPr>
          <w:sz w:val="24"/>
        </w:rPr>
        <w:t>2</w:t>
      </w:r>
      <w:r w:rsidRPr="00677D1F">
        <w:rPr>
          <w:rFonts w:hint="eastAsia"/>
          <w:sz w:val="24"/>
        </w:rPr>
        <w:t>）自行监测要求</w:t>
      </w:r>
    </w:p>
    <w:p w:rsidR="00D228BE" w:rsidRPr="00677D1F" w:rsidRDefault="00332EB6" w:rsidP="00677D1F">
      <w:pPr>
        <w:spacing w:line="360" w:lineRule="auto"/>
        <w:ind w:firstLineChars="200" w:firstLine="480"/>
        <w:contextualSpacing/>
        <w:rPr>
          <w:sz w:val="24"/>
        </w:rPr>
      </w:pPr>
      <w:r w:rsidRPr="00677D1F">
        <w:rPr>
          <w:rFonts w:hint="eastAsia"/>
          <w:sz w:val="24"/>
        </w:rPr>
        <w:t>企业可自行或委托第三方监测机构开展监测工作，并安排专人专职对监测数据进行记录、整理、统计和分析。对监测结果的真实性、准确性、完整性负责。</w:t>
      </w:r>
    </w:p>
    <w:p w:rsidR="00D228BE" w:rsidRPr="00677D1F" w:rsidRDefault="00332EB6" w:rsidP="00677D1F">
      <w:pPr>
        <w:spacing w:line="360" w:lineRule="auto"/>
        <w:ind w:firstLineChars="200" w:firstLine="480"/>
        <w:contextualSpacing/>
        <w:rPr>
          <w:sz w:val="24"/>
        </w:rPr>
      </w:pPr>
      <w:r w:rsidRPr="00677D1F">
        <w:rPr>
          <w:sz w:val="24"/>
        </w:rPr>
        <w:t>①</w:t>
      </w:r>
      <w:r w:rsidRPr="00677D1F">
        <w:rPr>
          <w:rFonts w:hint="eastAsia"/>
          <w:sz w:val="24"/>
        </w:rPr>
        <w:t>有组织废气</w:t>
      </w:r>
    </w:p>
    <w:p w:rsidR="00D228BE" w:rsidRPr="00677D1F" w:rsidRDefault="00332EB6" w:rsidP="00677D1F">
      <w:pPr>
        <w:spacing w:line="360" w:lineRule="auto"/>
        <w:ind w:firstLineChars="200" w:firstLine="480"/>
        <w:contextualSpacing/>
        <w:rPr>
          <w:sz w:val="24"/>
        </w:rPr>
      </w:pPr>
      <w:r w:rsidRPr="00677D1F">
        <w:rPr>
          <w:rFonts w:hint="eastAsia"/>
          <w:sz w:val="24"/>
        </w:rPr>
        <w:lastRenderedPageBreak/>
        <w:t>废气污染物最低监测频次见表</w:t>
      </w:r>
      <w:r w:rsidRPr="00677D1F">
        <w:rPr>
          <w:rFonts w:hint="eastAsia"/>
          <w:sz w:val="24"/>
        </w:rPr>
        <w:t>14</w:t>
      </w:r>
      <w:r w:rsidRPr="00677D1F">
        <w:rPr>
          <w:sz w:val="24"/>
        </w:rPr>
        <w:t>.2-1</w:t>
      </w:r>
      <w:r w:rsidRPr="00677D1F">
        <w:rPr>
          <w:rFonts w:hint="eastAsia"/>
          <w:sz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表14</w:t>
      </w:r>
      <w:r w:rsidRPr="00677D1F">
        <w:rPr>
          <w:rFonts w:ascii="黑体" w:eastAsia="黑体" w:hAnsi="黑体" w:cs="宋体"/>
          <w:b/>
          <w:color w:val="000000"/>
          <w:kern w:val="0"/>
          <w:szCs w:val="21"/>
        </w:rPr>
        <w:t xml:space="preserve">.2-1  </w:t>
      </w:r>
      <w:r w:rsidRPr="00677D1F">
        <w:rPr>
          <w:rFonts w:ascii="黑体" w:eastAsia="黑体" w:hAnsi="黑体" w:cs="宋体" w:hint="eastAsia"/>
          <w:b/>
          <w:color w:val="000000"/>
          <w:kern w:val="0"/>
          <w:szCs w:val="21"/>
        </w:rPr>
        <w:t>废气污染物最低监测频次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6"/>
        <w:gridCol w:w="5407"/>
        <w:gridCol w:w="1579"/>
      </w:tblGrid>
      <w:tr w:rsidR="00D228BE" w:rsidRPr="00677D1F">
        <w:trPr>
          <w:trHeight w:val="340"/>
          <w:jc w:val="center"/>
        </w:trPr>
        <w:tc>
          <w:tcPr>
            <w:tcW w:w="2086"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监测位置</w:t>
            </w:r>
          </w:p>
        </w:tc>
        <w:tc>
          <w:tcPr>
            <w:tcW w:w="540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监测指标</w:t>
            </w:r>
          </w:p>
        </w:tc>
        <w:tc>
          <w:tcPr>
            <w:tcW w:w="157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监测频次</w:t>
            </w:r>
          </w:p>
        </w:tc>
      </w:tr>
      <w:tr w:rsidR="00D228BE" w:rsidRPr="00677D1F">
        <w:trPr>
          <w:trHeight w:val="340"/>
          <w:jc w:val="center"/>
        </w:trPr>
        <w:tc>
          <w:tcPr>
            <w:tcW w:w="2086"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排气筒</w:t>
            </w:r>
          </w:p>
        </w:tc>
        <w:tc>
          <w:tcPr>
            <w:tcW w:w="5407"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废气流量、粉尘、</w:t>
            </w:r>
            <w:r w:rsidRPr="00677D1F">
              <w:rPr>
                <w:rFonts w:hint="eastAsia"/>
              </w:rPr>
              <w:t>HCl</w:t>
            </w:r>
            <w:r w:rsidRPr="00677D1F">
              <w:rPr>
                <w:rFonts w:hint="eastAsia"/>
              </w:rPr>
              <w:t>、</w:t>
            </w:r>
            <w:r w:rsidRPr="00677D1F">
              <w:rPr>
                <w:rFonts w:hint="eastAsia"/>
              </w:rPr>
              <w:t>Cl</w:t>
            </w:r>
            <w:r w:rsidRPr="00677D1F">
              <w:rPr>
                <w:rFonts w:hint="eastAsia"/>
                <w:vertAlign w:val="subscript"/>
              </w:rPr>
              <w:t>2</w:t>
            </w:r>
            <w:r w:rsidRPr="00677D1F">
              <w:rPr>
                <w:rFonts w:hint="eastAsia"/>
              </w:rPr>
              <w:t>排放浓度及排放速率</w:t>
            </w:r>
          </w:p>
        </w:tc>
        <w:tc>
          <w:tcPr>
            <w:tcW w:w="157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季度</w:t>
            </w:r>
          </w:p>
        </w:tc>
      </w:tr>
    </w:tbl>
    <w:p w:rsidR="00D228BE" w:rsidRPr="00677D1F" w:rsidRDefault="00D228BE" w:rsidP="00677D1F">
      <w:pPr>
        <w:widowControl/>
        <w:spacing w:line="240" w:lineRule="exact"/>
        <w:ind w:firstLineChars="200" w:firstLine="480"/>
        <w:contextualSpacing/>
        <w:rPr>
          <w:rFonts w:asciiTheme="minorEastAsia" w:hAnsiTheme="minorEastAsia" w:cs="宋体"/>
          <w:color w:val="000000"/>
          <w:kern w:val="0"/>
          <w:sz w:val="24"/>
          <w:szCs w:val="24"/>
        </w:rPr>
      </w:pPr>
    </w:p>
    <w:p w:rsidR="00D228BE" w:rsidRPr="00677D1F" w:rsidRDefault="00332EB6" w:rsidP="00677D1F">
      <w:pPr>
        <w:spacing w:beforeLines="50" w:before="120" w:line="360" w:lineRule="auto"/>
        <w:ind w:firstLineChars="200" w:firstLine="480"/>
        <w:contextualSpacing/>
        <w:rPr>
          <w:sz w:val="24"/>
        </w:rPr>
      </w:pPr>
      <w:r w:rsidRPr="00677D1F">
        <w:rPr>
          <w:sz w:val="24"/>
        </w:rPr>
        <w:t>②</w:t>
      </w:r>
      <w:r w:rsidRPr="00677D1F">
        <w:rPr>
          <w:rFonts w:hint="eastAsia"/>
          <w:sz w:val="24"/>
        </w:rPr>
        <w:t>无组织废气</w:t>
      </w:r>
    </w:p>
    <w:p w:rsidR="00D228BE" w:rsidRPr="00677D1F" w:rsidRDefault="00332EB6" w:rsidP="00677D1F">
      <w:pPr>
        <w:spacing w:line="360" w:lineRule="auto"/>
        <w:ind w:firstLineChars="200" w:firstLine="480"/>
        <w:contextualSpacing/>
        <w:rPr>
          <w:rFonts w:hAnsi="Times New Roman" w:cs="Times New Roman"/>
          <w:sz w:val="24"/>
          <w:szCs w:val="24"/>
        </w:rPr>
      </w:pPr>
      <w:r w:rsidRPr="00677D1F">
        <w:rPr>
          <w:rFonts w:hint="eastAsia"/>
          <w:sz w:val="24"/>
        </w:rPr>
        <w:t>企业无组织排放监测点位设置、监测指标及监测频次按表</w:t>
      </w:r>
      <w:r w:rsidRPr="00677D1F">
        <w:rPr>
          <w:sz w:val="24"/>
        </w:rPr>
        <w:t>8.2-2</w:t>
      </w:r>
      <w:r w:rsidRPr="00677D1F">
        <w:rPr>
          <w:rFonts w:hint="eastAsia"/>
          <w:sz w:val="24"/>
        </w:rPr>
        <w:t>执行。</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表14</w:t>
      </w:r>
      <w:r w:rsidRPr="00677D1F">
        <w:rPr>
          <w:rFonts w:ascii="黑体" w:eastAsia="黑体" w:hAnsi="黑体" w:cs="宋体"/>
          <w:b/>
          <w:color w:val="000000"/>
          <w:kern w:val="0"/>
          <w:szCs w:val="21"/>
        </w:rPr>
        <w:t xml:space="preserve">.2-2  </w:t>
      </w:r>
      <w:r w:rsidRPr="00677D1F">
        <w:rPr>
          <w:rFonts w:ascii="黑体" w:eastAsia="黑体" w:hAnsi="黑体" w:cs="宋体" w:hint="eastAsia"/>
          <w:b/>
          <w:color w:val="000000"/>
          <w:kern w:val="0"/>
          <w:szCs w:val="21"/>
        </w:rPr>
        <w:t>无组织废气污染物指标最低监测频次</w:t>
      </w:r>
    </w:p>
    <w:tbl>
      <w:tblPr>
        <w:tblW w:w="9072"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1"/>
        <w:gridCol w:w="4993"/>
        <w:gridCol w:w="2248"/>
      </w:tblGrid>
      <w:tr w:rsidR="00D228BE" w:rsidRPr="00677D1F">
        <w:trPr>
          <w:trHeight w:val="340"/>
          <w:jc w:val="center"/>
        </w:trPr>
        <w:tc>
          <w:tcPr>
            <w:tcW w:w="1831" w:type="dxa"/>
            <w:tcBorders>
              <w:top w:val="single" w:sz="4" w:space="0" w:color="000000"/>
              <w:left w:val="single" w:sz="4" w:space="0" w:color="auto"/>
              <w:bottom w:val="single" w:sz="4" w:space="0" w:color="000000"/>
              <w:right w:val="single" w:sz="4" w:space="0" w:color="000000"/>
            </w:tcBorders>
            <w:vAlign w:val="center"/>
          </w:tcPr>
          <w:p w:rsidR="00D228BE" w:rsidRPr="00677D1F" w:rsidRDefault="00332EB6" w:rsidP="00677D1F">
            <w:pPr>
              <w:autoSpaceDE w:val="0"/>
              <w:autoSpaceDN w:val="0"/>
              <w:contextualSpacing/>
              <w:jc w:val="center"/>
              <w:rPr>
                <w:b/>
                <w:bCs/>
                <w:szCs w:val="21"/>
              </w:rPr>
            </w:pPr>
            <w:r w:rsidRPr="00677D1F">
              <w:rPr>
                <w:rFonts w:hint="eastAsia"/>
                <w:b/>
                <w:bCs/>
              </w:rPr>
              <w:t>监测点位</w:t>
            </w:r>
          </w:p>
        </w:tc>
        <w:tc>
          <w:tcPr>
            <w:tcW w:w="4993" w:type="dxa"/>
            <w:tcBorders>
              <w:top w:val="single" w:sz="4" w:space="0" w:color="000000"/>
              <w:left w:val="single" w:sz="4" w:space="0" w:color="000000"/>
              <w:bottom w:val="single" w:sz="4" w:space="0" w:color="000000"/>
              <w:right w:val="single" w:sz="4" w:space="0" w:color="000000"/>
            </w:tcBorders>
            <w:vAlign w:val="center"/>
          </w:tcPr>
          <w:p w:rsidR="00D228BE" w:rsidRPr="00677D1F" w:rsidRDefault="00332EB6" w:rsidP="00677D1F">
            <w:pPr>
              <w:autoSpaceDE w:val="0"/>
              <w:autoSpaceDN w:val="0"/>
              <w:contextualSpacing/>
              <w:jc w:val="center"/>
              <w:rPr>
                <w:b/>
                <w:bCs/>
                <w:szCs w:val="21"/>
              </w:rPr>
            </w:pPr>
            <w:r w:rsidRPr="00677D1F">
              <w:rPr>
                <w:rFonts w:hint="eastAsia"/>
                <w:b/>
                <w:bCs/>
              </w:rPr>
              <w:t>监测指标</w:t>
            </w:r>
          </w:p>
        </w:tc>
        <w:tc>
          <w:tcPr>
            <w:tcW w:w="2248" w:type="dxa"/>
            <w:tcBorders>
              <w:top w:val="single" w:sz="4" w:space="0" w:color="000000"/>
              <w:left w:val="single" w:sz="4" w:space="0" w:color="000000"/>
              <w:bottom w:val="single" w:sz="4" w:space="0" w:color="000000"/>
              <w:right w:val="single" w:sz="4" w:space="0" w:color="auto"/>
            </w:tcBorders>
            <w:vAlign w:val="center"/>
          </w:tcPr>
          <w:p w:rsidR="00D228BE" w:rsidRPr="00677D1F" w:rsidRDefault="00332EB6" w:rsidP="00677D1F">
            <w:pPr>
              <w:autoSpaceDE w:val="0"/>
              <w:autoSpaceDN w:val="0"/>
              <w:contextualSpacing/>
              <w:jc w:val="center"/>
              <w:rPr>
                <w:b/>
                <w:bCs/>
                <w:szCs w:val="21"/>
              </w:rPr>
            </w:pPr>
            <w:r w:rsidRPr="00677D1F">
              <w:rPr>
                <w:rFonts w:hint="eastAsia"/>
                <w:b/>
                <w:bCs/>
              </w:rPr>
              <w:t>监测频次</w:t>
            </w:r>
          </w:p>
        </w:tc>
      </w:tr>
      <w:tr w:rsidR="00D228BE" w:rsidRPr="00677D1F">
        <w:trPr>
          <w:trHeight w:val="340"/>
          <w:jc w:val="center"/>
        </w:trPr>
        <w:tc>
          <w:tcPr>
            <w:tcW w:w="1831" w:type="dxa"/>
            <w:tcBorders>
              <w:top w:val="single" w:sz="4" w:space="0" w:color="000000"/>
              <w:left w:val="single" w:sz="4" w:space="0" w:color="auto"/>
              <w:bottom w:val="single" w:sz="4" w:space="0" w:color="000000"/>
              <w:right w:val="single" w:sz="4" w:space="0" w:color="000000"/>
            </w:tcBorders>
            <w:vAlign w:val="center"/>
          </w:tcPr>
          <w:p w:rsidR="00D228BE" w:rsidRPr="00677D1F" w:rsidRDefault="00332EB6" w:rsidP="00677D1F">
            <w:pPr>
              <w:autoSpaceDE w:val="0"/>
              <w:autoSpaceDN w:val="0"/>
              <w:contextualSpacing/>
              <w:jc w:val="center"/>
              <w:rPr>
                <w:szCs w:val="21"/>
              </w:rPr>
            </w:pPr>
            <w:r w:rsidRPr="00677D1F">
              <w:rPr>
                <w:rFonts w:hint="eastAsia"/>
              </w:rPr>
              <w:t>厂界</w:t>
            </w:r>
          </w:p>
        </w:tc>
        <w:tc>
          <w:tcPr>
            <w:tcW w:w="4993" w:type="dxa"/>
            <w:tcBorders>
              <w:top w:val="single" w:sz="4" w:space="0" w:color="000000"/>
              <w:left w:val="single" w:sz="4" w:space="0" w:color="000000"/>
              <w:bottom w:val="single" w:sz="4" w:space="0" w:color="000000"/>
              <w:right w:val="single" w:sz="4" w:space="0" w:color="000000"/>
            </w:tcBorders>
            <w:vAlign w:val="center"/>
          </w:tcPr>
          <w:p w:rsidR="00D228BE" w:rsidRPr="00677D1F" w:rsidRDefault="00332EB6" w:rsidP="00677D1F">
            <w:pPr>
              <w:autoSpaceDE w:val="0"/>
              <w:autoSpaceDN w:val="0"/>
              <w:contextualSpacing/>
              <w:jc w:val="center"/>
              <w:rPr>
                <w:szCs w:val="21"/>
              </w:rPr>
            </w:pPr>
            <w:r w:rsidRPr="00677D1F">
              <w:rPr>
                <w:rFonts w:hint="eastAsia"/>
              </w:rPr>
              <w:t>粉尘、</w:t>
            </w:r>
            <w:r w:rsidRPr="00677D1F">
              <w:rPr>
                <w:rFonts w:hint="eastAsia"/>
              </w:rPr>
              <w:t>HCl</w:t>
            </w:r>
            <w:r w:rsidRPr="00677D1F">
              <w:rPr>
                <w:rFonts w:hint="eastAsia"/>
              </w:rPr>
              <w:t>、</w:t>
            </w:r>
            <w:r w:rsidRPr="00677D1F">
              <w:rPr>
                <w:rFonts w:hint="eastAsia"/>
              </w:rPr>
              <w:t>Cl</w:t>
            </w:r>
            <w:r w:rsidRPr="00677D1F">
              <w:rPr>
                <w:rFonts w:hint="eastAsia"/>
                <w:vertAlign w:val="subscript"/>
              </w:rPr>
              <w:t>2</w:t>
            </w:r>
            <w:r w:rsidRPr="00677D1F">
              <w:rPr>
                <w:rFonts w:hint="eastAsia"/>
              </w:rPr>
              <w:t>、臭气浓度</w:t>
            </w:r>
          </w:p>
        </w:tc>
        <w:tc>
          <w:tcPr>
            <w:tcW w:w="2248" w:type="dxa"/>
            <w:tcBorders>
              <w:top w:val="single" w:sz="4" w:space="0" w:color="000000"/>
              <w:left w:val="single" w:sz="4" w:space="0" w:color="000000"/>
              <w:bottom w:val="single" w:sz="4" w:space="0" w:color="000000"/>
              <w:right w:val="single" w:sz="4" w:space="0" w:color="auto"/>
            </w:tcBorders>
            <w:vAlign w:val="center"/>
          </w:tcPr>
          <w:p w:rsidR="00D228BE" w:rsidRPr="00677D1F" w:rsidRDefault="00332EB6" w:rsidP="00677D1F">
            <w:pPr>
              <w:autoSpaceDE w:val="0"/>
              <w:autoSpaceDN w:val="0"/>
              <w:contextualSpacing/>
              <w:jc w:val="center"/>
              <w:rPr>
                <w:szCs w:val="21"/>
              </w:rPr>
            </w:pPr>
            <w:r w:rsidRPr="00677D1F">
              <w:rPr>
                <w:rFonts w:hint="eastAsia"/>
              </w:rPr>
              <w:t>季度</w:t>
            </w:r>
          </w:p>
        </w:tc>
      </w:tr>
    </w:tbl>
    <w:p w:rsidR="00D228BE" w:rsidRPr="00677D1F" w:rsidRDefault="00D228BE" w:rsidP="00677D1F">
      <w:pPr>
        <w:widowControl/>
        <w:spacing w:line="240" w:lineRule="exact"/>
        <w:ind w:firstLineChars="200" w:firstLine="480"/>
        <w:contextualSpacing/>
        <w:rPr>
          <w:rFonts w:asciiTheme="minorEastAsia" w:hAnsiTheme="minorEastAsia" w:cs="宋体"/>
          <w:color w:val="000000"/>
          <w:kern w:val="0"/>
          <w:sz w:val="24"/>
          <w:szCs w:val="24"/>
        </w:rPr>
      </w:pPr>
    </w:p>
    <w:p w:rsidR="00D228BE" w:rsidRPr="00677D1F" w:rsidRDefault="00332EB6" w:rsidP="00677D1F">
      <w:pPr>
        <w:spacing w:beforeLines="50" w:before="120" w:line="360" w:lineRule="auto"/>
        <w:ind w:firstLineChars="200" w:firstLine="480"/>
        <w:contextualSpacing/>
        <w:rPr>
          <w:sz w:val="24"/>
        </w:rPr>
      </w:pPr>
      <w:r w:rsidRPr="00677D1F">
        <w:rPr>
          <w:sz w:val="24"/>
        </w:rPr>
        <w:t>③</w:t>
      </w:r>
      <w:r w:rsidRPr="00677D1F">
        <w:rPr>
          <w:rFonts w:hint="eastAsia"/>
          <w:sz w:val="24"/>
        </w:rPr>
        <w:t>噪声监测计划</w:t>
      </w:r>
    </w:p>
    <w:p w:rsidR="00D228BE" w:rsidRPr="00677D1F" w:rsidRDefault="00332EB6" w:rsidP="00677D1F">
      <w:pPr>
        <w:spacing w:line="360" w:lineRule="auto"/>
        <w:ind w:firstLineChars="200" w:firstLine="480"/>
        <w:contextualSpacing/>
        <w:rPr>
          <w:sz w:val="24"/>
        </w:rPr>
      </w:pPr>
      <w:r w:rsidRPr="00677D1F">
        <w:rPr>
          <w:rFonts w:hint="eastAsia"/>
          <w:sz w:val="24"/>
        </w:rPr>
        <w:t>噪声最低监测频次见表</w:t>
      </w:r>
      <w:r w:rsidRPr="00677D1F">
        <w:rPr>
          <w:rFonts w:hint="eastAsia"/>
          <w:sz w:val="24"/>
        </w:rPr>
        <w:t>14</w:t>
      </w:r>
      <w:r w:rsidRPr="00677D1F">
        <w:rPr>
          <w:sz w:val="24"/>
        </w:rPr>
        <w:t>.2-3</w:t>
      </w:r>
      <w:r w:rsidRPr="00677D1F">
        <w:rPr>
          <w:rFonts w:hint="eastAsia"/>
          <w:sz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表14</w:t>
      </w:r>
      <w:r w:rsidRPr="00677D1F">
        <w:rPr>
          <w:rFonts w:ascii="黑体" w:eastAsia="黑体" w:hAnsi="黑体" w:cs="宋体"/>
          <w:b/>
          <w:color w:val="000000"/>
          <w:kern w:val="0"/>
          <w:szCs w:val="21"/>
        </w:rPr>
        <w:t xml:space="preserve">.2-3 </w:t>
      </w:r>
      <w:r w:rsidRPr="00677D1F">
        <w:rPr>
          <w:rFonts w:ascii="黑体" w:eastAsia="黑体" w:hAnsi="黑体" w:cs="宋体" w:hint="eastAsia"/>
          <w:b/>
          <w:color w:val="000000"/>
          <w:kern w:val="0"/>
          <w:szCs w:val="21"/>
        </w:rPr>
        <w:t>噪声最低监测频次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1"/>
        <w:gridCol w:w="4892"/>
        <w:gridCol w:w="1579"/>
      </w:tblGrid>
      <w:tr w:rsidR="00D228BE" w:rsidRPr="00677D1F">
        <w:trPr>
          <w:trHeight w:val="340"/>
          <w:jc w:val="center"/>
        </w:trPr>
        <w:tc>
          <w:tcPr>
            <w:tcW w:w="2601"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监测位置</w:t>
            </w:r>
          </w:p>
        </w:tc>
        <w:tc>
          <w:tcPr>
            <w:tcW w:w="4892"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监测指标</w:t>
            </w:r>
          </w:p>
        </w:tc>
        <w:tc>
          <w:tcPr>
            <w:tcW w:w="157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监测频次</w:t>
            </w:r>
          </w:p>
        </w:tc>
      </w:tr>
      <w:tr w:rsidR="00D228BE" w:rsidRPr="00677D1F">
        <w:trPr>
          <w:trHeight w:val="340"/>
          <w:jc w:val="center"/>
        </w:trPr>
        <w:tc>
          <w:tcPr>
            <w:tcW w:w="2601"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厂界外</w:t>
            </w:r>
            <w:r w:rsidRPr="00677D1F">
              <w:t>1m</w:t>
            </w:r>
          </w:p>
        </w:tc>
        <w:tc>
          <w:tcPr>
            <w:tcW w:w="4892"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噪声</w:t>
            </w:r>
          </w:p>
        </w:tc>
        <w:tc>
          <w:tcPr>
            <w:tcW w:w="157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半年</w:t>
            </w:r>
          </w:p>
        </w:tc>
      </w:tr>
    </w:tbl>
    <w:p w:rsidR="00D228BE" w:rsidRPr="00677D1F" w:rsidRDefault="00332EB6" w:rsidP="00677D1F">
      <w:pPr>
        <w:spacing w:beforeLines="50" w:before="120" w:line="360" w:lineRule="auto"/>
        <w:ind w:firstLineChars="200" w:firstLine="480"/>
        <w:contextualSpacing/>
        <w:rPr>
          <w:sz w:val="24"/>
          <w:szCs w:val="21"/>
        </w:rPr>
      </w:pPr>
      <w:r w:rsidRPr="00677D1F">
        <w:rPr>
          <w:sz w:val="24"/>
        </w:rPr>
        <w:t>④</w:t>
      </w:r>
      <w:r w:rsidRPr="00677D1F">
        <w:rPr>
          <w:rFonts w:hint="eastAsia"/>
          <w:sz w:val="24"/>
        </w:rPr>
        <w:t>地下水监测计划</w:t>
      </w:r>
    </w:p>
    <w:p w:rsidR="00D228BE" w:rsidRPr="00677D1F" w:rsidRDefault="00332EB6" w:rsidP="00677D1F">
      <w:pPr>
        <w:spacing w:line="360" w:lineRule="auto"/>
        <w:ind w:firstLineChars="200" w:firstLine="480"/>
        <w:contextualSpacing/>
        <w:rPr>
          <w:sz w:val="24"/>
        </w:rPr>
      </w:pPr>
      <w:r w:rsidRPr="00677D1F">
        <w:rPr>
          <w:rFonts w:hint="eastAsia"/>
          <w:sz w:val="24"/>
        </w:rPr>
        <w:t>根据本项目污染物排放种类情况，环评要求项目建立地下水监测管理体系，在项目区或项目区下游区域设置地下水跟踪监测点，根据监测本项目生产过程中产生的废水对区域地下水的影响，并定期公开监测结果。</w:t>
      </w:r>
    </w:p>
    <w:p w:rsidR="00D228BE" w:rsidRPr="00677D1F" w:rsidRDefault="00332EB6" w:rsidP="00677D1F">
      <w:pPr>
        <w:spacing w:line="360" w:lineRule="auto"/>
        <w:ind w:firstLineChars="200" w:firstLine="480"/>
        <w:contextualSpacing/>
        <w:rPr>
          <w:sz w:val="24"/>
          <w:szCs w:val="21"/>
        </w:rPr>
      </w:pPr>
      <w:r w:rsidRPr="00677D1F">
        <w:rPr>
          <w:rFonts w:hint="eastAsia"/>
          <w:sz w:val="24"/>
        </w:rPr>
        <w:t>地下水最低监测频次见表</w:t>
      </w:r>
      <w:r w:rsidRPr="00677D1F">
        <w:rPr>
          <w:rFonts w:hint="eastAsia"/>
          <w:sz w:val="24"/>
        </w:rPr>
        <w:t>14</w:t>
      </w:r>
      <w:r w:rsidRPr="00677D1F">
        <w:rPr>
          <w:sz w:val="24"/>
        </w:rPr>
        <w:t>.2-4</w:t>
      </w:r>
      <w:r w:rsidRPr="00677D1F">
        <w:rPr>
          <w:rFonts w:hint="eastAsia"/>
          <w:sz w:val="24"/>
        </w:rPr>
        <w:t>。</w:t>
      </w:r>
    </w:p>
    <w:p w:rsidR="00D228BE" w:rsidRPr="00677D1F" w:rsidRDefault="00332EB6" w:rsidP="00677D1F">
      <w:pPr>
        <w:widowControl/>
        <w:spacing w:line="360" w:lineRule="auto"/>
        <w:contextualSpacing/>
        <w:jc w:val="center"/>
        <w:outlineLvl w:val="8"/>
        <w:rPr>
          <w:rFonts w:ascii="黑体" w:eastAsia="黑体" w:hAnsi="黑体" w:cs="宋体"/>
          <w:b/>
          <w:color w:val="000000"/>
          <w:kern w:val="0"/>
          <w:szCs w:val="21"/>
        </w:rPr>
      </w:pPr>
      <w:r w:rsidRPr="00677D1F">
        <w:rPr>
          <w:rFonts w:ascii="黑体" w:eastAsia="黑体" w:hAnsi="黑体" w:cs="宋体" w:hint="eastAsia"/>
          <w:b/>
          <w:color w:val="000000"/>
          <w:kern w:val="0"/>
          <w:szCs w:val="21"/>
        </w:rPr>
        <w:t>表14</w:t>
      </w:r>
      <w:r w:rsidRPr="00677D1F">
        <w:rPr>
          <w:rFonts w:ascii="黑体" w:eastAsia="黑体" w:hAnsi="黑体" w:cs="宋体"/>
          <w:b/>
          <w:color w:val="000000"/>
          <w:kern w:val="0"/>
          <w:szCs w:val="21"/>
        </w:rPr>
        <w:t>.2-4</w:t>
      </w:r>
      <w:r w:rsidRPr="00677D1F">
        <w:rPr>
          <w:rFonts w:ascii="黑体" w:eastAsia="黑体" w:hAnsi="黑体" w:cs="宋体" w:hint="eastAsia"/>
          <w:b/>
          <w:color w:val="000000"/>
          <w:kern w:val="0"/>
          <w:szCs w:val="21"/>
        </w:rPr>
        <w:t xml:space="preserve">  地下水最低监测频次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0"/>
        <w:gridCol w:w="4893"/>
        <w:gridCol w:w="1579"/>
      </w:tblGrid>
      <w:tr w:rsidR="00D228BE" w:rsidRPr="00677D1F">
        <w:trPr>
          <w:trHeight w:val="340"/>
          <w:jc w:val="center"/>
        </w:trPr>
        <w:tc>
          <w:tcPr>
            <w:tcW w:w="2600"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监测位置</w:t>
            </w:r>
          </w:p>
        </w:tc>
        <w:tc>
          <w:tcPr>
            <w:tcW w:w="4893"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监测指标</w:t>
            </w:r>
          </w:p>
        </w:tc>
        <w:tc>
          <w:tcPr>
            <w:tcW w:w="157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b/>
                <w:bCs/>
                <w:szCs w:val="21"/>
              </w:rPr>
            </w:pPr>
            <w:r w:rsidRPr="00677D1F">
              <w:rPr>
                <w:rFonts w:hint="eastAsia"/>
                <w:b/>
                <w:bCs/>
              </w:rPr>
              <w:t>监测频次</w:t>
            </w:r>
          </w:p>
        </w:tc>
      </w:tr>
      <w:tr w:rsidR="00D228BE" w:rsidRPr="00677D1F">
        <w:trPr>
          <w:trHeight w:val="340"/>
          <w:jc w:val="center"/>
        </w:trPr>
        <w:tc>
          <w:tcPr>
            <w:tcW w:w="2600"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项目区或下游区域</w:t>
            </w:r>
          </w:p>
        </w:tc>
        <w:tc>
          <w:tcPr>
            <w:tcW w:w="4893"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t>pH</w:t>
            </w:r>
            <w:r w:rsidRPr="00677D1F">
              <w:rPr>
                <w:rFonts w:hint="eastAsia"/>
              </w:rPr>
              <w:t>、氟化物、</w:t>
            </w:r>
            <w:r w:rsidRPr="00677D1F">
              <w:t>COD</w:t>
            </w:r>
            <w:r w:rsidRPr="00677D1F">
              <w:rPr>
                <w:rFonts w:hint="eastAsia"/>
              </w:rPr>
              <w:t>、</w:t>
            </w:r>
            <w:r w:rsidRPr="00677D1F">
              <w:t>SS</w:t>
            </w:r>
          </w:p>
        </w:tc>
        <w:tc>
          <w:tcPr>
            <w:tcW w:w="1579" w:type="dxa"/>
            <w:tcBorders>
              <w:top w:val="single" w:sz="4" w:space="0" w:color="auto"/>
              <w:left w:val="single" w:sz="4" w:space="0" w:color="auto"/>
              <w:bottom w:val="single" w:sz="4" w:space="0" w:color="auto"/>
              <w:right w:val="single" w:sz="4" w:space="0" w:color="auto"/>
            </w:tcBorders>
            <w:vAlign w:val="center"/>
          </w:tcPr>
          <w:p w:rsidR="00D228BE" w:rsidRPr="00677D1F" w:rsidRDefault="00332EB6" w:rsidP="00677D1F">
            <w:pPr>
              <w:contextualSpacing/>
              <w:jc w:val="center"/>
              <w:rPr>
                <w:szCs w:val="21"/>
              </w:rPr>
            </w:pPr>
            <w:r w:rsidRPr="00677D1F">
              <w:rPr>
                <w:rFonts w:hint="eastAsia"/>
              </w:rPr>
              <w:t>季度</w:t>
            </w:r>
          </w:p>
        </w:tc>
      </w:tr>
    </w:tbl>
    <w:p w:rsidR="00D228BE" w:rsidRPr="00677D1F" w:rsidRDefault="00D228BE" w:rsidP="00677D1F">
      <w:pPr>
        <w:ind w:firstLineChars="200" w:firstLine="480"/>
        <w:contextualSpacing/>
        <w:rPr>
          <w:rFonts w:ascii="Times New Roman" w:hAnsi="Times New Roman" w:cs="Times New Roman"/>
          <w:sz w:val="24"/>
          <w:szCs w:val="21"/>
        </w:rPr>
      </w:pPr>
    </w:p>
    <w:p w:rsidR="00D228BE" w:rsidRPr="00677D1F" w:rsidRDefault="00332EB6" w:rsidP="00677D1F">
      <w:pPr>
        <w:spacing w:line="360" w:lineRule="auto"/>
        <w:ind w:firstLineChars="200" w:firstLine="480"/>
        <w:contextualSpacing/>
        <w:rPr>
          <w:sz w:val="24"/>
        </w:rPr>
      </w:pPr>
      <w:r w:rsidRPr="00677D1F">
        <w:rPr>
          <w:rFonts w:hint="eastAsia"/>
          <w:sz w:val="24"/>
        </w:rPr>
        <w:t>（</w:t>
      </w:r>
      <w:r w:rsidRPr="00677D1F">
        <w:rPr>
          <w:sz w:val="24"/>
        </w:rPr>
        <w:t>3</w:t>
      </w:r>
      <w:r w:rsidRPr="00677D1F">
        <w:rPr>
          <w:rFonts w:hint="eastAsia"/>
          <w:sz w:val="24"/>
        </w:rPr>
        <w:t>）采样和测定方法</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废气自行监测参照《固定污染源排气中颗粒物测定与气态污染物采样方法》（</w:t>
      </w:r>
      <w:r w:rsidRPr="00677D1F">
        <w:rPr>
          <w:sz w:val="24"/>
        </w:rPr>
        <w:t>GB/T16157-1996</w:t>
      </w:r>
      <w:r w:rsidRPr="00677D1F">
        <w:rPr>
          <w:rFonts w:hint="eastAsia"/>
          <w:sz w:val="24"/>
        </w:rPr>
        <w:t>）、噪声按照《工业企业厂界环境噪声排放标准》</w:t>
      </w:r>
      <w:r w:rsidRPr="00677D1F">
        <w:rPr>
          <w:sz w:val="24"/>
        </w:rPr>
        <w:t>(GB12348-2008)</w:t>
      </w:r>
      <w:r w:rsidRPr="00677D1F">
        <w:rPr>
          <w:rFonts w:hint="eastAsia"/>
          <w:sz w:val="24"/>
        </w:rPr>
        <w:t>》、地下水按照《地下水环境监测技术规范》（</w:t>
      </w:r>
      <w:r w:rsidRPr="00677D1F">
        <w:rPr>
          <w:sz w:val="24"/>
        </w:rPr>
        <w:t>HJ/T164</w:t>
      </w:r>
      <w:r w:rsidRPr="00677D1F">
        <w:rPr>
          <w:rFonts w:hint="eastAsia"/>
          <w:sz w:val="24"/>
        </w:rPr>
        <w:t>）标准要求执行。</w:t>
      </w:r>
    </w:p>
    <w:p w:rsidR="00D228BE" w:rsidRPr="00677D1F" w:rsidRDefault="00332EB6" w:rsidP="00677D1F">
      <w:pPr>
        <w:spacing w:line="360" w:lineRule="auto"/>
        <w:ind w:firstLineChars="200" w:firstLine="480"/>
        <w:contextualSpacing/>
        <w:rPr>
          <w:sz w:val="24"/>
        </w:rPr>
      </w:pPr>
      <w:r w:rsidRPr="00677D1F">
        <w:rPr>
          <w:rFonts w:hint="eastAsia"/>
          <w:sz w:val="24"/>
        </w:rPr>
        <w:t>（</w:t>
      </w:r>
      <w:r w:rsidRPr="00677D1F">
        <w:rPr>
          <w:sz w:val="24"/>
        </w:rPr>
        <w:t>4</w:t>
      </w:r>
      <w:r w:rsidRPr="00677D1F">
        <w:rPr>
          <w:rFonts w:hint="eastAsia"/>
          <w:sz w:val="24"/>
        </w:rPr>
        <w:t>）数据记录要求</w:t>
      </w:r>
    </w:p>
    <w:p w:rsidR="00D228BE" w:rsidRPr="00677D1F" w:rsidRDefault="00332EB6" w:rsidP="00677D1F">
      <w:pPr>
        <w:autoSpaceDE w:val="0"/>
        <w:autoSpaceDN w:val="0"/>
        <w:spacing w:line="360" w:lineRule="auto"/>
        <w:ind w:firstLineChars="250" w:firstLine="600"/>
        <w:contextualSpacing/>
        <w:jc w:val="left"/>
        <w:rPr>
          <w:sz w:val="24"/>
        </w:rPr>
      </w:pPr>
      <w:r w:rsidRPr="00677D1F">
        <w:rPr>
          <w:sz w:val="24"/>
        </w:rPr>
        <w:t>①</w:t>
      </w:r>
      <w:r w:rsidRPr="00677D1F">
        <w:rPr>
          <w:rFonts w:hint="eastAsia"/>
          <w:sz w:val="24"/>
        </w:rPr>
        <w:t>监测信息记录</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手工监测的记录按照《排污单位自行监测技术指南总则》执行。企业应当定期记录开展手工监测的日期、时间、污染物排放口和监测点位、监测方法、监测频次、监</w:t>
      </w:r>
      <w:r w:rsidRPr="00677D1F">
        <w:rPr>
          <w:rFonts w:hint="eastAsia"/>
          <w:sz w:val="24"/>
        </w:rPr>
        <w:lastRenderedPageBreak/>
        <w:t>测方法和仪器、采样方法等，并建立台账记录报告。</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②</w:t>
      </w:r>
      <w:r w:rsidRPr="00677D1F">
        <w:rPr>
          <w:rFonts w:hint="eastAsia"/>
          <w:sz w:val="24"/>
        </w:rPr>
        <w:t>生产和污染治理设施运行状况信息记录</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监测期间应详细记录企业以下生产及污染治理设施运行状况，日常生产中也应参照以下内容记录相关信息，并整理成台账保存备查。</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1</w:t>
      </w:r>
      <w:r w:rsidRPr="00677D1F">
        <w:rPr>
          <w:rFonts w:hint="eastAsia"/>
          <w:sz w:val="24"/>
        </w:rPr>
        <w:t>）生产运行状况记录</w:t>
      </w:r>
    </w:p>
    <w:p w:rsidR="00D228BE" w:rsidRPr="00677D1F" w:rsidRDefault="00332EB6" w:rsidP="00677D1F">
      <w:pPr>
        <w:autoSpaceDE w:val="0"/>
        <w:autoSpaceDN w:val="0"/>
        <w:spacing w:line="360" w:lineRule="auto"/>
        <w:ind w:firstLineChars="200" w:firstLine="480"/>
        <w:contextualSpacing/>
        <w:rPr>
          <w:sz w:val="24"/>
        </w:rPr>
      </w:pPr>
      <w:r w:rsidRPr="00677D1F">
        <w:rPr>
          <w:rFonts w:hint="eastAsia"/>
          <w:sz w:val="24"/>
        </w:rPr>
        <w:t>分生产线记录每日的原辅料用量及产量：取水量（新鲜水），主要原辅料使用量，产品产量等；</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2</w:t>
      </w:r>
      <w:r w:rsidRPr="00677D1F">
        <w:rPr>
          <w:rFonts w:hint="eastAsia"/>
          <w:sz w:val="24"/>
        </w:rPr>
        <w:t>）废气处理运行状况记录</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按日记录废气处理量、产生浓度、排放浓度、废气处理使用的药剂名称及用量。</w:t>
      </w:r>
    </w:p>
    <w:p w:rsidR="00D228BE" w:rsidRPr="00677D1F" w:rsidRDefault="00332EB6" w:rsidP="00677D1F">
      <w:pPr>
        <w:spacing w:line="360" w:lineRule="auto"/>
        <w:ind w:firstLineChars="200" w:firstLine="480"/>
        <w:contextualSpacing/>
        <w:rPr>
          <w:sz w:val="24"/>
        </w:rPr>
      </w:pPr>
      <w:r w:rsidRPr="00677D1F">
        <w:rPr>
          <w:rFonts w:hint="eastAsia"/>
          <w:sz w:val="24"/>
        </w:rPr>
        <w:t>（</w:t>
      </w:r>
      <w:r w:rsidRPr="00677D1F">
        <w:rPr>
          <w:sz w:val="24"/>
        </w:rPr>
        <w:t>5</w:t>
      </w:r>
      <w:r w:rsidRPr="00677D1F">
        <w:rPr>
          <w:rFonts w:hint="eastAsia"/>
          <w:sz w:val="24"/>
        </w:rPr>
        <w:t>）监测质量保证与质量控制</w:t>
      </w:r>
    </w:p>
    <w:p w:rsidR="00D228BE" w:rsidRPr="00677D1F" w:rsidRDefault="00332EB6" w:rsidP="00677D1F">
      <w:pPr>
        <w:autoSpaceDE w:val="0"/>
        <w:autoSpaceDN w:val="0"/>
        <w:spacing w:line="360" w:lineRule="auto"/>
        <w:ind w:firstLineChars="200" w:firstLine="480"/>
        <w:contextualSpacing/>
        <w:rPr>
          <w:sz w:val="24"/>
        </w:rPr>
      </w:pPr>
      <w:r w:rsidRPr="00677D1F">
        <w:rPr>
          <w:rFonts w:hint="eastAsia"/>
          <w:sz w:val="24"/>
        </w:rPr>
        <w:t>按照《排污单位自行监测技术指南总则》要求，企业应当根据自行监测方案及开展状况，梳理全过程监测质控要求，建立自行监测质量保证与质量控制体系。</w:t>
      </w:r>
    </w:p>
    <w:p w:rsidR="00D228BE" w:rsidRPr="00677D1F" w:rsidRDefault="00332EB6" w:rsidP="00677D1F">
      <w:pPr>
        <w:widowControl/>
        <w:spacing w:line="360" w:lineRule="auto"/>
        <w:contextualSpacing/>
        <w:outlineLvl w:val="3"/>
        <w:rPr>
          <w:rFonts w:asciiTheme="minorEastAsia" w:hAnsiTheme="minorEastAsia" w:cs="Times New Roman"/>
          <w:b/>
          <w:bCs/>
          <w:color w:val="000000"/>
          <w:kern w:val="0"/>
          <w:sz w:val="24"/>
          <w:szCs w:val="24"/>
        </w:rPr>
      </w:pPr>
      <w:r w:rsidRPr="00677D1F">
        <w:rPr>
          <w:rFonts w:asciiTheme="minorEastAsia" w:hAnsiTheme="minorEastAsia" w:cs="Times New Roman" w:hint="eastAsia"/>
          <w:b/>
          <w:bCs/>
          <w:color w:val="000000"/>
          <w:kern w:val="0"/>
          <w:sz w:val="24"/>
          <w:szCs w:val="24"/>
        </w:rPr>
        <w:t>14</w:t>
      </w:r>
      <w:r w:rsidRPr="00677D1F">
        <w:rPr>
          <w:rFonts w:asciiTheme="minorEastAsia" w:hAnsiTheme="minorEastAsia" w:cs="Times New Roman"/>
          <w:b/>
          <w:bCs/>
          <w:color w:val="000000"/>
          <w:kern w:val="0"/>
          <w:sz w:val="24"/>
          <w:szCs w:val="24"/>
        </w:rPr>
        <w:t>.2.2.</w:t>
      </w:r>
      <w:r w:rsidR="00B81D79" w:rsidRPr="00677D1F">
        <w:rPr>
          <w:rFonts w:asciiTheme="minorEastAsia" w:hAnsiTheme="minorEastAsia" w:cs="Times New Roman" w:hint="eastAsia"/>
          <w:b/>
          <w:bCs/>
          <w:color w:val="000000"/>
          <w:kern w:val="0"/>
          <w:sz w:val="24"/>
          <w:szCs w:val="24"/>
        </w:rPr>
        <w:t>3</w:t>
      </w:r>
      <w:r w:rsidRPr="00677D1F">
        <w:rPr>
          <w:rFonts w:asciiTheme="minorEastAsia" w:hAnsiTheme="minorEastAsia" w:cs="Times New Roman"/>
          <w:b/>
          <w:bCs/>
          <w:color w:val="000000"/>
          <w:kern w:val="0"/>
          <w:sz w:val="24"/>
          <w:szCs w:val="24"/>
        </w:rPr>
        <w:t xml:space="preserve"> </w:t>
      </w:r>
      <w:r w:rsidRPr="00677D1F">
        <w:rPr>
          <w:rFonts w:asciiTheme="minorEastAsia" w:hAnsiTheme="minorEastAsia" w:cs="Times New Roman" w:hint="eastAsia"/>
          <w:b/>
          <w:bCs/>
          <w:color w:val="000000"/>
          <w:kern w:val="0"/>
          <w:sz w:val="24"/>
          <w:szCs w:val="24"/>
        </w:rPr>
        <w:t>环境管理台账记录与执行报告编制规范</w:t>
      </w:r>
    </w:p>
    <w:p w:rsidR="00D228BE" w:rsidRPr="00677D1F" w:rsidRDefault="00332EB6" w:rsidP="00677D1F">
      <w:pPr>
        <w:autoSpaceDE w:val="0"/>
        <w:autoSpaceDN w:val="0"/>
        <w:spacing w:line="360" w:lineRule="auto"/>
        <w:ind w:firstLineChars="200" w:firstLine="480"/>
        <w:contextualSpacing/>
        <w:rPr>
          <w:sz w:val="24"/>
        </w:rPr>
      </w:pPr>
      <w:r w:rsidRPr="00677D1F">
        <w:rPr>
          <w:rFonts w:hint="eastAsia"/>
          <w:sz w:val="24"/>
        </w:rPr>
        <w:t>企业开展环境管理台账记录、编制执行报告目的是自我证明企业的持证排放情况。《环境管理台账及排污许可证执行报告技术规范》及相关技术规范性文件发布后，企业环境管理台账记录要求及执行报告编制规范以规范性文件要求为准。</w:t>
      </w:r>
    </w:p>
    <w:p w:rsidR="00D228BE" w:rsidRPr="00677D1F" w:rsidRDefault="00332EB6" w:rsidP="00677D1F">
      <w:pPr>
        <w:autoSpaceDE w:val="0"/>
        <w:autoSpaceDN w:val="0"/>
        <w:spacing w:line="360" w:lineRule="auto"/>
        <w:ind w:firstLineChars="200" w:firstLine="480"/>
        <w:contextualSpacing/>
        <w:rPr>
          <w:sz w:val="24"/>
        </w:rPr>
      </w:pPr>
      <w:r w:rsidRPr="00677D1F">
        <w:rPr>
          <w:rFonts w:hint="eastAsia"/>
          <w:sz w:val="24"/>
        </w:rPr>
        <w:t>（</w:t>
      </w:r>
      <w:r w:rsidRPr="00677D1F">
        <w:rPr>
          <w:sz w:val="24"/>
        </w:rPr>
        <w:t>1</w:t>
      </w:r>
      <w:r w:rsidRPr="00677D1F">
        <w:rPr>
          <w:rFonts w:hint="eastAsia"/>
          <w:sz w:val="24"/>
        </w:rPr>
        <w:t>）环境管理台账记录要求</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企业应按照</w:t>
      </w:r>
      <w:r w:rsidRPr="00677D1F">
        <w:rPr>
          <w:sz w:val="24"/>
        </w:rPr>
        <w:t>“</w:t>
      </w:r>
      <w:r w:rsidRPr="00677D1F">
        <w:rPr>
          <w:rFonts w:hint="eastAsia"/>
          <w:sz w:val="24"/>
        </w:rPr>
        <w:t>规范、真实、全面、细致</w:t>
      </w:r>
      <w:r w:rsidRPr="00677D1F">
        <w:rPr>
          <w:sz w:val="24"/>
        </w:rPr>
        <w:t>”</w:t>
      </w:r>
      <w:r w:rsidRPr="00677D1F">
        <w:rPr>
          <w:rFonts w:hint="eastAsia"/>
          <w:sz w:val="24"/>
        </w:rPr>
        <w:t>的原则，依据《环境管理台账及排污许可证执行报告技术规范》技术规范要求，在排污许可证管理信息平台申报系统进行填报；有核发权的地方环境管理部门补充制定相关技术规范中要求增加的，在本技术规范基础上进行补充；企业还可根据自行监测管理要求补充填报其他内容。企业应建立环境管理台账制度，设置专职人员进行台账的记录、整理、维护和管理，并对台账记录结果的真实性、准确性、完整性负责。</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为实现台账便于携带、作为许可证执行情况佐证并长时间储存的目的以及导出原始数据，加工分析、综合判断运行情况的功能，台账应当按照电子化储存和纸质储存两种形式同步管理。台账保存三年以上备查。</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排污许可证台账应按生产设施进行填报，内容主要包括基本信息、污染治理措施运行管理信息、监测记录信息、其他环境管理信息等内容，记录频次和记录内容要满足排污许可证的各项环境管理要求。其中，基本信息主要包括企业、生产设施、治理</w:t>
      </w:r>
      <w:r w:rsidRPr="00677D1F">
        <w:rPr>
          <w:rFonts w:hint="eastAsia"/>
          <w:sz w:val="24"/>
        </w:rPr>
        <w:lastRenderedPageBreak/>
        <w:t>设施的名称、工艺等排污许可证规定的各项排污单位基本信息的实际情况及与污工艺等排污许可证规定的各项排污单位基本信息的实际情况及与污染物排放相关的主要运行参数；污染治理设施台账主要包括污染物排放自行监测数据记录要求以及污染治理设施运行管理信息。监测记录信息按照自行监测管理要求实施。</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污染治理措施运行管理信息应当包括设备运行校验关键参数，能充分反映生产设施及治理设施运行管理情况。</w:t>
      </w:r>
    </w:p>
    <w:p w:rsidR="00D228BE" w:rsidRPr="00677D1F" w:rsidRDefault="00332EB6" w:rsidP="00677D1F">
      <w:pPr>
        <w:autoSpaceDE w:val="0"/>
        <w:autoSpaceDN w:val="0"/>
        <w:spacing w:line="360" w:lineRule="auto"/>
        <w:ind w:firstLineChars="150" w:firstLine="360"/>
        <w:contextualSpacing/>
        <w:jc w:val="left"/>
        <w:rPr>
          <w:sz w:val="24"/>
        </w:rPr>
      </w:pPr>
      <w:r w:rsidRPr="00677D1F">
        <w:rPr>
          <w:sz w:val="24"/>
        </w:rPr>
        <w:t>①</w:t>
      </w:r>
      <w:r w:rsidRPr="00677D1F">
        <w:rPr>
          <w:rFonts w:hint="eastAsia"/>
          <w:sz w:val="24"/>
        </w:rPr>
        <w:t>污染治理设施运行管理信息</w:t>
      </w:r>
    </w:p>
    <w:p w:rsidR="00D228BE" w:rsidRPr="00677D1F" w:rsidRDefault="00332EB6" w:rsidP="00677D1F">
      <w:pPr>
        <w:autoSpaceDE w:val="0"/>
        <w:autoSpaceDN w:val="0"/>
        <w:spacing w:line="360" w:lineRule="auto"/>
        <w:ind w:firstLineChars="150" w:firstLine="360"/>
        <w:contextualSpacing/>
        <w:jc w:val="left"/>
        <w:rPr>
          <w:sz w:val="24"/>
        </w:rPr>
      </w:pPr>
      <w:r w:rsidRPr="00677D1F">
        <w:rPr>
          <w:rFonts w:hint="eastAsia"/>
          <w:sz w:val="24"/>
        </w:rPr>
        <w:t>环保设施台账应包括所有环保设施的运行参数及排放情况等，废气治理设施包括运行参数（包括运行工况等）、运行费用等。</w:t>
      </w:r>
    </w:p>
    <w:p w:rsidR="00D228BE" w:rsidRPr="00677D1F" w:rsidRDefault="00332EB6" w:rsidP="00677D1F">
      <w:pPr>
        <w:autoSpaceDE w:val="0"/>
        <w:autoSpaceDN w:val="0"/>
        <w:spacing w:line="360" w:lineRule="auto"/>
        <w:ind w:firstLineChars="150" w:firstLine="360"/>
        <w:contextualSpacing/>
        <w:jc w:val="left"/>
        <w:rPr>
          <w:sz w:val="24"/>
        </w:rPr>
      </w:pPr>
      <w:r w:rsidRPr="00677D1F">
        <w:rPr>
          <w:sz w:val="24"/>
        </w:rPr>
        <w:t>②</w:t>
      </w:r>
      <w:r w:rsidRPr="00677D1F">
        <w:rPr>
          <w:rFonts w:hint="eastAsia"/>
          <w:sz w:val="24"/>
        </w:rPr>
        <w:t>其他相关信息</w:t>
      </w:r>
    </w:p>
    <w:p w:rsidR="00D228BE" w:rsidRPr="00677D1F" w:rsidRDefault="00332EB6" w:rsidP="00677D1F">
      <w:pPr>
        <w:autoSpaceDE w:val="0"/>
        <w:autoSpaceDN w:val="0"/>
        <w:spacing w:line="360" w:lineRule="auto"/>
        <w:ind w:firstLineChars="150" w:firstLine="360"/>
        <w:contextualSpacing/>
        <w:jc w:val="left"/>
        <w:rPr>
          <w:sz w:val="24"/>
        </w:rPr>
      </w:pPr>
      <w:r w:rsidRPr="00677D1F">
        <w:rPr>
          <w:rFonts w:hint="eastAsia"/>
          <w:sz w:val="24"/>
        </w:rPr>
        <w:t>年生产时间（分正常工况和非正常工况，单位为小时）、生产负荷、燃料消耗量、主要产品产量（吨）等。</w:t>
      </w:r>
    </w:p>
    <w:p w:rsidR="00D228BE" w:rsidRPr="00677D1F" w:rsidRDefault="00332EB6" w:rsidP="00677D1F">
      <w:pPr>
        <w:autoSpaceDE w:val="0"/>
        <w:autoSpaceDN w:val="0"/>
        <w:spacing w:line="360" w:lineRule="auto"/>
        <w:ind w:firstLineChars="150" w:firstLine="360"/>
        <w:contextualSpacing/>
        <w:jc w:val="left"/>
        <w:rPr>
          <w:sz w:val="24"/>
        </w:rPr>
      </w:pPr>
      <w:r w:rsidRPr="00677D1F">
        <w:rPr>
          <w:rFonts w:hint="eastAsia"/>
          <w:sz w:val="24"/>
        </w:rPr>
        <w:t>（</w:t>
      </w:r>
      <w:r w:rsidRPr="00677D1F">
        <w:rPr>
          <w:sz w:val="24"/>
        </w:rPr>
        <w:t>2</w:t>
      </w:r>
      <w:r w:rsidRPr="00677D1F">
        <w:rPr>
          <w:rFonts w:hint="eastAsia"/>
          <w:sz w:val="24"/>
        </w:rPr>
        <w:t>）执行报告编制规范</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地方环境管理部门应当整合总量控制、排污收费、环境统计等各项环境管理的数据上报要求，可以参照本技术规范，在排污许可证中根据各项环境管理要求，确定执行报告的内容与频次。企业应按照许可证中规定的内容和频次定期上报。</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①</w:t>
      </w:r>
      <w:r w:rsidRPr="00677D1F">
        <w:rPr>
          <w:rFonts w:hint="eastAsia"/>
          <w:sz w:val="24"/>
        </w:rPr>
        <w:t>报告频次</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企业应至少每年上报一次许可证年度执行报告，对于持证时间不足三个月的，当年可不上报年度执行报告，许可证执行情况纳入下一年年度执行报告；每月或每季度向环境保护主管部门上报二氧化硫、氮氧化物等主要污染物的实际排放量。</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②</w:t>
      </w:r>
      <w:r w:rsidRPr="00677D1F">
        <w:rPr>
          <w:rFonts w:hint="eastAsia"/>
          <w:sz w:val="24"/>
        </w:rPr>
        <w:t>年度执行报告提纲</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企业应根据许可证要求时间提交执行报告，根据环境管理台账记录等归纳总结报告期内排污许可证执行情况，自行或委托第三方按照执行报告提纲编写年度执行报告，保证执行报告的规范性和真实性，并连同环保管理台账一并提交至发证机关。负责工程师发生变化时，应当在年度执行报告中及时报告。执行报告提纲具体内容如下：</w:t>
      </w:r>
    </w:p>
    <w:p w:rsidR="00D228BE" w:rsidRPr="00677D1F" w:rsidRDefault="00332EB6" w:rsidP="00677D1F">
      <w:pPr>
        <w:autoSpaceDE w:val="0"/>
        <w:autoSpaceDN w:val="0"/>
        <w:spacing w:line="360" w:lineRule="auto"/>
        <w:ind w:firstLineChars="150" w:firstLine="360"/>
        <w:contextualSpacing/>
        <w:jc w:val="left"/>
        <w:rPr>
          <w:sz w:val="24"/>
        </w:rPr>
      </w:pPr>
      <w:r w:rsidRPr="00677D1F">
        <w:rPr>
          <w:sz w:val="24"/>
        </w:rPr>
        <w:t>1</w:t>
      </w:r>
      <w:r w:rsidRPr="00677D1F">
        <w:rPr>
          <w:rFonts w:hint="eastAsia"/>
          <w:sz w:val="24"/>
        </w:rPr>
        <w:t>）基本生产信息。</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基本生产信息包括排污单位名称、所属行业、许可证编号、组织机构代码、营业执照注册号、投产时间、环保设施运行时间等内容，结合环境管理台账内容，总结概述许可证报告期内企业规模、原辅料、产品、产量、设备等基本信息，并分析与许可</w:t>
      </w:r>
      <w:r w:rsidRPr="00677D1F">
        <w:rPr>
          <w:rFonts w:hint="eastAsia"/>
          <w:sz w:val="24"/>
        </w:rPr>
        <w:lastRenderedPageBreak/>
        <w:t>证载明事项及上年同比变化情况；对于报告周期内有污染治理投资的，还应包括治理类型、开工年月、建成投产年月、计划总投资、报告周期内累计完成投资等信息。企业基本生产信息至少应包括自行监测管理要求中数据记录要求的各项内容。</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2</w:t>
      </w:r>
      <w:r w:rsidRPr="00677D1F">
        <w:rPr>
          <w:rFonts w:hint="eastAsia"/>
          <w:sz w:val="24"/>
        </w:rPr>
        <w:t>）遵守法律法规情况。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说明企业在许可证执行过程中遵守法律法规情况；配合环境保护行政主管部门和其他有环境监督管理权的工作人员职务行为情况；自觉遵守环境行政命令和环境行政决定情况；公众举报、投诉况；自觉遵守环境行政命令和环境行政决定情况；公众举报、投诉情况及具体环境行政处罚等行政决定执行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3</w:t>
      </w:r>
      <w:r w:rsidRPr="00677D1F">
        <w:rPr>
          <w:rFonts w:hint="eastAsia"/>
          <w:sz w:val="24"/>
        </w:rPr>
        <w:t>）污染防治措施运行情况。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污染物来源及处理说明。根据环境管理台账，总结各污染源污染物产生情况、治理措施及效果；分析与许可证载明事项变化情况。污染防治措施运行情况至少应包括“四、自行监测管理要求”中数据记录要求的各项内容</w:t>
      </w:r>
      <w:r w:rsidRPr="00677D1F">
        <w:rPr>
          <w:sz w:val="24"/>
        </w:rPr>
        <w:t>,</w:t>
      </w:r>
      <w:r w:rsidRPr="00677D1F">
        <w:rPr>
          <w:rFonts w:hint="eastAsia"/>
          <w:sz w:val="24"/>
        </w:rPr>
        <w:t>以及废气、废水治理设施运行费用等。</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污染防治设施异常情况说明。企业拆除、闲置停运污染防治设施，需说明原因、递交书面报告、收到回复及实施拆除、闲置停运的起止日期及相关情况；因故障等紧急情况停运污染防治设施，或污染防治设施运行异常的，企业应说明原因、废水废气等污染物排放情况、报告递交情况及采取的应急措施。如有发生污染事故，企业需要说明在污染事故发生时采取的措施、污染物排放情况及对周边环境造成的影响。</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4</w:t>
      </w:r>
      <w:r w:rsidRPr="00677D1F">
        <w:rPr>
          <w:rFonts w:hint="eastAsia"/>
          <w:sz w:val="24"/>
        </w:rPr>
        <w:t>）自行监测情况。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自行监测情况应当说明监测点位、监测指标、监测频次、监测方法和仪器、采样方法、监测质量控制及监测结果公开情况等，并建立台账记录报告。</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5</w:t>
      </w:r>
      <w:r w:rsidRPr="00677D1F">
        <w:rPr>
          <w:rFonts w:hint="eastAsia"/>
          <w:sz w:val="24"/>
        </w:rPr>
        <w:t>）台账管理情况。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企业应说明按总量控制、排污收费、环境保护税等各项环境管理要求统计基本信息、污染治理措施运行管理信息、其他环境管理信息等情况；说明记录、保存监测数据的情况；说明生产运行台账是否满足接受各级环境保护主管部门检查要求。</w:t>
      </w:r>
    </w:p>
    <w:p w:rsidR="00D228BE" w:rsidRPr="00677D1F" w:rsidRDefault="00332EB6" w:rsidP="00677D1F">
      <w:pPr>
        <w:pStyle w:val="Default"/>
        <w:adjustRightInd/>
        <w:spacing w:line="360" w:lineRule="auto"/>
        <w:ind w:firstLineChars="200" w:firstLine="480"/>
        <w:contextualSpacing/>
        <w:rPr>
          <w:rFonts w:ascii="Times New Roman" w:cs="Times New Roman"/>
          <w:color w:val="auto"/>
        </w:rPr>
      </w:pPr>
      <w:r w:rsidRPr="00677D1F">
        <w:rPr>
          <w:rFonts w:ascii="Times New Roman" w:cs="Times New Roman"/>
          <w:color w:val="auto"/>
        </w:rPr>
        <w:t>6</w:t>
      </w:r>
      <w:r w:rsidRPr="00677D1F">
        <w:rPr>
          <w:rFonts w:ascii="Times New Roman" w:cs="Times New Roman" w:hint="eastAsia"/>
          <w:color w:val="auto"/>
        </w:rPr>
        <w:t>）实际排放情况及达标判定分析。</w:t>
      </w:r>
    </w:p>
    <w:p w:rsidR="00D228BE" w:rsidRPr="00677D1F" w:rsidRDefault="00332EB6" w:rsidP="00677D1F">
      <w:pPr>
        <w:pStyle w:val="Default"/>
        <w:adjustRightInd/>
        <w:spacing w:line="360" w:lineRule="auto"/>
        <w:ind w:firstLineChars="200" w:firstLine="480"/>
        <w:contextualSpacing/>
        <w:rPr>
          <w:rFonts w:ascii="Times New Roman" w:cs="Times New Roman"/>
          <w:color w:val="auto"/>
        </w:rPr>
      </w:pPr>
      <w:r w:rsidRPr="00677D1F">
        <w:rPr>
          <w:rFonts w:ascii="Times New Roman" w:cs="Times New Roman" w:hint="eastAsia"/>
          <w:color w:val="auto"/>
        </w:rPr>
        <w:t>根据企业自行监测数据记录及环境管理台账的相关数据信息，概述企业各项污染源、各项污染物的排放情况，分析全年、特殊时段、启停机时段许可浓度限值及许可排放量的达标情况。</w:t>
      </w:r>
    </w:p>
    <w:p w:rsidR="00D228BE" w:rsidRPr="00677D1F" w:rsidRDefault="00332EB6" w:rsidP="00677D1F">
      <w:pPr>
        <w:autoSpaceDE w:val="0"/>
        <w:autoSpaceDN w:val="0"/>
        <w:spacing w:line="360" w:lineRule="auto"/>
        <w:ind w:firstLineChars="200" w:firstLine="480"/>
        <w:contextualSpacing/>
        <w:jc w:val="left"/>
        <w:rPr>
          <w:rFonts w:ascii="Times New Roman" w:cs="Times New Roman"/>
          <w:sz w:val="24"/>
        </w:rPr>
      </w:pPr>
      <w:r w:rsidRPr="00677D1F">
        <w:rPr>
          <w:sz w:val="24"/>
        </w:rPr>
        <w:lastRenderedPageBreak/>
        <w:t>7</w:t>
      </w:r>
      <w:r w:rsidRPr="00677D1F">
        <w:rPr>
          <w:rFonts w:hint="eastAsia"/>
          <w:sz w:val="24"/>
        </w:rPr>
        <w:t>）排污费（环境保护税）缴纳情况。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企业说明根据相关环境法律法规，按照排放污染物的种类、浓度、数量等缴纳排污费（环境保护税）的情况。如遇有不可抗力自然灾害和其他突发事件申请减免或缓缴，企业需说明书面申请及批复情况。</w:t>
      </w:r>
    </w:p>
    <w:p w:rsidR="00D228BE" w:rsidRPr="00677D1F" w:rsidRDefault="00332EB6" w:rsidP="00677D1F">
      <w:pPr>
        <w:autoSpaceDE w:val="0"/>
        <w:autoSpaceDN w:val="0"/>
        <w:spacing w:line="360" w:lineRule="auto"/>
        <w:ind w:firstLineChars="150" w:firstLine="360"/>
        <w:contextualSpacing/>
        <w:jc w:val="left"/>
        <w:rPr>
          <w:sz w:val="24"/>
        </w:rPr>
      </w:pPr>
      <w:r w:rsidRPr="00677D1F">
        <w:rPr>
          <w:sz w:val="24"/>
        </w:rPr>
        <w:t>8</w:t>
      </w:r>
      <w:r w:rsidRPr="00677D1F">
        <w:rPr>
          <w:rFonts w:hint="eastAsia"/>
          <w:sz w:val="24"/>
        </w:rPr>
        <w:t>）信息公开情况。</w:t>
      </w:r>
    </w:p>
    <w:p w:rsidR="00D228BE" w:rsidRPr="00677D1F" w:rsidRDefault="00332EB6" w:rsidP="00677D1F">
      <w:pPr>
        <w:autoSpaceDE w:val="0"/>
        <w:autoSpaceDN w:val="0"/>
        <w:spacing w:line="360" w:lineRule="auto"/>
        <w:ind w:firstLineChars="150" w:firstLine="360"/>
        <w:contextualSpacing/>
        <w:jc w:val="left"/>
        <w:rPr>
          <w:sz w:val="24"/>
        </w:rPr>
      </w:pPr>
      <w:r w:rsidRPr="00677D1F">
        <w:rPr>
          <w:rFonts w:hint="eastAsia"/>
          <w:sz w:val="24"/>
        </w:rPr>
        <w:t>企业说明依据排污许可证规定的环境信息公开要求，开展信息公开的情况。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sz w:val="24"/>
        </w:rPr>
        <w:t>9</w:t>
      </w:r>
      <w:r w:rsidRPr="00677D1F">
        <w:rPr>
          <w:rFonts w:hint="eastAsia"/>
          <w:sz w:val="24"/>
        </w:rPr>
        <w:t>）企业内部环境管理体系建设与运行情况。</w:t>
      </w:r>
    </w:p>
    <w:p w:rsidR="00D228BE" w:rsidRPr="00677D1F" w:rsidRDefault="00332EB6" w:rsidP="00677D1F">
      <w:pPr>
        <w:autoSpaceDE w:val="0"/>
        <w:autoSpaceDN w:val="0"/>
        <w:spacing w:line="360" w:lineRule="auto"/>
        <w:ind w:firstLineChars="200" w:firstLine="480"/>
        <w:contextualSpacing/>
        <w:jc w:val="left"/>
        <w:rPr>
          <w:sz w:val="24"/>
        </w:rPr>
      </w:pPr>
      <w:r w:rsidRPr="00677D1F">
        <w:rPr>
          <w:rFonts w:hint="eastAsia"/>
          <w:sz w:val="24"/>
        </w:rPr>
        <w:t>说明企业内部环境管理体系的设置、人员保障、设施配备、企业环境保护规划、相关规章制度的建设和实施情况、相关责任的落实情况等。</w:t>
      </w:r>
    </w:p>
    <w:p w:rsidR="00D228BE" w:rsidRPr="00677D1F" w:rsidRDefault="00332EB6" w:rsidP="00677D1F">
      <w:pPr>
        <w:pStyle w:val="af3"/>
        <w:adjustRightInd/>
        <w:snapToGrid/>
        <w:spacing w:beforeLines="50" w:before="120" w:afterLines="50" w:after="120" w:line="360" w:lineRule="auto"/>
        <w:ind w:firstLineChars="0" w:firstLine="0"/>
        <w:contextualSpacing/>
        <w:outlineLvl w:val="1"/>
        <w:rPr>
          <w:b/>
          <w:bCs/>
          <w:sz w:val="30"/>
          <w:szCs w:val="30"/>
        </w:rPr>
      </w:pPr>
      <w:bookmarkStart w:id="16" w:name="_Toc18730"/>
      <w:bookmarkStart w:id="17" w:name="_Toc29331"/>
      <w:bookmarkStart w:id="18" w:name="_Toc20256"/>
      <w:r w:rsidRPr="00677D1F">
        <w:rPr>
          <w:rFonts w:hint="eastAsia"/>
          <w:b/>
          <w:bCs/>
          <w:sz w:val="30"/>
          <w:szCs w:val="30"/>
        </w:rPr>
        <w:t>14</w:t>
      </w:r>
      <w:r w:rsidRPr="00677D1F">
        <w:rPr>
          <w:b/>
          <w:bCs/>
          <w:sz w:val="30"/>
          <w:szCs w:val="30"/>
        </w:rPr>
        <w:t xml:space="preserve">.3 </w:t>
      </w:r>
      <w:r w:rsidRPr="00677D1F">
        <w:rPr>
          <w:rFonts w:hint="eastAsia"/>
          <w:b/>
          <w:bCs/>
          <w:sz w:val="30"/>
          <w:szCs w:val="30"/>
        </w:rPr>
        <w:t>污染物排放清单</w:t>
      </w:r>
      <w:bookmarkEnd w:id="16"/>
      <w:bookmarkEnd w:id="17"/>
      <w:r w:rsidRPr="00677D1F">
        <w:rPr>
          <w:rFonts w:hint="eastAsia"/>
          <w:b/>
          <w:bCs/>
          <w:sz w:val="30"/>
          <w:szCs w:val="30"/>
        </w:rPr>
        <w:t>及环境保护</w:t>
      </w:r>
      <w:r w:rsidRPr="00677D1F">
        <w:rPr>
          <w:b/>
          <w:bCs/>
          <w:sz w:val="30"/>
          <w:szCs w:val="30"/>
        </w:rPr>
        <w:t>“</w:t>
      </w:r>
      <w:r w:rsidRPr="00677D1F">
        <w:rPr>
          <w:rFonts w:hint="eastAsia"/>
          <w:b/>
          <w:bCs/>
          <w:sz w:val="30"/>
          <w:szCs w:val="30"/>
        </w:rPr>
        <w:t>三同时</w:t>
      </w:r>
      <w:r w:rsidRPr="00677D1F">
        <w:rPr>
          <w:b/>
          <w:bCs/>
          <w:sz w:val="30"/>
          <w:szCs w:val="30"/>
        </w:rPr>
        <w:t>”</w:t>
      </w:r>
      <w:r w:rsidRPr="00677D1F">
        <w:rPr>
          <w:rFonts w:hint="eastAsia"/>
          <w:b/>
          <w:bCs/>
          <w:sz w:val="30"/>
          <w:szCs w:val="30"/>
        </w:rPr>
        <w:t>验收</w:t>
      </w:r>
      <w:bookmarkEnd w:id="18"/>
    </w:p>
    <w:p w:rsidR="00D228BE" w:rsidRPr="00677D1F" w:rsidRDefault="00332EB6" w:rsidP="00677D1F">
      <w:pPr>
        <w:spacing w:beforeLines="25" w:before="60" w:afterLines="25" w:after="60" w:line="360" w:lineRule="auto"/>
        <w:contextualSpacing/>
        <w:outlineLvl w:val="2"/>
        <w:rPr>
          <w:b/>
          <w:sz w:val="28"/>
          <w:szCs w:val="40"/>
        </w:rPr>
      </w:pPr>
      <w:r w:rsidRPr="00677D1F">
        <w:rPr>
          <w:rFonts w:hint="eastAsia"/>
          <w:b/>
          <w:sz w:val="28"/>
          <w:szCs w:val="40"/>
        </w:rPr>
        <w:t>14</w:t>
      </w:r>
      <w:r w:rsidRPr="00677D1F">
        <w:rPr>
          <w:b/>
          <w:sz w:val="28"/>
          <w:szCs w:val="40"/>
        </w:rPr>
        <w:t xml:space="preserve">.3.1 </w:t>
      </w:r>
      <w:r w:rsidRPr="00677D1F">
        <w:rPr>
          <w:rFonts w:hint="eastAsia"/>
          <w:b/>
          <w:sz w:val="28"/>
          <w:szCs w:val="40"/>
        </w:rPr>
        <w:t>污染物排放清单</w:t>
      </w:r>
    </w:p>
    <w:p w:rsidR="00D228BE" w:rsidRPr="00677D1F" w:rsidRDefault="00332EB6" w:rsidP="00677D1F">
      <w:pPr>
        <w:autoSpaceDE w:val="0"/>
        <w:autoSpaceDN w:val="0"/>
        <w:spacing w:line="360" w:lineRule="auto"/>
        <w:ind w:firstLineChars="200" w:firstLine="480"/>
        <w:contextualSpacing/>
        <w:jc w:val="left"/>
        <w:rPr>
          <w:sz w:val="24"/>
          <w:szCs w:val="21"/>
        </w:rPr>
      </w:pPr>
      <w:r w:rsidRPr="00677D1F">
        <w:rPr>
          <w:rFonts w:hint="eastAsia"/>
          <w:sz w:val="24"/>
        </w:rPr>
        <w:t>根据工程分析及环境治理措施，对本项目污染物排放源及排放量进行梳理，形成污染源排放清单。污染物排放清单见表</w:t>
      </w:r>
      <w:r w:rsidRPr="00677D1F">
        <w:rPr>
          <w:sz w:val="24"/>
        </w:rPr>
        <w:t>8.3-1</w:t>
      </w:r>
      <w:r w:rsidRPr="00677D1F">
        <w:rPr>
          <w:rFonts w:hint="eastAsia"/>
          <w:sz w:val="24"/>
        </w:rPr>
        <w:t>。</w:t>
      </w:r>
    </w:p>
    <w:p w:rsidR="00D228BE" w:rsidRPr="00677D1F" w:rsidRDefault="00332EB6" w:rsidP="00677D1F">
      <w:pPr>
        <w:spacing w:beforeLines="25" w:before="60" w:afterLines="25" w:after="60" w:line="360" w:lineRule="auto"/>
        <w:contextualSpacing/>
        <w:outlineLvl w:val="2"/>
        <w:rPr>
          <w:b/>
          <w:sz w:val="28"/>
          <w:szCs w:val="40"/>
        </w:rPr>
      </w:pPr>
      <w:bookmarkStart w:id="19" w:name="_Toc29541"/>
      <w:bookmarkStart w:id="20" w:name="_Toc16702"/>
      <w:bookmarkStart w:id="21" w:name="_Toc4948"/>
      <w:bookmarkStart w:id="22" w:name="_Toc4615"/>
      <w:bookmarkStart w:id="23" w:name="_Toc17701"/>
      <w:r w:rsidRPr="00677D1F">
        <w:rPr>
          <w:rFonts w:hint="eastAsia"/>
          <w:b/>
          <w:sz w:val="28"/>
          <w:szCs w:val="40"/>
        </w:rPr>
        <w:t>14</w:t>
      </w:r>
      <w:r w:rsidRPr="00677D1F">
        <w:rPr>
          <w:b/>
          <w:sz w:val="28"/>
          <w:szCs w:val="40"/>
        </w:rPr>
        <w:t xml:space="preserve">.3.2 </w:t>
      </w:r>
      <w:r w:rsidRPr="00677D1F">
        <w:rPr>
          <w:rFonts w:hint="eastAsia"/>
          <w:b/>
          <w:sz w:val="28"/>
          <w:szCs w:val="40"/>
        </w:rPr>
        <w:t>竣工环保验收</w:t>
      </w:r>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24" w:name="_Toc27314"/>
      <w:bookmarkStart w:id="25" w:name="_Toc21300"/>
      <w:bookmarkStart w:id="26" w:name="_Toc14019"/>
      <w:bookmarkStart w:id="27" w:name="_Toc520129068"/>
      <w:r w:rsidRPr="00677D1F">
        <w:rPr>
          <w:rFonts w:ascii="Times New Roman" w:eastAsia="宋体" w:hAnsi="Times New Roman" w:hint="eastAsia"/>
          <w:b w:val="0"/>
          <w:sz w:val="24"/>
          <w:szCs w:val="24"/>
        </w:rPr>
        <w:t>根据建设项目环境管理办法，污染防治设施必须与主体工程同时设计、同时施工、同时投入使用。在项目完成后，在项目满足验收条件后，建设单位应积极开展环保设施竣工验收，进行项目验收。</w:t>
      </w:r>
      <w:bookmarkEnd w:id="19"/>
      <w:bookmarkEnd w:id="20"/>
      <w:bookmarkEnd w:id="21"/>
      <w:bookmarkEnd w:id="22"/>
      <w:bookmarkEnd w:id="23"/>
      <w:r w:rsidRPr="00677D1F">
        <w:rPr>
          <w:rFonts w:ascii="Times New Roman" w:eastAsia="宋体" w:hAnsi="Times New Roman" w:hint="eastAsia"/>
          <w:b w:val="0"/>
          <w:sz w:val="24"/>
          <w:szCs w:val="24"/>
        </w:rPr>
        <w:t>本项目三同时验收一览表见表</w:t>
      </w:r>
      <w:r w:rsidRPr="00677D1F">
        <w:rPr>
          <w:rFonts w:ascii="Times New Roman" w:eastAsia="宋体" w:hAnsi="Times New Roman"/>
          <w:b w:val="0"/>
          <w:sz w:val="24"/>
          <w:szCs w:val="24"/>
        </w:rPr>
        <w:t>8.3-2</w:t>
      </w:r>
      <w:r w:rsidRPr="00677D1F">
        <w:rPr>
          <w:rFonts w:ascii="Times New Roman" w:eastAsia="宋体" w:hAnsi="Times New Roman" w:hint="eastAsia"/>
          <w:b w:val="0"/>
          <w:sz w:val="24"/>
          <w:szCs w:val="24"/>
        </w:rPr>
        <w:t>。</w:t>
      </w:r>
      <w:bookmarkEnd w:id="24"/>
      <w:bookmarkEnd w:id="25"/>
      <w:bookmarkEnd w:id="26"/>
      <w:bookmarkEnd w:id="27"/>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28" w:name="_Toc3131"/>
      <w:bookmarkStart w:id="29" w:name="_Toc25389"/>
      <w:bookmarkStart w:id="30" w:name="_Toc7081"/>
      <w:bookmarkStart w:id="31" w:name="_Toc520129069"/>
      <w:r w:rsidRPr="00677D1F">
        <w:rPr>
          <w:rFonts w:ascii="Times New Roman" w:eastAsia="宋体" w:hAnsi="Times New Roman" w:hint="eastAsia"/>
          <w:b w:val="0"/>
          <w:sz w:val="24"/>
          <w:szCs w:val="24"/>
        </w:rPr>
        <w:t>根据《建设项目竣工环境保护验收暂行办法》第八条</w:t>
      </w:r>
      <w:r w:rsidRPr="00677D1F">
        <w:rPr>
          <w:rFonts w:ascii="Times New Roman" w:eastAsia="宋体" w:hAnsi="Times New Roman"/>
          <w:b w:val="0"/>
          <w:sz w:val="24"/>
          <w:szCs w:val="24"/>
        </w:rPr>
        <w:t xml:space="preserve"> </w:t>
      </w:r>
      <w:r w:rsidRPr="00677D1F">
        <w:rPr>
          <w:rFonts w:ascii="Times New Roman" w:eastAsia="宋体" w:hAnsi="Times New Roman" w:hint="eastAsia"/>
          <w:b w:val="0"/>
          <w:sz w:val="24"/>
          <w:szCs w:val="24"/>
        </w:rPr>
        <w:t>建设项目环境保护设施存在下列情形之一的，建设单位不得提出验收合格的意见：</w:t>
      </w:r>
      <w:bookmarkEnd w:id="28"/>
      <w:bookmarkEnd w:id="29"/>
      <w:bookmarkEnd w:id="30"/>
      <w:bookmarkEnd w:id="31"/>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32" w:name="_Toc6483"/>
      <w:bookmarkStart w:id="33" w:name="_Toc11343"/>
      <w:bookmarkStart w:id="34" w:name="_Toc520129070"/>
      <w:bookmarkStart w:id="35" w:name="_Toc12431"/>
      <w:r w:rsidRPr="00677D1F">
        <w:rPr>
          <w:rFonts w:ascii="Times New Roman" w:eastAsia="宋体" w:hAnsi="Times New Roman" w:hint="eastAsia"/>
          <w:b w:val="0"/>
          <w:sz w:val="24"/>
          <w:szCs w:val="24"/>
        </w:rPr>
        <w:t>（一）未按环境影响报告书（表）及其审批部门审批决定要求建成环境保护设施，或者环境保护设施不能与主体工程同时投产或者使用的；</w:t>
      </w:r>
      <w:bookmarkEnd w:id="32"/>
      <w:bookmarkEnd w:id="33"/>
      <w:bookmarkEnd w:id="34"/>
      <w:bookmarkEnd w:id="35"/>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36" w:name="_Toc520129071"/>
      <w:bookmarkStart w:id="37" w:name="_Toc29109"/>
      <w:bookmarkStart w:id="38" w:name="_Toc23356"/>
      <w:bookmarkStart w:id="39" w:name="_Toc1458"/>
      <w:r w:rsidRPr="00677D1F">
        <w:rPr>
          <w:rFonts w:ascii="Times New Roman" w:eastAsia="宋体" w:hAnsi="Times New Roman" w:hint="eastAsia"/>
          <w:b w:val="0"/>
          <w:sz w:val="24"/>
          <w:szCs w:val="24"/>
        </w:rPr>
        <w:t>（二）污染物排放不符合国家和地方相关标准、环境影响报告书（表）及其审批部门审批决定或者重点污染物排放总量控制指标要求的；</w:t>
      </w:r>
      <w:bookmarkEnd w:id="36"/>
      <w:bookmarkEnd w:id="37"/>
      <w:bookmarkEnd w:id="38"/>
      <w:bookmarkEnd w:id="39"/>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40" w:name="_Toc26937"/>
      <w:bookmarkStart w:id="41" w:name="_Toc12542"/>
      <w:bookmarkStart w:id="42" w:name="_Toc3880"/>
      <w:bookmarkStart w:id="43" w:name="_Toc520129072"/>
      <w:r w:rsidRPr="00677D1F">
        <w:rPr>
          <w:rFonts w:ascii="Times New Roman" w:eastAsia="宋体" w:hAnsi="Times New Roman" w:hint="eastAsia"/>
          <w:b w:val="0"/>
          <w:sz w:val="24"/>
          <w:szCs w:val="24"/>
        </w:rPr>
        <w:t>（三）环境影响报告书（表）经批准后，该建设项目的性质、规模、地点、采用的生产工艺或者防治污染、防止生态破坏的措施发生重大变动，建设单位未重新报批环境影响报告书（表）或者环境影响报告书（表）未经批准的；</w:t>
      </w:r>
      <w:bookmarkEnd w:id="40"/>
      <w:bookmarkEnd w:id="41"/>
      <w:bookmarkEnd w:id="42"/>
      <w:bookmarkEnd w:id="43"/>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44" w:name="_Toc904"/>
      <w:bookmarkStart w:id="45" w:name="_Toc21050"/>
      <w:bookmarkStart w:id="46" w:name="_Toc31359"/>
      <w:bookmarkStart w:id="47" w:name="_Toc520129073"/>
      <w:r w:rsidRPr="00677D1F">
        <w:rPr>
          <w:rFonts w:ascii="Times New Roman" w:eastAsia="宋体" w:hAnsi="Times New Roman" w:hint="eastAsia"/>
          <w:b w:val="0"/>
          <w:sz w:val="24"/>
          <w:szCs w:val="24"/>
        </w:rPr>
        <w:t>（四）建设过程中造成重大环境污染未治理完成，或者造成重大生态破坏未恢复的；</w:t>
      </w:r>
      <w:bookmarkStart w:id="48" w:name="_Toc9483"/>
      <w:bookmarkEnd w:id="44"/>
      <w:bookmarkEnd w:id="45"/>
      <w:bookmarkEnd w:id="46"/>
      <w:bookmarkEnd w:id="47"/>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49" w:name="_Toc23980"/>
      <w:bookmarkStart w:id="50" w:name="_Toc18867"/>
      <w:bookmarkStart w:id="51" w:name="_Toc520129074"/>
      <w:r w:rsidRPr="00677D1F">
        <w:rPr>
          <w:rFonts w:ascii="Times New Roman" w:eastAsia="宋体" w:hAnsi="Times New Roman" w:hint="eastAsia"/>
          <w:b w:val="0"/>
          <w:sz w:val="24"/>
          <w:szCs w:val="24"/>
        </w:rPr>
        <w:lastRenderedPageBreak/>
        <w:t>（五）纳入排污许可管理的建设项目，无证排污或者不按证排污的；</w:t>
      </w:r>
      <w:bookmarkEnd w:id="48"/>
      <w:bookmarkEnd w:id="49"/>
      <w:bookmarkEnd w:id="50"/>
      <w:bookmarkEnd w:id="51"/>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52" w:name="_Toc4388"/>
      <w:bookmarkStart w:id="53" w:name="_Toc18859"/>
      <w:bookmarkStart w:id="54" w:name="_Toc5248"/>
      <w:bookmarkStart w:id="55" w:name="_Toc520129075"/>
      <w:r w:rsidRPr="00677D1F">
        <w:rPr>
          <w:rFonts w:ascii="Times New Roman" w:eastAsia="宋体" w:hAnsi="Times New Roman" w:hint="eastAsia"/>
          <w:b w:val="0"/>
          <w:sz w:val="24"/>
          <w:szCs w:val="24"/>
        </w:rPr>
        <w:t>（六）分期建设、分期投入生产或者使用依法应当分期验收的建设项目，其分期建设、分期投入生产或者使用的环境保护设施防治环境污染和生态破坏的能力不能满足其相应主体工程需要的；</w:t>
      </w:r>
      <w:bookmarkEnd w:id="52"/>
      <w:bookmarkEnd w:id="53"/>
      <w:bookmarkEnd w:id="54"/>
      <w:bookmarkEnd w:id="55"/>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56" w:name="_Toc6725"/>
      <w:bookmarkStart w:id="57" w:name="_Toc19329"/>
      <w:bookmarkStart w:id="58" w:name="_Toc23884"/>
      <w:bookmarkStart w:id="59" w:name="_Toc520129076"/>
      <w:r w:rsidRPr="00677D1F">
        <w:rPr>
          <w:rFonts w:ascii="Times New Roman" w:eastAsia="宋体" w:hAnsi="Times New Roman" w:hint="eastAsia"/>
          <w:b w:val="0"/>
          <w:sz w:val="24"/>
          <w:szCs w:val="24"/>
        </w:rPr>
        <w:t>（七）建设单位因该建设项目违反国家和地方环境保护法律法规受到处罚，被责令改正，尚未改正完成的；</w:t>
      </w:r>
      <w:bookmarkEnd w:id="56"/>
      <w:bookmarkEnd w:id="57"/>
      <w:bookmarkEnd w:id="58"/>
      <w:bookmarkEnd w:id="59"/>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60" w:name="_Toc26683"/>
      <w:bookmarkStart w:id="61" w:name="_Toc3788"/>
      <w:bookmarkStart w:id="62" w:name="_Toc21435"/>
      <w:bookmarkStart w:id="63" w:name="_Toc520129077"/>
      <w:r w:rsidRPr="00677D1F">
        <w:rPr>
          <w:rFonts w:ascii="Times New Roman" w:eastAsia="宋体" w:hAnsi="Times New Roman" w:hint="eastAsia"/>
          <w:b w:val="0"/>
          <w:sz w:val="24"/>
          <w:szCs w:val="24"/>
        </w:rPr>
        <w:t>（八）验收报告的基础资料数据明显不实，内容存在重大缺项、遗漏，或者验收结论不明确、不合理的；</w:t>
      </w:r>
      <w:bookmarkEnd w:id="60"/>
      <w:bookmarkEnd w:id="61"/>
      <w:bookmarkEnd w:id="62"/>
      <w:bookmarkEnd w:id="63"/>
    </w:p>
    <w:p w:rsidR="00D228BE" w:rsidRPr="00677D1F" w:rsidRDefault="00332EB6" w:rsidP="00677D1F">
      <w:pPr>
        <w:pStyle w:val="af2"/>
        <w:spacing w:before="0" w:after="0" w:line="360" w:lineRule="auto"/>
        <w:ind w:firstLineChars="200" w:firstLine="480"/>
        <w:contextualSpacing/>
        <w:outlineLvl w:val="9"/>
        <w:rPr>
          <w:rFonts w:ascii="Times New Roman" w:eastAsia="宋体" w:hAnsi="Times New Roman"/>
          <w:b w:val="0"/>
          <w:sz w:val="24"/>
          <w:szCs w:val="24"/>
        </w:rPr>
      </w:pPr>
      <w:bookmarkStart w:id="64" w:name="_Toc23476"/>
      <w:bookmarkStart w:id="65" w:name="_Toc520129078"/>
      <w:bookmarkStart w:id="66" w:name="_Toc3448"/>
      <w:bookmarkStart w:id="67" w:name="_Toc22697"/>
      <w:r w:rsidRPr="00677D1F">
        <w:rPr>
          <w:rFonts w:ascii="Times New Roman" w:eastAsia="宋体" w:hAnsi="Times New Roman" w:hint="eastAsia"/>
          <w:b w:val="0"/>
          <w:sz w:val="24"/>
          <w:szCs w:val="24"/>
        </w:rPr>
        <w:t>（九）其他环境保护法律法规规章等规定不得通过环境保护验收的。</w:t>
      </w:r>
      <w:bookmarkEnd w:id="64"/>
      <w:bookmarkEnd w:id="65"/>
      <w:bookmarkEnd w:id="66"/>
      <w:bookmarkEnd w:id="67"/>
    </w:p>
    <w:p w:rsidR="00D228BE" w:rsidRPr="00677D1F" w:rsidRDefault="00D228BE" w:rsidP="00677D1F">
      <w:pPr>
        <w:widowControl/>
        <w:spacing w:line="360" w:lineRule="auto"/>
        <w:contextualSpacing/>
        <w:jc w:val="left"/>
        <w:rPr>
          <w:bCs/>
          <w:kern w:val="0"/>
          <w:sz w:val="24"/>
          <w:szCs w:val="24"/>
        </w:rPr>
        <w:sectPr w:rsidR="00D228BE" w:rsidRPr="00677D1F">
          <w:pgSz w:w="11906" w:h="16838"/>
          <w:pgMar w:top="1588" w:right="1418" w:bottom="1418" w:left="1701" w:header="1020" w:footer="1020" w:gutter="0"/>
          <w:cols w:space="720"/>
        </w:sectPr>
      </w:pPr>
    </w:p>
    <w:p w:rsidR="00D228BE" w:rsidRPr="00677D1F" w:rsidRDefault="00332EB6" w:rsidP="00677D1F">
      <w:pPr>
        <w:pStyle w:val="1"/>
        <w:pageBreakBefore/>
        <w:spacing w:beforeLines="150" w:before="468" w:afterLines="150" w:after="468" w:line="360" w:lineRule="auto"/>
        <w:contextualSpacing/>
        <w:textAlignment w:val="baseline"/>
        <w:rPr>
          <w:rFonts w:ascii="宋体" w:hAnsi="宋体"/>
          <w:bCs w:val="0"/>
          <w:spacing w:val="0"/>
          <w:szCs w:val="32"/>
        </w:rPr>
      </w:pPr>
      <w:r w:rsidRPr="00677D1F">
        <w:rPr>
          <w:rFonts w:ascii="宋体" w:hAnsi="宋体" w:hint="eastAsia"/>
          <w:bCs w:val="0"/>
          <w:spacing w:val="0"/>
          <w:szCs w:val="32"/>
        </w:rPr>
        <w:lastRenderedPageBreak/>
        <w:t>1</w:t>
      </w:r>
      <w:r w:rsidR="00DF0C48" w:rsidRPr="00677D1F">
        <w:rPr>
          <w:rFonts w:ascii="宋体" w:hAnsi="宋体" w:hint="eastAsia"/>
          <w:bCs w:val="0"/>
          <w:spacing w:val="0"/>
          <w:szCs w:val="32"/>
        </w:rPr>
        <w:t>5</w:t>
      </w:r>
      <w:r w:rsidRPr="00677D1F">
        <w:rPr>
          <w:rFonts w:ascii="宋体" w:hAnsi="宋体" w:hint="eastAsia"/>
          <w:bCs w:val="0"/>
          <w:spacing w:val="0"/>
          <w:szCs w:val="32"/>
        </w:rPr>
        <w:t xml:space="preserve"> </w:t>
      </w:r>
      <w:r w:rsidR="00B81D79" w:rsidRPr="00677D1F">
        <w:rPr>
          <w:rFonts w:ascii="宋体" w:hAnsi="宋体" w:hint="eastAsia"/>
          <w:bCs w:val="0"/>
          <w:spacing w:val="0"/>
          <w:szCs w:val="32"/>
        </w:rPr>
        <w:t>环境影响评价结论</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w:t>
      </w:r>
      <w:r w:rsidR="00DF0C48" w:rsidRPr="00677D1F">
        <w:rPr>
          <w:rFonts w:ascii="宋体" w:hAnsi="宋体" w:hint="eastAsia"/>
          <w:bCs w:val="0"/>
          <w:kern w:val="2"/>
          <w:sz w:val="30"/>
          <w:szCs w:val="30"/>
        </w:rPr>
        <w:t>5</w:t>
      </w:r>
      <w:r w:rsidRPr="00677D1F">
        <w:rPr>
          <w:rFonts w:ascii="宋体" w:hAnsi="宋体"/>
          <w:bCs w:val="0"/>
          <w:kern w:val="2"/>
          <w:sz w:val="30"/>
          <w:szCs w:val="30"/>
        </w:rPr>
        <w:t>.1</w:t>
      </w:r>
      <w:r w:rsidRPr="00677D1F">
        <w:rPr>
          <w:rFonts w:ascii="宋体" w:hAnsi="宋体" w:hint="eastAsia"/>
          <w:bCs w:val="0"/>
          <w:kern w:val="2"/>
          <w:sz w:val="30"/>
          <w:szCs w:val="30"/>
        </w:rPr>
        <w:t>结论</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w:t>
      </w:r>
      <w:r w:rsidR="00DF0C48" w:rsidRPr="00677D1F">
        <w:rPr>
          <w:rFonts w:ascii="宋体" w:hAnsi="宋体" w:hint="eastAsia"/>
          <w:sz w:val="28"/>
          <w:szCs w:val="28"/>
        </w:rPr>
        <w:t>5</w:t>
      </w:r>
      <w:r w:rsidRPr="00677D1F">
        <w:rPr>
          <w:rFonts w:ascii="宋体" w:hAnsi="宋体"/>
          <w:sz w:val="28"/>
          <w:szCs w:val="28"/>
        </w:rPr>
        <w:t>.1.1</w:t>
      </w:r>
      <w:r w:rsidRPr="00677D1F">
        <w:rPr>
          <w:rFonts w:ascii="宋体" w:hAnsi="宋体" w:hint="eastAsia"/>
          <w:sz w:val="28"/>
          <w:szCs w:val="28"/>
        </w:rPr>
        <w:t>项目建设概况</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本项目位于新疆维吾尔自治区哈密市哈密工业园区重工业加工区。哈密工业园区重工业加工区位于哈密市西南部，距哈密市环城南路</w:t>
      </w:r>
      <w:r w:rsidRPr="00677D1F">
        <w:rPr>
          <w:rFonts w:asciiTheme="minorEastAsia" w:hAnsiTheme="minorEastAsia" w:cs="宋体"/>
          <w:color w:val="000000"/>
          <w:kern w:val="0"/>
          <w:sz w:val="24"/>
          <w:szCs w:val="24"/>
        </w:rPr>
        <w:t>10km</w:t>
      </w:r>
      <w:r w:rsidRPr="00677D1F">
        <w:rPr>
          <w:rFonts w:asciiTheme="minorEastAsia" w:hAnsiTheme="minorEastAsia" w:cs="宋体" w:hint="eastAsia"/>
          <w:color w:val="000000"/>
          <w:kern w:val="0"/>
          <w:sz w:val="24"/>
          <w:szCs w:val="24"/>
        </w:rPr>
        <w:t>，距哈密市火车站</w:t>
      </w:r>
      <w:r w:rsidRPr="00677D1F">
        <w:rPr>
          <w:rFonts w:asciiTheme="minorEastAsia" w:hAnsiTheme="minorEastAsia" w:cs="宋体"/>
          <w:color w:val="000000"/>
          <w:kern w:val="0"/>
          <w:sz w:val="24"/>
          <w:szCs w:val="24"/>
        </w:rPr>
        <w:t>16km</w:t>
      </w:r>
      <w:r w:rsidRPr="00677D1F">
        <w:rPr>
          <w:rFonts w:asciiTheme="minorEastAsia" w:hAnsiTheme="minorEastAsia" w:cs="宋体" w:hint="eastAsia"/>
          <w:color w:val="000000"/>
          <w:kern w:val="0"/>
          <w:sz w:val="24"/>
          <w:szCs w:val="24"/>
        </w:rPr>
        <w:t>，北距</w:t>
      </w:r>
      <w:r w:rsidRPr="00677D1F">
        <w:rPr>
          <w:rFonts w:asciiTheme="minorEastAsia" w:hAnsiTheme="minorEastAsia" w:cs="宋体"/>
          <w:color w:val="000000"/>
          <w:kern w:val="0"/>
          <w:sz w:val="24"/>
          <w:szCs w:val="24"/>
        </w:rPr>
        <w:t>312</w:t>
      </w:r>
      <w:r w:rsidRPr="00677D1F">
        <w:rPr>
          <w:rFonts w:asciiTheme="minorEastAsia" w:hAnsiTheme="minorEastAsia" w:cs="宋体" w:hint="eastAsia"/>
          <w:color w:val="000000"/>
          <w:kern w:val="0"/>
          <w:sz w:val="24"/>
          <w:szCs w:val="24"/>
        </w:rPr>
        <w:t>国道</w:t>
      </w:r>
      <w:r w:rsidRPr="00677D1F">
        <w:rPr>
          <w:rFonts w:asciiTheme="minorEastAsia" w:hAnsiTheme="minorEastAsia" w:cs="宋体"/>
          <w:color w:val="000000"/>
          <w:kern w:val="0"/>
          <w:sz w:val="24"/>
          <w:szCs w:val="24"/>
        </w:rPr>
        <w:t>22km</w:t>
      </w:r>
      <w:r w:rsidRPr="00677D1F">
        <w:rPr>
          <w:rFonts w:asciiTheme="minorEastAsia" w:hAnsiTheme="minorEastAsia" w:cs="宋体" w:hint="eastAsia"/>
          <w:color w:val="000000"/>
          <w:kern w:val="0"/>
          <w:sz w:val="24"/>
          <w:szCs w:val="24"/>
        </w:rPr>
        <w:t>，与哈若公路毗邻。厂址中心点地理坐标为东经</w:t>
      </w:r>
      <w:r w:rsidRPr="00677D1F">
        <w:rPr>
          <w:rFonts w:asciiTheme="minorEastAsia" w:hAnsiTheme="minorEastAsia" w:cs="宋体"/>
          <w:color w:val="000000"/>
          <w:kern w:val="0"/>
          <w:sz w:val="24"/>
          <w:szCs w:val="24"/>
        </w:rPr>
        <w:t>93</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19'33.53"</w:t>
      </w:r>
      <w:r w:rsidRPr="00677D1F">
        <w:rPr>
          <w:rFonts w:asciiTheme="minorEastAsia" w:hAnsiTheme="minorEastAsia" w:cs="宋体" w:hint="eastAsia"/>
          <w:color w:val="000000"/>
          <w:kern w:val="0"/>
          <w:sz w:val="24"/>
          <w:szCs w:val="24"/>
        </w:rPr>
        <w:t>，北纬</w:t>
      </w:r>
      <w:r w:rsidRPr="00677D1F">
        <w:rPr>
          <w:rFonts w:asciiTheme="minorEastAsia" w:hAnsiTheme="minorEastAsia" w:cs="宋体"/>
          <w:color w:val="000000"/>
          <w:kern w:val="0"/>
          <w:sz w:val="24"/>
          <w:szCs w:val="24"/>
        </w:rPr>
        <w:t>42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41'9.34"</w:t>
      </w:r>
      <w:r w:rsidRPr="00677D1F">
        <w:rPr>
          <w:rFonts w:asciiTheme="minorEastAsia" w:hAnsiTheme="minorEastAsia" w:cs="宋体" w:hint="eastAsia"/>
          <w:color w:val="000000"/>
          <w:kern w:val="0"/>
          <w:sz w:val="24"/>
          <w:szCs w:val="24"/>
        </w:rPr>
        <w: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建设规模为</w:t>
      </w:r>
      <w:r w:rsidR="00DF0C48" w:rsidRPr="00677D1F">
        <w:rPr>
          <w:rFonts w:asciiTheme="minorEastAsia" w:hAnsiTheme="minorEastAsia" w:cs="宋体" w:hint="eastAsia"/>
          <w:color w:val="000000"/>
          <w:kern w:val="0"/>
          <w:sz w:val="24"/>
          <w:szCs w:val="24"/>
        </w:rPr>
        <w:t>年产钛30kt及钛(合金)型材加工。产品：其中钛带10000t，钛及钛合金板材10000t，钛及钛合金锻件及棒材6000t，无缝管及焊管4000t。</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主要由海绵钛生产系统、镁电解生产系统、氯气生产系统、钛加工系统、公用及辅助系统、仓储和生活及办公设施。海绵钛生产系统包括钛渣熔炼及冷却、钛渣破碎及成品库、氯化原料库、四氯化钛制备车间、氯化尾气处理系统、收尘渣及废液处理系统、还原蒸馏工段、海绵钛破碎及成品库；镁生产系统包括镁电解工段、镁精炼车间、镁电解氯压机室、液氯储库及液氯蒸发、透平机室、镁系统尾气及事故氯气处理；氯气生产系统包括原盐仓库、盐水制备（含二次盐水精制）车间、盐电解及整流工段、氯气处理及液化工段（含充装）、氯气生产区废气处理；钛加工系统包括海绵钛熔铸车间、锻造车间、板带车间、残钛回收车间、钛材成品库；公用及辅助系统包括供电系统、动力系统、供排水系统、中心化验室、临时渣棚、污水处理站、全厂综合管网、加压泵站、冷冻站、水喷雾泵房、天然气调压站等；仓储包括原料库、成品库、化学试剂室等；生活及办公设施包括车间办公楼、综合办公楼、厂区食堂、厂区浴室。</w:t>
      </w:r>
    </w:p>
    <w:p w:rsidR="00D228BE" w:rsidRPr="00677D1F" w:rsidRDefault="00DF0C48"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主要生产工序要求连续不间断生产工作制度，年工作日为365天，节假日不休息，24小时连续生产。为配合主要生产工序的不间断生产制度，某些辅助工序也实行连续不间断生产制，某些工序可实行间断生产制。</w:t>
      </w:r>
    </w:p>
    <w:p w:rsidR="00DF0C48" w:rsidRPr="00677D1F" w:rsidRDefault="00DF0C48"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本项目建议在册劳动定员为3210人，其中生产工人2660人，厂部管理及服务人员550人</w:t>
      </w:r>
    </w:p>
    <w:p w:rsidR="00D228BE" w:rsidRPr="00677D1F" w:rsidRDefault="0064311F"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本项目总投资为979768万元，其中建设投资为877020万元，建设期利息62961万元，铺底流动资金39787万元。本项目环保投资额34525.86万元。</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w:t>
      </w:r>
      <w:r w:rsidR="00DF0C48" w:rsidRPr="00677D1F">
        <w:rPr>
          <w:rFonts w:ascii="宋体" w:hAnsi="宋体" w:hint="eastAsia"/>
          <w:sz w:val="28"/>
          <w:szCs w:val="28"/>
        </w:rPr>
        <w:t>5</w:t>
      </w:r>
      <w:r w:rsidRPr="00677D1F">
        <w:rPr>
          <w:rFonts w:ascii="宋体" w:hAnsi="宋体"/>
          <w:sz w:val="28"/>
          <w:szCs w:val="28"/>
        </w:rPr>
        <w:t>.1.2</w:t>
      </w:r>
      <w:r w:rsidRPr="00677D1F">
        <w:rPr>
          <w:rFonts w:ascii="宋体" w:hAnsi="宋体" w:hint="eastAsia"/>
          <w:sz w:val="28"/>
          <w:szCs w:val="28"/>
        </w:rPr>
        <w:t>环境现状与主要环境问题</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）环境空气质量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在</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日监测期内，</w:t>
      </w:r>
      <w:r w:rsidRPr="00677D1F">
        <w:rPr>
          <w:rFonts w:asciiTheme="minorEastAsia" w:hAnsiTheme="minorEastAsia" w:cs="宋体"/>
          <w:color w:val="000000"/>
          <w:kern w:val="0"/>
          <w:sz w:val="24"/>
          <w:szCs w:val="24"/>
        </w:rPr>
        <w:t>7</w:t>
      </w:r>
      <w:r w:rsidRPr="00677D1F">
        <w:rPr>
          <w:rFonts w:asciiTheme="minorEastAsia" w:hAnsiTheme="minorEastAsia" w:cs="宋体" w:hint="eastAsia"/>
          <w:color w:val="000000"/>
          <w:kern w:val="0"/>
          <w:sz w:val="24"/>
          <w:szCs w:val="24"/>
        </w:rPr>
        <w:t>个监测点，除了</w:t>
      </w:r>
      <w:r w:rsidRPr="00677D1F">
        <w:rPr>
          <w:rFonts w:asciiTheme="minorEastAsia" w:hAnsiTheme="minorEastAsia" w:cs="宋体"/>
          <w:color w:val="000000"/>
          <w:kern w:val="0"/>
          <w:sz w:val="24"/>
          <w:szCs w:val="24"/>
        </w:rPr>
        <w:t>PM</w:t>
      </w:r>
      <w:r w:rsidRPr="00677D1F">
        <w:rPr>
          <w:rFonts w:asciiTheme="minorEastAsia" w:hAnsiTheme="minorEastAsia" w:cs="宋体"/>
          <w:color w:val="000000"/>
          <w:kern w:val="0"/>
          <w:sz w:val="24"/>
          <w:szCs w:val="24"/>
          <w:vertAlign w:val="subscript"/>
        </w:rPr>
        <w:t>10</w:t>
      </w:r>
      <w:r w:rsidRPr="00677D1F">
        <w:rPr>
          <w:rFonts w:asciiTheme="minorEastAsia" w:hAnsiTheme="minorEastAsia" w:cs="宋体" w:hint="eastAsia"/>
          <w:color w:val="000000"/>
          <w:kern w:val="0"/>
          <w:sz w:val="24"/>
          <w:szCs w:val="24"/>
        </w:rPr>
        <w:t>外，</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日均值均满足《环境空气质量标准》</w:t>
      </w:r>
      <w:r w:rsidRPr="00677D1F">
        <w:rPr>
          <w:rFonts w:asciiTheme="minorEastAsia" w:hAnsiTheme="minorEastAsia" w:cs="宋体"/>
          <w:color w:val="000000"/>
          <w:kern w:val="0"/>
          <w:sz w:val="24"/>
          <w:szCs w:val="24"/>
        </w:rPr>
        <w:t>（GB3095-2012）</w:t>
      </w:r>
      <w:r w:rsidRPr="00677D1F">
        <w:rPr>
          <w:rFonts w:asciiTheme="minorEastAsia" w:hAnsiTheme="minorEastAsia" w:cs="宋体" w:hint="eastAsia"/>
          <w:color w:val="000000"/>
          <w:kern w:val="0"/>
          <w:sz w:val="24"/>
          <w:szCs w:val="24"/>
        </w:rPr>
        <w:t>及修改单通知中的二级标准要求。特征污染物的一次小时浓度最大值满足《工业企业设计卫生标准》</w:t>
      </w:r>
      <w:r w:rsidRPr="00677D1F">
        <w:rPr>
          <w:rFonts w:asciiTheme="minorEastAsia" w:hAnsiTheme="minorEastAsia" w:cs="宋体"/>
          <w:color w:val="000000"/>
          <w:kern w:val="0"/>
          <w:sz w:val="24"/>
          <w:szCs w:val="24"/>
        </w:rPr>
        <w:t>（TJ36-79）</w:t>
      </w:r>
      <w:r w:rsidRPr="00677D1F">
        <w:rPr>
          <w:rFonts w:asciiTheme="minorEastAsia" w:hAnsiTheme="minorEastAsia" w:cs="宋体" w:hint="eastAsia"/>
          <w:color w:val="000000"/>
          <w:kern w:val="0"/>
          <w:sz w:val="24"/>
          <w:szCs w:val="24"/>
        </w:rPr>
        <w:t>中标准。</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）声环境质量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项目所在区域声环境符合《声环境质量标准》（</w:t>
      </w:r>
      <w:r w:rsidRPr="00677D1F">
        <w:rPr>
          <w:rFonts w:asciiTheme="minorEastAsia" w:hAnsiTheme="minorEastAsia" w:cs="宋体"/>
          <w:color w:val="000000"/>
          <w:kern w:val="0"/>
          <w:sz w:val="24"/>
          <w:szCs w:val="24"/>
        </w:rPr>
        <w:t>GB3095-2008</w:t>
      </w:r>
      <w:r w:rsidRPr="00677D1F">
        <w:rPr>
          <w:rFonts w:asciiTheme="minorEastAsia" w:hAnsiTheme="minorEastAsia" w:cs="宋体" w:hint="eastAsia"/>
          <w:color w:val="000000"/>
          <w:kern w:val="0"/>
          <w:sz w:val="24"/>
          <w:szCs w:val="24"/>
        </w:rPr>
        <w:t>）中</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类区标准限值，本项目所在厂区四周的声环境质量较好。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）水环境质量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项目区域地下水监测因子总硬度、</w:t>
      </w:r>
      <w:r w:rsidRPr="00677D1F">
        <w:rPr>
          <w:rFonts w:asciiTheme="minorEastAsia" w:hAnsiTheme="minorEastAsia" w:cs="宋体"/>
          <w:color w:val="000000"/>
          <w:kern w:val="0"/>
          <w:sz w:val="24"/>
          <w:szCs w:val="24"/>
        </w:rPr>
        <w:t>COD</w:t>
      </w:r>
      <w:r w:rsidRPr="00677D1F">
        <w:rPr>
          <w:rFonts w:asciiTheme="minorEastAsia" w:hAnsiTheme="minorEastAsia" w:cs="宋体" w:hint="eastAsia"/>
          <w:color w:val="000000"/>
          <w:kern w:val="0"/>
          <w:sz w:val="24"/>
          <w:szCs w:val="24"/>
          <w:vertAlign w:val="subscript"/>
        </w:rPr>
        <w:t>M</w:t>
      </w:r>
      <w:r w:rsidRPr="00677D1F">
        <w:rPr>
          <w:rFonts w:asciiTheme="minorEastAsia" w:hAnsiTheme="minorEastAsia" w:cs="宋体"/>
          <w:color w:val="000000"/>
          <w:kern w:val="0"/>
          <w:sz w:val="24"/>
          <w:szCs w:val="24"/>
          <w:vertAlign w:val="subscript"/>
        </w:rPr>
        <w:t>n</w:t>
      </w:r>
      <w:r w:rsidRPr="00677D1F">
        <w:rPr>
          <w:rFonts w:asciiTheme="minorEastAsia" w:hAnsiTheme="minorEastAsia" w:cs="宋体" w:hint="eastAsia"/>
          <w:color w:val="000000"/>
          <w:kern w:val="0"/>
          <w:sz w:val="24"/>
          <w:szCs w:val="24"/>
        </w:rPr>
        <w:t>、氯化物、硫酸盐、硝酸盐、总大肠菌群超标，其余监测因子满足《地下水环境质量标准》（</w:t>
      </w:r>
      <w:r w:rsidRPr="00677D1F">
        <w:rPr>
          <w:rFonts w:asciiTheme="minorEastAsia" w:hAnsiTheme="minorEastAsia" w:cs="宋体"/>
          <w:color w:val="000000"/>
          <w:kern w:val="0"/>
          <w:sz w:val="24"/>
          <w:szCs w:val="24"/>
        </w:rPr>
        <w:t>GB/T14848-93</w:t>
      </w:r>
      <w:r w:rsidRPr="00677D1F">
        <w:rPr>
          <w:rFonts w:asciiTheme="minorEastAsia" w:hAnsiTheme="minorEastAsia" w:cs="宋体" w:hint="eastAsia"/>
          <w:color w:val="000000"/>
          <w:kern w:val="0"/>
          <w:sz w:val="24"/>
          <w:szCs w:val="24"/>
        </w:rPr>
        <w:t>）Ⅲ类标准限值。</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）土壤环境</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各指标均能满足《土壤环境质量标准》（</w:t>
      </w:r>
      <w:r w:rsidRPr="00677D1F">
        <w:rPr>
          <w:rFonts w:asciiTheme="minorEastAsia" w:hAnsiTheme="minorEastAsia" w:cs="宋体"/>
          <w:color w:val="000000"/>
          <w:kern w:val="0"/>
          <w:sz w:val="24"/>
          <w:szCs w:val="24"/>
        </w:rPr>
        <w:t>GB15618-1995</w:t>
      </w:r>
      <w:r w:rsidRPr="00677D1F">
        <w:rPr>
          <w:rFonts w:asciiTheme="minorEastAsia" w:hAnsiTheme="minorEastAsia" w:cs="宋体" w:hint="eastAsia"/>
          <w:color w:val="000000"/>
          <w:kern w:val="0"/>
          <w:sz w:val="24"/>
          <w:szCs w:val="24"/>
        </w:rPr>
        <w:t>）二级标准的要求。</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w:t>
      </w:r>
      <w:r w:rsidR="00DF0C48" w:rsidRPr="00677D1F">
        <w:rPr>
          <w:rFonts w:ascii="宋体" w:hAnsi="宋体" w:hint="eastAsia"/>
          <w:sz w:val="28"/>
          <w:szCs w:val="28"/>
        </w:rPr>
        <w:t>5</w:t>
      </w:r>
      <w:r w:rsidRPr="00677D1F">
        <w:rPr>
          <w:rFonts w:ascii="宋体" w:hAnsi="宋体"/>
          <w:sz w:val="28"/>
          <w:szCs w:val="28"/>
        </w:rPr>
        <w:t>.1.3</w:t>
      </w:r>
      <w:r w:rsidRPr="00677D1F">
        <w:rPr>
          <w:rFonts w:ascii="宋体" w:hAnsi="宋体" w:hint="eastAsia"/>
          <w:sz w:val="28"/>
          <w:szCs w:val="28"/>
        </w:rPr>
        <w:t>工程分析结论</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本项目富钛料生产采用大型钛渣电炉熔炼工艺炉工艺，海绵钛生产采用目前国际上通用的镁还原蒸馏法、以钛精矿为原料采用全流程生产工艺，实现镁氯闭路循环，镁电解采用国际先进多极槽电解技术，钛</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合金</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铸锭生产采用国际流行的</w:t>
      </w:r>
      <w:r w:rsidRPr="00677D1F">
        <w:rPr>
          <w:rFonts w:asciiTheme="minorEastAsia" w:hAnsiTheme="minorEastAsia" w:cs="宋体"/>
          <w:color w:val="000000"/>
          <w:kern w:val="0"/>
          <w:sz w:val="24"/>
          <w:szCs w:val="24"/>
        </w:rPr>
        <w:t>EB</w:t>
      </w:r>
      <w:r w:rsidRPr="00677D1F">
        <w:rPr>
          <w:rFonts w:asciiTheme="minorEastAsia" w:hAnsiTheme="minorEastAsia" w:cs="宋体" w:hint="eastAsia"/>
          <w:color w:val="000000"/>
          <w:kern w:val="0"/>
          <w:sz w:val="24"/>
          <w:szCs w:val="24"/>
        </w:rPr>
        <w:t>炉，补充氯气生产用烧碱电解槽采用国际先进的高电流密度自然循环复极式离子膜电解槽。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主要大气污染物为电炉尾气、氯化过程产生的尾气、镁生产系统废气、废氯气、钛材加工酸雾、残钛回收车间粉尘、原料库（钛精矿、还原剂）、氯化原料库、钛渣破碎及成品库、四氯化钛制备车间等工段散发的粉尘。本项目生产废水</w:t>
      </w:r>
      <w:r w:rsidRPr="00677D1F">
        <w:rPr>
          <w:rFonts w:asciiTheme="minorEastAsia" w:hAnsiTheme="minorEastAsia" w:cs="宋体" w:hint="eastAsia"/>
          <w:color w:val="000000"/>
          <w:kern w:val="0"/>
          <w:sz w:val="24"/>
          <w:szCs w:val="24"/>
        </w:rPr>
        <w:lastRenderedPageBreak/>
        <w:t>主要有循环冷却水系统排水、尾气处理废水、钛加工系统清洗废水、螯合树脂塔排放的离子再生水、脱盐水单元混床再生时排放的酸碱废水等和生活污水。本项目产生的废渣主要为氯化炉渣、镁电解及精炼炉渣、钛渣电炉、电解槽和氯化炉的大修渣（耐火材料）、锻造车间产生的废料、板带车间产生的废料、废水处理污泥、氯气生产一次盐水工序中，预处理器和膜过滤器等排出的盐泥浆、以及氯气干燥塔排放废硫酸等。</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本项目生产性粉尘排放量</w:t>
      </w:r>
      <w:r w:rsidRPr="00677D1F">
        <w:rPr>
          <w:rFonts w:asciiTheme="minorEastAsia" w:hAnsiTheme="minorEastAsia" w:cs="宋体"/>
          <w:color w:val="000000"/>
          <w:kern w:val="0"/>
          <w:sz w:val="24"/>
          <w:szCs w:val="24"/>
        </w:rPr>
        <w:t>149.73t/a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排放量</w:t>
      </w:r>
      <w:r w:rsidRPr="00677D1F">
        <w:rPr>
          <w:rFonts w:asciiTheme="minorEastAsia" w:hAnsiTheme="minorEastAsia" w:cs="宋体"/>
          <w:color w:val="000000"/>
          <w:kern w:val="0"/>
          <w:sz w:val="24"/>
          <w:szCs w:val="24"/>
        </w:rPr>
        <w:t>115.98t/a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x</w:t>
      </w:r>
      <w:r w:rsidRPr="00677D1F">
        <w:rPr>
          <w:rFonts w:asciiTheme="minorEastAsia" w:hAnsiTheme="minorEastAsia" w:cs="宋体" w:hint="eastAsia"/>
          <w:color w:val="000000"/>
          <w:kern w:val="0"/>
          <w:sz w:val="24"/>
          <w:szCs w:val="24"/>
        </w:rPr>
        <w:t>排放量</w:t>
      </w:r>
      <w:r w:rsidRPr="00677D1F">
        <w:rPr>
          <w:rFonts w:asciiTheme="minorEastAsia" w:hAnsiTheme="minorEastAsia" w:cs="宋体"/>
          <w:color w:val="000000"/>
          <w:kern w:val="0"/>
          <w:sz w:val="24"/>
          <w:szCs w:val="24"/>
        </w:rPr>
        <w:t>2.42t/a</w:t>
      </w:r>
      <w:r w:rsidRPr="00677D1F">
        <w:rPr>
          <w:rFonts w:asciiTheme="minorEastAsia" w:hAnsiTheme="minorEastAsia" w:cs="宋体" w:hint="eastAsia"/>
          <w:color w:val="000000"/>
          <w:kern w:val="0"/>
          <w:sz w:val="24"/>
          <w:szCs w:val="24"/>
        </w:rPr>
        <w:t>、烟尘排放量</w:t>
      </w:r>
      <w:r w:rsidRPr="00677D1F">
        <w:rPr>
          <w:rFonts w:asciiTheme="minorEastAsia" w:hAnsiTheme="minorEastAsia" w:cs="宋体"/>
          <w:color w:val="000000"/>
          <w:kern w:val="0"/>
          <w:sz w:val="24"/>
          <w:szCs w:val="24"/>
        </w:rPr>
        <w:t>141.036t/a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排放量</w:t>
      </w:r>
      <w:r w:rsidRPr="00677D1F">
        <w:rPr>
          <w:rFonts w:asciiTheme="minorEastAsia" w:hAnsiTheme="minorEastAsia" w:cs="宋体"/>
          <w:color w:val="000000"/>
          <w:kern w:val="0"/>
          <w:sz w:val="24"/>
          <w:szCs w:val="24"/>
        </w:rPr>
        <w:t>2.381t/a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排放量</w:t>
      </w:r>
      <w:r w:rsidRPr="00677D1F">
        <w:rPr>
          <w:rFonts w:asciiTheme="minorEastAsia" w:hAnsiTheme="minorEastAsia" w:cs="宋体"/>
          <w:color w:val="000000"/>
          <w:kern w:val="0"/>
          <w:sz w:val="24"/>
          <w:szCs w:val="24"/>
        </w:rPr>
        <w:t>63.154t/a</w:t>
      </w:r>
      <w:r w:rsidRPr="00677D1F">
        <w:rPr>
          <w:rFonts w:asciiTheme="minorEastAsia" w:hAnsiTheme="minorEastAsia" w:cs="宋体" w:hint="eastAsia"/>
          <w:color w:val="000000"/>
          <w:kern w:val="0"/>
          <w:sz w:val="24"/>
          <w:szCs w:val="24"/>
        </w:rPr>
        <w:t>，无组织粉尘排放量</w:t>
      </w:r>
      <w:r w:rsidRPr="00677D1F">
        <w:rPr>
          <w:rFonts w:asciiTheme="minorEastAsia" w:hAnsiTheme="minorEastAsia" w:cs="宋体"/>
          <w:color w:val="000000"/>
          <w:kern w:val="0"/>
          <w:sz w:val="24"/>
          <w:szCs w:val="24"/>
        </w:rPr>
        <w:t>6.6t/a</w:t>
      </w:r>
      <w:r w:rsidRPr="00677D1F">
        <w:rPr>
          <w:rFonts w:asciiTheme="minorEastAsia" w:hAnsiTheme="minorEastAsia" w:cs="宋体" w:hint="eastAsia"/>
          <w:color w:val="000000"/>
          <w:kern w:val="0"/>
          <w:sz w:val="24"/>
          <w:szCs w:val="24"/>
        </w:rPr>
        <w:t>；废水产生量</w:t>
      </w:r>
      <w:r w:rsidRPr="00677D1F">
        <w:rPr>
          <w:rFonts w:asciiTheme="minorEastAsia" w:hAnsiTheme="minorEastAsia" w:cs="宋体"/>
          <w:color w:val="000000"/>
          <w:kern w:val="0"/>
          <w:sz w:val="24"/>
          <w:szCs w:val="24"/>
        </w:rPr>
        <w:t>721970t/a</w:t>
      </w:r>
      <w:r w:rsidRPr="00677D1F">
        <w:rPr>
          <w:rFonts w:asciiTheme="minorEastAsia" w:hAnsiTheme="minorEastAsia" w:cs="宋体" w:hint="eastAsia"/>
          <w:color w:val="000000"/>
          <w:kern w:val="0"/>
          <w:sz w:val="24"/>
          <w:szCs w:val="24"/>
        </w:rPr>
        <w:t>，经处理作为循环系统冷却补充用水，不外排。本项目一般工业固废产生量</w:t>
      </w:r>
      <w:r w:rsidRPr="00677D1F">
        <w:rPr>
          <w:rFonts w:asciiTheme="minorEastAsia" w:hAnsiTheme="minorEastAsia" w:cs="宋体"/>
          <w:color w:val="000000"/>
          <w:kern w:val="0"/>
          <w:sz w:val="24"/>
          <w:szCs w:val="24"/>
        </w:rPr>
        <w:t>45246.78t/a</w:t>
      </w:r>
      <w:r w:rsidRPr="00677D1F">
        <w:rPr>
          <w:rFonts w:asciiTheme="minorEastAsia" w:hAnsiTheme="minorEastAsia" w:cs="宋体" w:hint="eastAsia"/>
          <w:color w:val="000000"/>
          <w:kern w:val="0"/>
          <w:sz w:val="24"/>
          <w:szCs w:val="24"/>
        </w:rPr>
        <w:t>、危险固废</w:t>
      </w:r>
      <w:r w:rsidRPr="00677D1F">
        <w:rPr>
          <w:rFonts w:asciiTheme="minorEastAsia" w:hAnsiTheme="minorEastAsia" w:cs="宋体"/>
          <w:color w:val="000000"/>
          <w:kern w:val="0"/>
          <w:sz w:val="24"/>
          <w:szCs w:val="24"/>
        </w:rPr>
        <w:t>0.388t/a</w:t>
      </w:r>
      <w:r w:rsidRPr="00677D1F">
        <w:rPr>
          <w:rFonts w:asciiTheme="minorEastAsia" w:hAnsiTheme="minorEastAsia" w:cs="宋体" w:hint="eastAsia"/>
          <w:color w:val="000000"/>
          <w:kern w:val="0"/>
          <w:sz w:val="24"/>
          <w:szCs w:val="24"/>
        </w:rPr>
        <w:t>、生活垃圾</w:t>
      </w:r>
      <w:r w:rsidRPr="00677D1F">
        <w:rPr>
          <w:rFonts w:asciiTheme="minorEastAsia" w:hAnsiTheme="minorEastAsia" w:cs="宋体"/>
          <w:color w:val="000000"/>
          <w:kern w:val="0"/>
          <w:sz w:val="24"/>
          <w:szCs w:val="24"/>
        </w:rPr>
        <w:t>367t/a</w:t>
      </w:r>
      <w:r w:rsidRPr="00677D1F">
        <w:rPr>
          <w:rFonts w:asciiTheme="minorEastAsia" w:hAnsiTheme="minorEastAsia" w:cs="宋体" w:hint="eastAsia"/>
          <w:color w:val="000000"/>
          <w:kern w:val="0"/>
          <w:sz w:val="24"/>
          <w:szCs w:val="24"/>
        </w:rPr>
        <w:t>，固体废物进行的安全合理的处理处置。</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w:t>
      </w:r>
      <w:r w:rsidR="00DF0C48" w:rsidRPr="00677D1F">
        <w:rPr>
          <w:rFonts w:ascii="宋体" w:hAnsi="宋体" w:hint="eastAsia"/>
          <w:sz w:val="28"/>
          <w:szCs w:val="28"/>
        </w:rPr>
        <w:t>5</w:t>
      </w:r>
      <w:r w:rsidRPr="00677D1F">
        <w:rPr>
          <w:rFonts w:ascii="宋体" w:hAnsi="宋体"/>
          <w:sz w:val="28"/>
          <w:szCs w:val="28"/>
        </w:rPr>
        <w:t>.1.4</w:t>
      </w:r>
      <w:r w:rsidRPr="00677D1F">
        <w:rPr>
          <w:rFonts w:ascii="宋体" w:hAnsi="宋体" w:hint="eastAsia"/>
          <w:sz w:val="28"/>
          <w:szCs w:val="28"/>
        </w:rPr>
        <w:t>环境影响预测与评价</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）环境空气影响预测结果</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正常生产时，拟建项目排放的大气污染物对环境影响较小，各污染物</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落地浓度预测结果均符合相应的环境标准。在非正常工况，在短时间内，</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对下风向环境空气影响的程度有所加重，但超不过环境标准的限值要求。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）水环境影响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本项目由于实现废水零排放，并对可能污染地下水的设施做了防渗处理，对周围水环境影响很小。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）声环境影响预测</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项目建成后厂界噪声值有不同程度升高，昼间噪声预测值均满足《工业企业厂界环境噪声排放标准》</w:t>
      </w:r>
      <w:r w:rsidRPr="00677D1F">
        <w:rPr>
          <w:rFonts w:asciiTheme="minorEastAsia" w:hAnsiTheme="minorEastAsia" w:cs="宋体"/>
          <w:color w:val="000000"/>
          <w:kern w:val="0"/>
          <w:sz w:val="24"/>
          <w:szCs w:val="24"/>
        </w:rPr>
        <w:t>（GB12348-2008）</w:t>
      </w:r>
      <w:r w:rsidRPr="00677D1F">
        <w:rPr>
          <w:rFonts w:asciiTheme="minorEastAsia" w:hAnsiTheme="minorEastAsia" w:cs="宋体" w:hint="eastAsia"/>
          <w:color w:val="000000"/>
          <w:kern w:val="0"/>
          <w:sz w:val="24"/>
          <w:szCs w:val="24"/>
        </w:rPr>
        <w:t>中的</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类标准要求。周边</w:t>
      </w:r>
      <w:r w:rsidRPr="00677D1F">
        <w:rPr>
          <w:rFonts w:asciiTheme="minorEastAsia" w:hAnsiTheme="minorEastAsia" w:cs="宋体"/>
          <w:color w:val="000000"/>
          <w:kern w:val="0"/>
          <w:sz w:val="24"/>
          <w:szCs w:val="24"/>
        </w:rPr>
        <w:t>5km</w:t>
      </w:r>
      <w:r w:rsidRPr="00677D1F">
        <w:rPr>
          <w:rFonts w:asciiTheme="minorEastAsia" w:hAnsiTheme="minorEastAsia" w:cs="宋体" w:hint="eastAsia"/>
          <w:color w:val="000000"/>
          <w:kern w:val="0"/>
          <w:sz w:val="24"/>
          <w:szCs w:val="24"/>
        </w:rPr>
        <w:t>范围内无人群聚居区，其对居民区影响很小。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）固体废物环境影响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由于本项目所产生的固体废物均可得到妥善处置，对周围环境的影响很小。</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（5）</w:t>
      </w:r>
      <w:r w:rsidRPr="00677D1F">
        <w:rPr>
          <w:rFonts w:asciiTheme="minorEastAsia" w:hAnsiTheme="minorEastAsia" w:cs="宋体" w:hint="eastAsia"/>
          <w:color w:val="000000"/>
          <w:kern w:val="0"/>
          <w:sz w:val="24"/>
          <w:szCs w:val="24"/>
        </w:rPr>
        <w:t>环境风险影响</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本项目主要风险类型为有毒气体泄漏事故。泄漏事故发生后，不会造成厂区外人员死亡；</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的泄漏速率较小，扩散后的浓度不高，对周围的环境影响不大。项目的环境风险程度在落实各项风险防范措施的前提下是可接受的。</w:t>
      </w:r>
    </w:p>
    <w:p w:rsidR="00D228BE" w:rsidRPr="00677D1F" w:rsidRDefault="00332EB6" w:rsidP="00677D1F">
      <w:pPr>
        <w:pStyle w:val="3"/>
        <w:keepNext/>
        <w:keepLines/>
        <w:spacing w:beforeLines="50" w:before="156" w:afterLines="50" w:after="156" w:line="360" w:lineRule="auto"/>
        <w:ind w:firstLineChars="0" w:firstLine="0"/>
        <w:contextualSpacing/>
        <w:textAlignment w:val="baseline"/>
        <w:rPr>
          <w:rFonts w:ascii="宋体" w:hAnsi="宋体"/>
          <w:sz w:val="28"/>
          <w:szCs w:val="28"/>
        </w:rPr>
      </w:pPr>
      <w:r w:rsidRPr="00677D1F">
        <w:rPr>
          <w:rFonts w:ascii="宋体" w:hAnsi="宋体"/>
          <w:sz w:val="28"/>
          <w:szCs w:val="28"/>
        </w:rPr>
        <w:t>1</w:t>
      </w:r>
      <w:r w:rsidR="00DF0C48" w:rsidRPr="00677D1F">
        <w:rPr>
          <w:rFonts w:ascii="宋体" w:hAnsi="宋体" w:hint="eastAsia"/>
          <w:sz w:val="28"/>
          <w:szCs w:val="28"/>
        </w:rPr>
        <w:t>5</w:t>
      </w:r>
      <w:r w:rsidRPr="00677D1F">
        <w:rPr>
          <w:rFonts w:ascii="宋体" w:hAnsi="宋体"/>
          <w:sz w:val="28"/>
          <w:szCs w:val="28"/>
        </w:rPr>
        <w:t>.1.5</w:t>
      </w:r>
      <w:r w:rsidRPr="00677D1F">
        <w:rPr>
          <w:rFonts w:ascii="宋体" w:hAnsi="宋体" w:hint="eastAsia"/>
          <w:sz w:val="28"/>
          <w:szCs w:val="28"/>
        </w:rPr>
        <w:t>建设项目环境可行性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1</w:t>
      </w:r>
      <w:r w:rsidRPr="00677D1F">
        <w:rPr>
          <w:rFonts w:asciiTheme="minorEastAsia" w:hAnsiTheme="minorEastAsia" w:cs="宋体" w:hint="eastAsia"/>
          <w:color w:val="000000"/>
          <w:kern w:val="0"/>
          <w:sz w:val="24"/>
          <w:szCs w:val="24"/>
        </w:rPr>
        <w:t>）产业政策符合性</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根据《产业结构调整指导目录（</w:t>
      </w:r>
      <w:r w:rsidRPr="00677D1F">
        <w:rPr>
          <w:rFonts w:asciiTheme="minorEastAsia" w:hAnsiTheme="minorEastAsia" w:cs="宋体"/>
          <w:color w:val="000000"/>
          <w:kern w:val="0"/>
          <w:sz w:val="24"/>
          <w:szCs w:val="24"/>
        </w:rPr>
        <w:t>2011</w:t>
      </w:r>
      <w:r w:rsidRPr="00677D1F">
        <w:rPr>
          <w:rFonts w:asciiTheme="minorEastAsia" w:hAnsiTheme="minorEastAsia" w:cs="宋体" w:hint="eastAsia"/>
          <w:color w:val="000000"/>
          <w:kern w:val="0"/>
          <w:sz w:val="24"/>
          <w:szCs w:val="24"/>
        </w:rPr>
        <w:t>年本修正）》中“第一类 鼓励类 九、有色金属（</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高端制造及其他领域：高性能纳米硬质合金刀具和大晶粒硬质合金盾构刀具及深加工产品、稀土及贵金属催化剂材料、低模量钛合金材及记忆合金等生物医用材料、耐蚀热交换器用铜合金及钛合金材料、高性能稀土磁性材料和储氢材料及高端应用”内容，本项目属于鼓励类项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2</w:t>
      </w:r>
      <w:r w:rsidRPr="00677D1F">
        <w:rPr>
          <w:rFonts w:asciiTheme="minorEastAsia" w:hAnsiTheme="minorEastAsia" w:cs="宋体" w:hint="eastAsia"/>
          <w:color w:val="000000"/>
          <w:kern w:val="0"/>
          <w:sz w:val="24"/>
          <w:szCs w:val="24"/>
        </w:rPr>
        <w:t>）达标排放</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本项目实施后，大气污染物能满足达标排放的要求，生产废水经处理后厂区综合利用，废水不直接排放外环境；固体废物综合利用或妥善处置，满足环境保护的要求。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拟建项目高噪声的设备在采取有效的隔音消声及合理布置措施后，对外界的影响很小，厂界噪声可做到达标。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3</w:t>
      </w:r>
      <w:r w:rsidRPr="00677D1F">
        <w:rPr>
          <w:rFonts w:asciiTheme="minorEastAsia" w:hAnsiTheme="minorEastAsia" w:cs="宋体" w:hint="eastAsia"/>
          <w:color w:val="000000"/>
          <w:kern w:val="0"/>
          <w:sz w:val="24"/>
          <w:szCs w:val="24"/>
        </w:rPr>
        <w:t>）清洁生产水平</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各装置在采用先进生产工艺的同时，注重生产全过程的“三废”控制，生产过程中产生的“三废”尽量回收利用，这样既节约了资源，控制了物料流失，又大大地减少了外排污染物对环境的影响，对不能回收的“三废”均采取切实可行的治理措施。本项目从工艺技术、污染防治和原材料综合利用上都力求体现清洁生产的原则，符合清洁生产的要求。</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color w:val="000000"/>
          <w:kern w:val="0"/>
          <w:sz w:val="24"/>
          <w:szCs w:val="24"/>
        </w:rPr>
        <w:t>（4）</w:t>
      </w:r>
      <w:r w:rsidRPr="00677D1F">
        <w:rPr>
          <w:rFonts w:asciiTheme="minorEastAsia" w:hAnsiTheme="minorEastAsia" w:cs="宋体" w:hint="eastAsia"/>
          <w:color w:val="000000"/>
          <w:kern w:val="0"/>
          <w:sz w:val="24"/>
          <w:szCs w:val="24"/>
        </w:rPr>
        <w:t>环保措施</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本项目采取烟气和粉尘污染物防治措施可靠，且合理的。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本项目采取的废水处理措施，贯彻了</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节约与开源并重、节流优先、治污为本</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的用水原则，全面推广</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分质用水、串级用水、循环用水、一水多用、废水回用</w:t>
      </w:r>
      <w:r w:rsidRPr="00677D1F">
        <w:rPr>
          <w:rFonts w:asciiTheme="minorEastAsia" w:hAnsiTheme="minorEastAsia" w:cs="宋体"/>
          <w:color w:val="000000"/>
          <w:kern w:val="0"/>
          <w:sz w:val="24"/>
          <w:szCs w:val="24"/>
        </w:rPr>
        <w:t>”</w:t>
      </w:r>
      <w:r w:rsidRPr="00677D1F">
        <w:rPr>
          <w:rFonts w:asciiTheme="minorEastAsia" w:hAnsiTheme="minorEastAsia" w:cs="宋体" w:hint="eastAsia"/>
          <w:color w:val="000000"/>
          <w:kern w:val="0"/>
          <w:sz w:val="24"/>
          <w:szCs w:val="24"/>
        </w:rPr>
        <w:t>的节水技术，提高水的重复利用率。产生废水在工艺中闭路循环利用，从而节省水资源，减少水环境污染，贯彻了循环水利用技术。</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lastRenderedPageBreak/>
        <w:t>本项目固体废物处理措施实现了“减量化、资源化和最少化”原则，且所有的固体废物得到了安全合理的处理处置。</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本项目噪声源的治理从噪声的产生、传播和接收一个途径进行了综合防治。</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本项目采取的措施可靠合理，且能稳定运行。</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（5）污染物排放总量控制建议指标</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项目</w:t>
      </w:r>
      <w:r w:rsidRPr="00677D1F">
        <w:rPr>
          <w:rFonts w:asciiTheme="minorEastAsia" w:hAnsiTheme="minorEastAsia" w:cs="宋体"/>
          <w:color w:val="000000"/>
          <w:kern w:val="0"/>
          <w:sz w:val="24"/>
          <w:szCs w:val="24"/>
        </w:rPr>
        <w:t>SO</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总量控制建议指标为</w:t>
      </w:r>
      <w:r w:rsidRPr="00677D1F">
        <w:rPr>
          <w:rFonts w:asciiTheme="minorEastAsia" w:hAnsiTheme="minorEastAsia" w:cs="宋体"/>
          <w:color w:val="000000"/>
          <w:kern w:val="0"/>
          <w:sz w:val="24"/>
          <w:szCs w:val="24"/>
        </w:rPr>
        <w:t>115.98t/a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NO</w:t>
      </w:r>
      <w:r w:rsidRPr="00677D1F">
        <w:rPr>
          <w:rFonts w:asciiTheme="minorEastAsia" w:hAnsiTheme="minorEastAsia" w:cs="宋体"/>
          <w:color w:val="000000"/>
          <w:kern w:val="0"/>
          <w:sz w:val="24"/>
          <w:szCs w:val="24"/>
          <w:vertAlign w:val="subscript"/>
        </w:rPr>
        <w:t>x</w:t>
      </w:r>
      <w:r w:rsidRPr="00677D1F">
        <w:rPr>
          <w:rFonts w:asciiTheme="minorEastAsia" w:hAnsiTheme="minorEastAsia" w:cs="宋体" w:hint="eastAsia"/>
          <w:color w:val="000000"/>
          <w:kern w:val="0"/>
          <w:sz w:val="24"/>
          <w:szCs w:val="24"/>
        </w:rPr>
        <w:t>总量控制建议指标为</w:t>
      </w:r>
      <w:r w:rsidRPr="00677D1F">
        <w:rPr>
          <w:rFonts w:asciiTheme="minorEastAsia" w:hAnsiTheme="minorEastAsia" w:cs="宋体"/>
          <w:color w:val="000000"/>
          <w:kern w:val="0"/>
          <w:sz w:val="24"/>
          <w:szCs w:val="24"/>
        </w:rPr>
        <w:t>2.42t/a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Cl</w:t>
      </w:r>
      <w:r w:rsidRPr="00677D1F">
        <w:rPr>
          <w:rFonts w:asciiTheme="minorEastAsia" w:hAnsiTheme="minorEastAsia" w:cs="宋体"/>
          <w:color w:val="000000"/>
          <w:kern w:val="0"/>
          <w:sz w:val="24"/>
          <w:szCs w:val="24"/>
          <w:vertAlign w:val="subscript"/>
        </w:rPr>
        <w:t>2</w:t>
      </w:r>
      <w:r w:rsidRPr="00677D1F">
        <w:rPr>
          <w:rFonts w:asciiTheme="minorEastAsia" w:hAnsiTheme="minorEastAsia" w:cs="宋体" w:hint="eastAsia"/>
          <w:color w:val="000000"/>
          <w:kern w:val="0"/>
          <w:sz w:val="24"/>
          <w:szCs w:val="24"/>
        </w:rPr>
        <w:t>总量控制建议指标为</w:t>
      </w:r>
      <w:r w:rsidRPr="00677D1F">
        <w:rPr>
          <w:rFonts w:asciiTheme="minorEastAsia" w:hAnsiTheme="minorEastAsia" w:cs="宋体"/>
          <w:color w:val="000000"/>
          <w:kern w:val="0"/>
          <w:sz w:val="24"/>
          <w:szCs w:val="24"/>
        </w:rPr>
        <w:t>63.154t/a</w:t>
      </w:r>
      <w:r w:rsidRPr="00677D1F">
        <w:rPr>
          <w:rFonts w:asciiTheme="minorEastAsia" w:hAnsiTheme="minorEastAsia" w:cs="宋体" w:hint="eastAsia"/>
          <w:color w:val="000000"/>
          <w:kern w:val="0"/>
          <w:sz w:val="24"/>
          <w:szCs w:val="24"/>
        </w:rPr>
        <w:t>、</w:t>
      </w:r>
      <w:r w:rsidRPr="00677D1F">
        <w:rPr>
          <w:rFonts w:asciiTheme="minorEastAsia" w:hAnsiTheme="minorEastAsia" w:cs="宋体"/>
          <w:color w:val="000000"/>
          <w:kern w:val="0"/>
          <w:sz w:val="24"/>
          <w:szCs w:val="24"/>
        </w:rPr>
        <w:t>HCl</w:t>
      </w:r>
      <w:r w:rsidRPr="00677D1F">
        <w:rPr>
          <w:rFonts w:asciiTheme="minorEastAsia" w:hAnsiTheme="minorEastAsia" w:cs="宋体" w:hint="eastAsia"/>
          <w:color w:val="000000"/>
          <w:kern w:val="0"/>
          <w:sz w:val="24"/>
          <w:szCs w:val="24"/>
        </w:rPr>
        <w:t>总量控制建议指标为</w:t>
      </w:r>
      <w:r w:rsidRPr="00677D1F">
        <w:rPr>
          <w:rFonts w:asciiTheme="minorEastAsia" w:hAnsiTheme="minorEastAsia" w:cs="宋体"/>
          <w:color w:val="000000"/>
          <w:kern w:val="0"/>
          <w:sz w:val="24"/>
          <w:szCs w:val="24"/>
        </w:rPr>
        <w:t>2.381t/a</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（6）公众参与调查</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公众调查结果表明，公众对本项目建设整体上持肯定态度，绝大多数人是支持该项目建设的，相信其建设对本地区经济发展和居民的自身需求是必要的。</w:t>
      </w:r>
    </w:p>
    <w:p w:rsidR="00D228BE" w:rsidRPr="00677D1F" w:rsidRDefault="00332EB6" w:rsidP="00677D1F">
      <w:pPr>
        <w:widowControl/>
        <w:spacing w:line="360" w:lineRule="auto"/>
        <w:ind w:firstLineChars="200" w:firstLine="480"/>
        <w:contextualSpacing/>
        <w:rPr>
          <w:rFonts w:asciiTheme="minorEastAsia" w:hAnsiTheme="minorEastAsia" w:cs="宋体"/>
          <w:color w:val="000000"/>
          <w:kern w:val="0"/>
          <w:sz w:val="24"/>
          <w:szCs w:val="24"/>
        </w:rPr>
      </w:pPr>
      <w:r w:rsidRPr="00677D1F">
        <w:rPr>
          <w:rFonts w:asciiTheme="minorEastAsia" w:hAnsiTheme="minorEastAsia" w:cs="宋体" w:hint="eastAsia"/>
          <w:color w:val="000000"/>
          <w:kern w:val="0"/>
          <w:sz w:val="24"/>
          <w:szCs w:val="24"/>
        </w:rPr>
        <w:t>综上所述，本项目的建设符合国家产业政策。该项目产生的废气、废水、噪声和固体废物对环境的影响在可接受的程度内。在落实各项环保措施、安全防范措施和事故应急措施，其它污染物达标排放和采取本报告书提出的有关建议的前提下，项目的建设从环境保护角度讲可行。</w:t>
      </w:r>
    </w:p>
    <w:p w:rsidR="00D228BE" w:rsidRPr="00677D1F" w:rsidRDefault="00332EB6" w:rsidP="00677D1F">
      <w:pPr>
        <w:pStyle w:val="2"/>
        <w:keepNext/>
        <w:spacing w:beforeLines="100" w:before="312" w:afterLines="100" w:after="312" w:line="360" w:lineRule="auto"/>
        <w:contextualSpacing/>
        <w:textAlignment w:val="baseline"/>
        <w:rPr>
          <w:rFonts w:ascii="宋体" w:hAnsi="宋体"/>
          <w:bCs w:val="0"/>
          <w:kern w:val="2"/>
          <w:sz w:val="30"/>
          <w:szCs w:val="30"/>
        </w:rPr>
      </w:pPr>
      <w:r w:rsidRPr="00677D1F">
        <w:rPr>
          <w:rFonts w:ascii="宋体" w:hAnsi="宋体"/>
          <w:bCs w:val="0"/>
          <w:kern w:val="2"/>
          <w:sz w:val="30"/>
          <w:szCs w:val="30"/>
        </w:rPr>
        <w:t>1</w:t>
      </w:r>
      <w:r w:rsidR="00DF0C48" w:rsidRPr="00677D1F">
        <w:rPr>
          <w:rFonts w:ascii="宋体" w:hAnsi="宋体" w:hint="eastAsia"/>
          <w:bCs w:val="0"/>
          <w:kern w:val="2"/>
          <w:sz w:val="30"/>
          <w:szCs w:val="30"/>
        </w:rPr>
        <w:t>5</w:t>
      </w:r>
      <w:r w:rsidRPr="00677D1F">
        <w:rPr>
          <w:rFonts w:ascii="宋体" w:hAnsi="宋体"/>
          <w:bCs w:val="0"/>
          <w:kern w:val="2"/>
          <w:sz w:val="30"/>
          <w:szCs w:val="30"/>
        </w:rPr>
        <w:t>.2</w:t>
      </w:r>
      <w:r w:rsidRPr="00677D1F">
        <w:rPr>
          <w:rFonts w:ascii="宋体" w:hAnsi="宋体" w:hint="eastAsia"/>
          <w:bCs w:val="0"/>
          <w:kern w:val="2"/>
          <w:sz w:val="30"/>
          <w:szCs w:val="30"/>
        </w:rPr>
        <w:t>建议与要求</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1</w:t>
      </w:r>
      <w:r w:rsidRPr="00677D1F">
        <w:rPr>
          <w:rFonts w:asciiTheme="minorEastAsia" w:hAnsiTheme="minorEastAsia" w:cs="宋体" w:hint="eastAsia"/>
          <w:color w:val="000000"/>
          <w:kern w:val="0"/>
          <w:sz w:val="24"/>
          <w:szCs w:val="24"/>
        </w:rPr>
        <w:t>）加强固体废物在厂内堆存期间的环境管理。固体废物在厂内暂存期间应根据《危险废物管理暂行办法》加强管理，堆放场地应有防渗、防流失措施，运输过程应防止抛洒泄漏。</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2</w:t>
      </w:r>
      <w:r w:rsidRPr="00677D1F">
        <w:rPr>
          <w:rFonts w:asciiTheme="minorEastAsia" w:hAnsiTheme="minorEastAsia" w:cs="宋体" w:hint="eastAsia"/>
          <w:color w:val="000000"/>
          <w:kern w:val="0"/>
          <w:sz w:val="24"/>
          <w:szCs w:val="24"/>
        </w:rPr>
        <w:t>）加强本项目的环境管理和环境监测。设专职环境管理人员，按本报告书中的要求认真落实环境监测计划；各排污口的设置和管理应按有关规定执行。</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3</w:t>
      </w:r>
      <w:r w:rsidRPr="00677D1F">
        <w:rPr>
          <w:rFonts w:asciiTheme="minorEastAsia" w:hAnsiTheme="minorEastAsia" w:cs="宋体" w:hint="eastAsia"/>
          <w:color w:val="000000"/>
          <w:kern w:val="0"/>
          <w:sz w:val="24"/>
          <w:szCs w:val="24"/>
        </w:rPr>
        <w:t>）加强生产过程的管理，杜绝跑、冒、滴、漏现象的发生。建立健全环保规章制度，并严格进行管理。</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4</w:t>
      </w:r>
      <w:r w:rsidRPr="00677D1F">
        <w:rPr>
          <w:rFonts w:asciiTheme="minorEastAsia" w:hAnsiTheme="minorEastAsia" w:cs="宋体" w:hint="eastAsia"/>
          <w:color w:val="000000"/>
          <w:kern w:val="0"/>
          <w:sz w:val="24"/>
          <w:szCs w:val="24"/>
        </w:rPr>
        <w:t>）加强氯气和四氯化钛的储运管理。防止发生火灾和其他事故的发生，同时按要求设置防雨、消防器材等设施。</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5</w:t>
      </w:r>
      <w:r w:rsidRPr="00677D1F">
        <w:rPr>
          <w:rFonts w:asciiTheme="minorEastAsia" w:hAnsiTheme="minorEastAsia" w:cs="宋体" w:hint="eastAsia"/>
          <w:color w:val="000000"/>
          <w:kern w:val="0"/>
          <w:sz w:val="24"/>
          <w:szCs w:val="24"/>
        </w:rPr>
        <w:t>）加强对废气治理措施管理，确保各设备运行正常。</w:t>
      </w:r>
    </w:p>
    <w:p w:rsidR="00D228BE" w:rsidRPr="00677D1F" w:rsidRDefault="00332EB6" w:rsidP="00677D1F">
      <w:pPr>
        <w:widowControl/>
        <w:spacing w:line="360" w:lineRule="auto"/>
        <w:ind w:firstLineChars="200" w:firstLine="480"/>
        <w:contextualSpacing/>
        <w:rPr>
          <w:rFonts w:asciiTheme="minorEastAsia" w:hAnsiTheme="minorEastAsia" w:cs="宋体"/>
          <w:kern w:val="0"/>
          <w:sz w:val="24"/>
          <w:szCs w:val="24"/>
        </w:rPr>
      </w:pPr>
      <w:r w:rsidRPr="00677D1F">
        <w:rPr>
          <w:rFonts w:asciiTheme="minorEastAsia" w:hAnsiTheme="minorEastAsia" w:cs="宋体" w:hint="eastAsia"/>
          <w:color w:val="000000"/>
          <w:kern w:val="0"/>
          <w:sz w:val="24"/>
          <w:szCs w:val="24"/>
        </w:rPr>
        <w:t>（</w:t>
      </w:r>
      <w:r w:rsidRPr="00677D1F">
        <w:rPr>
          <w:rFonts w:asciiTheme="minorEastAsia" w:hAnsiTheme="minorEastAsia" w:cs="Times New Roman"/>
          <w:color w:val="000000"/>
          <w:kern w:val="0"/>
          <w:sz w:val="24"/>
          <w:szCs w:val="24"/>
        </w:rPr>
        <w:t>6</w:t>
      </w:r>
      <w:r w:rsidRPr="00677D1F">
        <w:rPr>
          <w:rFonts w:asciiTheme="minorEastAsia" w:hAnsiTheme="minorEastAsia" w:cs="宋体" w:hint="eastAsia"/>
          <w:color w:val="000000"/>
          <w:kern w:val="0"/>
          <w:sz w:val="24"/>
          <w:szCs w:val="24"/>
        </w:rPr>
        <w:t>）建全并完善环境管理体系、规章制度，把污染预防、节能降耗贯彻到生产全过程中。要求对与环境影响密切相关的岗位，制定严格的操作程序和有效的监</w:t>
      </w:r>
      <w:r w:rsidRPr="00677D1F">
        <w:rPr>
          <w:rFonts w:asciiTheme="minorEastAsia" w:hAnsiTheme="minorEastAsia" w:cs="宋体" w:hint="eastAsia"/>
          <w:color w:val="000000"/>
          <w:kern w:val="0"/>
          <w:sz w:val="24"/>
          <w:szCs w:val="24"/>
        </w:rPr>
        <w:lastRenderedPageBreak/>
        <w:t>控机制，使各类清洁生产技术措施产生最佳效果。在严格执行</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三同时</w:t>
      </w:r>
      <w:r w:rsidRPr="00677D1F">
        <w:rPr>
          <w:rFonts w:asciiTheme="minorEastAsia" w:hAnsiTheme="minorEastAsia" w:cs="Times New Roman"/>
          <w:color w:val="000000"/>
          <w:kern w:val="0"/>
          <w:sz w:val="24"/>
          <w:szCs w:val="24"/>
        </w:rPr>
        <w:t>”</w:t>
      </w:r>
      <w:r w:rsidRPr="00677D1F">
        <w:rPr>
          <w:rFonts w:asciiTheme="minorEastAsia" w:hAnsiTheme="minorEastAsia" w:cs="宋体" w:hint="eastAsia"/>
          <w:color w:val="000000"/>
          <w:kern w:val="0"/>
          <w:sz w:val="24"/>
          <w:szCs w:val="24"/>
        </w:rPr>
        <w:t>制度的基础上，尽早开展清洁生产审计工作。</w:t>
      </w:r>
    </w:p>
    <w:p w:rsidR="00D228BE" w:rsidRPr="00677D1F" w:rsidRDefault="00332EB6" w:rsidP="00677D1F">
      <w:pPr>
        <w:spacing w:line="360" w:lineRule="auto"/>
        <w:ind w:firstLineChars="200" w:firstLine="480"/>
        <w:contextualSpacing/>
        <w:rPr>
          <w:rFonts w:asciiTheme="minorEastAsia" w:hAnsiTheme="minorEastAsia"/>
          <w:sz w:val="24"/>
          <w:szCs w:val="24"/>
        </w:rPr>
      </w:pPr>
      <w:r w:rsidRPr="00677D1F">
        <w:rPr>
          <w:rFonts w:asciiTheme="minorEastAsia" w:hAnsiTheme="minorEastAsia" w:cs="Times New Roman"/>
          <w:color w:val="000000"/>
          <w:kern w:val="0"/>
          <w:sz w:val="24"/>
          <w:szCs w:val="24"/>
        </w:rPr>
        <w:t>（7）</w:t>
      </w:r>
      <w:r w:rsidRPr="00677D1F">
        <w:rPr>
          <w:rFonts w:asciiTheme="minorEastAsia" w:hAnsiTheme="minorEastAsia" w:cs="宋体" w:hint="eastAsia"/>
          <w:color w:val="000000"/>
          <w:kern w:val="0"/>
          <w:sz w:val="24"/>
          <w:szCs w:val="24"/>
        </w:rPr>
        <w:t>厂区日常环境应急管理中，要全面排查污染隐患，落实各种应急保障措施，加强应急培训与演练。</w:t>
      </w:r>
    </w:p>
    <w:p w:rsidR="00D228BE" w:rsidRPr="00677D1F" w:rsidRDefault="00D228BE" w:rsidP="00677D1F">
      <w:pPr>
        <w:contextualSpacing/>
      </w:pPr>
    </w:p>
    <w:sectPr w:rsidR="00D228BE" w:rsidRPr="00677D1F">
      <w:pgSz w:w="11906" w:h="16838"/>
      <w:pgMar w:top="1588" w:right="1418" w:bottom="1418" w:left="1701" w:header="1021" w:footer="907" w:gutter="0"/>
      <w:cols w:space="425"/>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9FD16C0" w15:done="0"/>
  <w15:commentEx w15:paraId="19646F37" w15:done="0"/>
  <w15:commentEx w15:paraId="2ABA093F" w15:done="0"/>
  <w15:commentEx w15:paraId="77CE7E96" w15:done="0"/>
  <w15:commentEx w15:paraId="2F9E14B0" w15:done="0"/>
  <w15:commentEx w15:paraId="456B2885" w15:done="0"/>
  <w15:commentEx w15:paraId="156D69D7" w15:done="0"/>
  <w15:commentEx w15:paraId="4432698E" w15:done="0"/>
  <w15:commentEx w15:paraId="55ED5C21" w15:done="0"/>
  <w15:commentEx w15:paraId="253F382B" w15:done="0"/>
  <w15:commentEx w15:paraId="5D3E5A8B" w15:done="0"/>
  <w15:commentEx w15:paraId="78C964D0" w15:done="0"/>
  <w15:commentEx w15:paraId="196A6FC0" w15:done="0"/>
  <w15:commentEx w15:paraId="5A543B2C" w15:done="0"/>
  <w15:commentEx w15:paraId="283D0D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417" w:rsidRDefault="00550417">
      <w:r>
        <w:separator/>
      </w:r>
    </w:p>
  </w:endnote>
  <w:endnote w:type="continuationSeparator" w:id="0">
    <w:p w:rsidR="00550417" w:rsidRDefault="00550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B6" w:rsidRDefault="00332EB6">
    <w:pPr>
      <w:pStyle w:val="a6"/>
      <w:pBdr>
        <w:top w:val="thickThinSmallGap" w:sz="24" w:space="1" w:color="auto"/>
      </w:pBdr>
      <w:jc w:val="center"/>
    </w:pPr>
    <w:r>
      <w:rPr>
        <w:rFonts w:hint="eastAsia"/>
      </w:rPr>
      <w:t>新疆中环和创工程技术咨询有限公司</w:t>
    </w:r>
    <w:r>
      <w:rPr>
        <w:rFonts w:hint="eastAsia"/>
      </w:rPr>
      <w:t xml:space="preserve">                                             </w:t>
    </w:r>
    <w:r>
      <w:rPr>
        <w:rFonts w:hint="eastAsia"/>
      </w:rPr>
      <w:t>国环评证乙字第</w:t>
    </w:r>
    <w:r>
      <w:rPr>
        <w:rFonts w:hint="eastAsia"/>
      </w:rPr>
      <w:t>1029</w:t>
    </w:r>
    <w:r>
      <w:rPr>
        <w:rFonts w:hint="eastAsia"/>
      </w:rPr>
      <w:t>号</w:t>
    </w:r>
  </w:p>
  <w:p w:rsidR="00332EB6" w:rsidRDefault="00332EB6">
    <w:pPr>
      <w:pStyle w:val="a6"/>
      <w:pBdr>
        <w:top w:val="thickThinSmallGap" w:sz="24" w:space="1" w:color="auto"/>
      </w:pBdr>
      <w:jc w:val="center"/>
    </w:pPr>
    <w:r>
      <w:fldChar w:fldCharType="begin"/>
    </w:r>
    <w:r>
      <w:instrText>PAGE   \* MERGEFORMAT</w:instrText>
    </w:r>
    <w:r>
      <w:fldChar w:fldCharType="separate"/>
    </w:r>
    <w:r w:rsidR="001D20EA" w:rsidRPr="001D20EA">
      <w:rPr>
        <w:noProof/>
        <w:lang w:val="zh-CN"/>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B6" w:rsidRDefault="00332EB6">
    <w:pPr>
      <w:pStyle w:val="a4"/>
      <w:spacing w:line="14" w:lineRule="auto"/>
      <w:rPr>
        <w:sz w:val="20"/>
      </w:rPr>
    </w:pPr>
    <w:r>
      <w:rPr>
        <w:noProof/>
        <w:lang w:val="en-US" w:bidi="ar-SA"/>
      </w:rPr>
      <mc:AlternateContent>
        <mc:Choice Requires="wps">
          <w:drawing>
            <wp:anchor distT="0" distB="0" distL="114300" distR="114300" simplePos="0" relativeHeight="251660288" behindDoc="1" locked="0" layoutInCell="1" allowOverlap="1" wp14:anchorId="63FB9B60" wp14:editId="4684AABC">
              <wp:simplePos x="0" y="0"/>
              <wp:positionH relativeFrom="page">
                <wp:posOffset>3771265</wp:posOffset>
              </wp:positionH>
              <wp:positionV relativeFrom="page">
                <wp:posOffset>9831070</wp:posOffset>
              </wp:positionV>
              <wp:extent cx="274320" cy="152400"/>
              <wp:effectExtent l="0" t="1270" r="254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a:noFill/>
                      </a:ln>
                    </wps:spPr>
                    <wps:txbx>
                      <w:txbxContent>
                        <w:p w:rsidR="00332EB6" w:rsidRDefault="00332EB6">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1D20EA">
                            <w:rPr>
                              <w:rFonts w:ascii="Times New Roman"/>
                              <w:noProof/>
                              <w:sz w:val="18"/>
                            </w:rPr>
                            <w:t>314</w:t>
                          </w:r>
                          <w:r>
                            <w:fldChar w:fldCharType="end"/>
                          </w:r>
                          <w:r>
                            <w:rPr>
                              <w:rFonts w:ascii="Times New Roman"/>
                              <w:sz w:val="18"/>
                            </w:rPr>
                            <w:t xml:space="preserve"> -</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296.95pt;margin-top:774.1pt;width:21.6pt;height:1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" filled="f" stroked="f">
              <v:textbox inset="0,0,0,0">
                <w:txbxContent>
                  <w:p w:rsidR="00332EB6" w:rsidRDefault="00332EB6">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1D20EA">
                      <w:rPr>
                        <w:rFonts w:ascii="Times New Roman"/>
                        <w:noProof/>
                        <w:sz w:val="18"/>
                      </w:rPr>
                      <w:t>314</w:t>
                    </w:r>
                    <w:r>
                      <w:fldChar w:fldCharType="end"/>
                    </w:r>
                    <w:r>
                      <w:rPr>
                        <w:rFonts w:ascii="Times New Roman"/>
                        <w:sz w:val="1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417" w:rsidRDefault="00550417">
      <w:r>
        <w:separator/>
      </w:r>
    </w:p>
  </w:footnote>
  <w:footnote w:type="continuationSeparator" w:id="0">
    <w:p w:rsidR="00550417" w:rsidRDefault="00550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B6" w:rsidRDefault="00332EB6">
    <w:pPr>
      <w:pStyle w:val="a7"/>
      <w:pBdr>
        <w:bottom w:val="thinThickSmallGap" w:sz="24" w:space="1" w:color="auto"/>
      </w:pBdr>
      <w:rPr>
        <w:rFonts w:asciiTheme="minorEastAsia" w:hAnsiTheme="minorEastAsia"/>
      </w:rPr>
    </w:pPr>
    <w:r>
      <w:rPr>
        <w:rFonts w:asciiTheme="minorEastAsia" w:hAnsiTheme="minorEastAsia" w:hint="eastAsia"/>
      </w:rPr>
      <w:t>新疆湘晟新材料科技有限公司年产3万吨高性能钛及钛合金新材料项目环境影响报告书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B6" w:rsidRDefault="00332EB6">
    <w:pPr>
      <w:pStyle w:val="a4"/>
      <w:spacing w:line="14" w:lineRule="auto"/>
      <w:rPr>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hideSpellingErrors/>
  <w:hideGrammaticalErrors/>
  <w:trackRevision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0D"/>
    <w:rsid w:val="00017AB1"/>
    <w:rsid w:val="000308C9"/>
    <w:rsid w:val="0003398D"/>
    <w:rsid w:val="00041337"/>
    <w:rsid w:val="000564E8"/>
    <w:rsid w:val="00077920"/>
    <w:rsid w:val="000A1A7F"/>
    <w:rsid w:val="000C358D"/>
    <w:rsid w:val="000D128D"/>
    <w:rsid w:val="000D37CC"/>
    <w:rsid w:val="000E081D"/>
    <w:rsid w:val="000E477E"/>
    <w:rsid w:val="000F229A"/>
    <w:rsid w:val="000F4928"/>
    <w:rsid w:val="00100EB1"/>
    <w:rsid w:val="00104EEC"/>
    <w:rsid w:val="00116928"/>
    <w:rsid w:val="00160CBA"/>
    <w:rsid w:val="00161972"/>
    <w:rsid w:val="001717F7"/>
    <w:rsid w:val="00171B72"/>
    <w:rsid w:val="00195D24"/>
    <w:rsid w:val="001A4FA5"/>
    <w:rsid w:val="001A5128"/>
    <w:rsid w:val="001B1117"/>
    <w:rsid w:val="001B2FD1"/>
    <w:rsid w:val="001C1516"/>
    <w:rsid w:val="001D20EA"/>
    <w:rsid w:val="001E03D7"/>
    <w:rsid w:val="002000B4"/>
    <w:rsid w:val="00213FC1"/>
    <w:rsid w:val="00216E75"/>
    <w:rsid w:val="00225A16"/>
    <w:rsid w:val="0025473A"/>
    <w:rsid w:val="00260677"/>
    <w:rsid w:val="00264054"/>
    <w:rsid w:val="00267689"/>
    <w:rsid w:val="00284D48"/>
    <w:rsid w:val="00284D9E"/>
    <w:rsid w:val="00286BDB"/>
    <w:rsid w:val="00287EDB"/>
    <w:rsid w:val="00290586"/>
    <w:rsid w:val="002919FD"/>
    <w:rsid w:val="002932E4"/>
    <w:rsid w:val="00293FDE"/>
    <w:rsid w:val="002949F8"/>
    <w:rsid w:val="002A108D"/>
    <w:rsid w:val="002A757F"/>
    <w:rsid w:val="002B38C5"/>
    <w:rsid w:val="002C1DBB"/>
    <w:rsid w:val="002C553D"/>
    <w:rsid w:val="002C6B65"/>
    <w:rsid w:val="002E1950"/>
    <w:rsid w:val="002F0350"/>
    <w:rsid w:val="002F09A6"/>
    <w:rsid w:val="00311B5F"/>
    <w:rsid w:val="00321AC5"/>
    <w:rsid w:val="00323316"/>
    <w:rsid w:val="0032430E"/>
    <w:rsid w:val="003307E8"/>
    <w:rsid w:val="00331931"/>
    <w:rsid w:val="00332EB6"/>
    <w:rsid w:val="00337408"/>
    <w:rsid w:val="00340038"/>
    <w:rsid w:val="00340EEE"/>
    <w:rsid w:val="00342EAF"/>
    <w:rsid w:val="0034373F"/>
    <w:rsid w:val="0034568F"/>
    <w:rsid w:val="00345795"/>
    <w:rsid w:val="00353EB3"/>
    <w:rsid w:val="003568C6"/>
    <w:rsid w:val="003656C8"/>
    <w:rsid w:val="00365D7C"/>
    <w:rsid w:val="003752BE"/>
    <w:rsid w:val="0037667C"/>
    <w:rsid w:val="003832A7"/>
    <w:rsid w:val="0039022A"/>
    <w:rsid w:val="00390272"/>
    <w:rsid w:val="0039273A"/>
    <w:rsid w:val="003950AD"/>
    <w:rsid w:val="00397E32"/>
    <w:rsid w:val="003A3D0A"/>
    <w:rsid w:val="003A6910"/>
    <w:rsid w:val="00405C96"/>
    <w:rsid w:val="00431EC9"/>
    <w:rsid w:val="00455E89"/>
    <w:rsid w:val="0045601C"/>
    <w:rsid w:val="00466AFE"/>
    <w:rsid w:val="00484190"/>
    <w:rsid w:val="00484E53"/>
    <w:rsid w:val="00486818"/>
    <w:rsid w:val="004A5B08"/>
    <w:rsid w:val="004B65A2"/>
    <w:rsid w:val="004D687F"/>
    <w:rsid w:val="004E1317"/>
    <w:rsid w:val="004F1324"/>
    <w:rsid w:val="004F5354"/>
    <w:rsid w:val="004F5959"/>
    <w:rsid w:val="00515C54"/>
    <w:rsid w:val="005273D6"/>
    <w:rsid w:val="00535AC4"/>
    <w:rsid w:val="005377D6"/>
    <w:rsid w:val="00547D33"/>
    <w:rsid w:val="00550417"/>
    <w:rsid w:val="00563368"/>
    <w:rsid w:val="00566169"/>
    <w:rsid w:val="005765D3"/>
    <w:rsid w:val="00576BA0"/>
    <w:rsid w:val="00583C0D"/>
    <w:rsid w:val="005A3657"/>
    <w:rsid w:val="005A72FE"/>
    <w:rsid w:val="005B2D12"/>
    <w:rsid w:val="005C28FA"/>
    <w:rsid w:val="005D7F00"/>
    <w:rsid w:val="005E537C"/>
    <w:rsid w:val="005E597B"/>
    <w:rsid w:val="005F10C2"/>
    <w:rsid w:val="00605365"/>
    <w:rsid w:val="00613218"/>
    <w:rsid w:val="00624F5E"/>
    <w:rsid w:val="00630695"/>
    <w:rsid w:val="0064311F"/>
    <w:rsid w:val="00646C85"/>
    <w:rsid w:val="00654188"/>
    <w:rsid w:val="00656F62"/>
    <w:rsid w:val="00671D18"/>
    <w:rsid w:val="00673FEE"/>
    <w:rsid w:val="00677D1F"/>
    <w:rsid w:val="006A0362"/>
    <w:rsid w:val="006A0ACD"/>
    <w:rsid w:val="006A38A1"/>
    <w:rsid w:val="006B02F6"/>
    <w:rsid w:val="006B5347"/>
    <w:rsid w:val="006B63A6"/>
    <w:rsid w:val="006D53F0"/>
    <w:rsid w:val="006E2499"/>
    <w:rsid w:val="006E25ED"/>
    <w:rsid w:val="006F3A63"/>
    <w:rsid w:val="00703B11"/>
    <w:rsid w:val="00751B5F"/>
    <w:rsid w:val="007826CA"/>
    <w:rsid w:val="007848D7"/>
    <w:rsid w:val="00793850"/>
    <w:rsid w:val="007B45F9"/>
    <w:rsid w:val="007B49B6"/>
    <w:rsid w:val="00801050"/>
    <w:rsid w:val="00810941"/>
    <w:rsid w:val="00814B2C"/>
    <w:rsid w:val="00814BBE"/>
    <w:rsid w:val="00816416"/>
    <w:rsid w:val="00823431"/>
    <w:rsid w:val="008243CD"/>
    <w:rsid w:val="0082446D"/>
    <w:rsid w:val="00830F37"/>
    <w:rsid w:val="0083452B"/>
    <w:rsid w:val="00840D34"/>
    <w:rsid w:val="008428FA"/>
    <w:rsid w:val="00853D50"/>
    <w:rsid w:val="008726AE"/>
    <w:rsid w:val="00882590"/>
    <w:rsid w:val="008944D0"/>
    <w:rsid w:val="008952CE"/>
    <w:rsid w:val="008A710B"/>
    <w:rsid w:val="008B0D84"/>
    <w:rsid w:val="008C77A2"/>
    <w:rsid w:val="008C7B47"/>
    <w:rsid w:val="008D3A1F"/>
    <w:rsid w:val="008D5F62"/>
    <w:rsid w:val="0091342C"/>
    <w:rsid w:val="0091653B"/>
    <w:rsid w:val="009171A4"/>
    <w:rsid w:val="00917FA0"/>
    <w:rsid w:val="009325D6"/>
    <w:rsid w:val="0094366A"/>
    <w:rsid w:val="009518DE"/>
    <w:rsid w:val="00954F88"/>
    <w:rsid w:val="00956237"/>
    <w:rsid w:val="009571A0"/>
    <w:rsid w:val="0096319C"/>
    <w:rsid w:val="00974B05"/>
    <w:rsid w:val="009813EB"/>
    <w:rsid w:val="00983237"/>
    <w:rsid w:val="00991C93"/>
    <w:rsid w:val="009A6865"/>
    <w:rsid w:val="009C1B2E"/>
    <w:rsid w:val="009D4D26"/>
    <w:rsid w:val="009D5B21"/>
    <w:rsid w:val="009D61A2"/>
    <w:rsid w:val="009E0A75"/>
    <w:rsid w:val="009F7A61"/>
    <w:rsid w:val="00A06A56"/>
    <w:rsid w:val="00A2479C"/>
    <w:rsid w:val="00A35AC7"/>
    <w:rsid w:val="00A602C2"/>
    <w:rsid w:val="00A71070"/>
    <w:rsid w:val="00A7428A"/>
    <w:rsid w:val="00A82114"/>
    <w:rsid w:val="00A82958"/>
    <w:rsid w:val="00AA139E"/>
    <w:rsid w:val="00AB36FF"/>
    <w:rsid w:val="00AB3743"/>
    <w:rsid w:val="00AC3C58"/>
    <w:rsid w:val="00AC6D9A"/>
    <w:rsid w:val="00AE79EC"/>
    <w:rsid w:val="00AF119B"/>
    <w:rsid w:val="00AF6805"/>
    <w:rsid w:val="00B054D3"/>
    <w:rsid w:val="00B2777A"/>
    <w:rsid w:val="00B33DAF"/>
    <w:rsid w:val="00B36923"/>
    <w:rsid w:val="00B40FC8"/>
    <w:rsid w:val="00B4204D"/>
    <w:rsid w:val="00B44843"/>
    <w:rsid w:val="00B8103D"/>
    <w:rsid w:val="00B81D79"/>
    <w:rsid w:val="00B8583C"/>
    <w:rsid w:val="00B93B92"/>
    <w:rsid w:val="00B93CC0"/>
    <w:rsid w:val="00BA34AD"/>
    <w:rsid w:val="00BB181E"/>
    <w:rsid w:val="00BB1D4E"/>
    <w:rsid w:val="00BC03BC"/>
    <w:rsid w:val="00BE5D8A"/>
    <w:rsid w:val="00BE5F40"/>
    <w:rsid w:val="00BE6845"/>
    <w:rsid w:val="00BE7E8D"/>
    <w:rsid w:val="00BF0998"/>
    <w:rsid w:val="00BF77EA"/>
    <w:rsid w:val="00C00673"/>
    <w:rsid w:val="00C1170B"/>
    <w:rsid w:val="00C15C1E"/>
    <w:rsid w:val="00C16151"/>
    <w:rsid w:val="00C2499E"/>
    <w:rsid w:val="00C31D81"/>
    <w:rsid w:val="00C37A00"/>
    <w:rsid w:val="00C44793"/>
    <w:rsid w:val="00C5095E"/>
    <w:rsid w:val="00C55A6B"/>
    <w:rsid w:val="00C56002"/>
    <w:rsid w:val="00C608A9"/>
    <w:rsid w:val="00C63A8E"/>
    <w:rsid w:val="00C811B7"/>
    <w:rsid w:val="00C81784"/>
    <w:rsid w:val="00CA3A58"/>
    <w:rsid w:val="00CA524C"/>
    <w:rsid w:val="00CB139F"/>
    <w:rsid w:val="00CB1C57"/>
    <w:rsid w:val="00CB4158"/>
    <w:rsid w:val="00CC0C1B"/>
    <w:rsid w:val="00CF0408"/>
    <w:rsid w:val="00CF2A0D"/>
    <w:rsid w:val="00CF7BDB"/>
    <w:rsid w:val="00D15389"/>
    <w:rsid w:val="00D175F8"/>
    <w:rsid w:val="00D228BE"/>
    <w:rsid w:val="00D51530"/>
    <w:rsid w:val="00D531DB"/>
    <w:rsid w:val="00D54541"/>
    <w:rsid w:val="00D55726"/>
    <w:rsid w:val="00D652BA"/>
    <w:rsid w:val="00D65CDB"/>
    <w:rsid w:val="00D755C3"/>
    <w:rsid w:val="00D933B3"/>
    <w:rsid w:val="00DA10DC"/>
    <w:rsid w:val="00DB4A96"/>
    <w:rsid w:val="00DB5FC1"/>
    <w:rsid w:val="00DD1D41"/>
    <w:rsid w:val="00DD3424"/>
    <w:rsid w:val="00DE6F70"/>
    <w:rsid w:val="00DF039E"/>
    <w:rsid w:val="00DF0C48"/>
    <w:rsid w:val="00E10347"/>
    <w:rsid w:val="00E10D33"/>
    <w:rsid w:val="00E10D76"/>
    <w:rsid w:val="00E119E8"/>
    <w:rsid w:val="00E21C61"/>
    <w:rsid w:val="00E22E58"/>
    <w:rsid w:val="00E353C8"/>
    <w:rsid w:val="00E53C3F"/>
    <w:rsid w:val="00E57F20"/>
    <w:rsid w:val="00E71E14"/>
    <w:rsid w:val="00E73772"/>
    <w:rsid w:val="00E75BF4"/>
    <w:rsid w:val="00E75F03"/>
    <w:rsid w:val="00EB09A9"/>
    <w:rsid w:val="00EB2CEE"/>
    <w:rsid w:val="00EC4033"/>
    <w:rsid w:val="00EC65E2"/>
    <w:rsid w:val="00ED0CFE"/>
    <w:rsid w:val="00ED0DF3"/>
    <w:rsid w:val="00EE13CF"/>
    <w:rsid w:val="00EF1EA4"/>
    <w:rsid w:val="00F031AC"/>
    <w:rsid w:val="00F10139"/>
    <w:rsid w:val="00F10DDF"/>
    <w:rsid w:val="00F12AE8"/>
    <w:rsid w:val="00F1773A"/>
    <w:rsid w:val="00F203DD"/>
    <w:rsid w:val="00F20908"/>
    <w:rsid w:val="00F33687"/>
    <w:rsid w:val="00F50654"/>
    <w:rsid w:val="00F64DA5"/>
    <w:rsid w:val="00F73DCC"/>
    <w:rsid w:val="00F77763"/>
    <w:rsid w:val="00F955DB"/>
    <w:rsid w:val="00F9776A"/>
    <w:rsid w:val="00FA34D8"/>
    <w:rsid w:val="00FB310C"/>
    <w:rsid w:val="00FC5BB2"/>
    <w:rsid w:val="00FC5C11"/>
    <w:rsid w:val="00FD7702"/>
    <w:rsid w:val="00FF555A"/>
    <w:rsid w:val="00FF71C7"/>
    <w:rsid w:val="2798355B"/>
    <w:rsid w:val="31994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pPr>
      <w:widowControl w:val="0"/>
      <w:jc w:val="both"/>
    </w:pPr>
    <w:rPr>
      <w:kern w:val="2"/>
      <w:sz w:val="21"/>
      <w:szCs w:val="22"/>
    </w:rPr>
  </w:style>
  <w:style w:type="paragraph" w:styleId="1">
    <w:name w:val="heading 1"/>
    <w:basedOn w:val="a"/>
    <w:next w:val="a"/>
    <w:link w:val="1Char"/>
    <w:qFormat/>
    <w:pPr>
      <w:keepNext/>
      <w:keepLines/>
      <w:spacing w:before="100" w:after="100" w:line="600" w:lineRule="auto"/>
      <w:outlineLvl w:val="0"/>
    </w:pPr>
    <w:rPr>
      <w:rFonts w:ascii="Times New Roman" w:eastAsia="宋体" w:hAnsi="Times New Roman" w:cs="Times New Roman"/>
      <w:b/>
      <w:bCs/>
      <w:spacing w:val="-2"/>
      <w:kern w:val="44"/>
      <w:sz w:val="32"/>
      <w:szCs w:val="44"/>
    </w:rPr>
  </w:style>
  <w:style w:type="paragraph" w:styleId="2">
    <w:name w:val="heading 2"/>
    <w:basedOn w:val="a"/>
    <w:next w:val="a"/>
    <w:link w:val="2Char"/>
    <w:qFormat/>
    <w:pPr>
      <w:keepLines/>
      <w:spacing w:line="600" w:lineRule="auto"/>
      <w:outlineLvl w:val="1"/>
    </w:pPr>
    <w:rPr>
      <w:rFonts w:ascii="Times New Roman" w:eastAsia="宋体" w:hAnsi="Times New Roman" w:cs="Times New Roman"/>
      <w:b/>
      <w:bCs/>
      <w:kern w:val="0"/>
      <w:sz w:val="28"/>
      <w:szCs w:val="32"/>
    </w:rPr>
  </w:style>
  <w:style w:type="paragraph" w:styleId="3">
    <w:name w:val="heading 3"/>
    <w:basedOn w:val="a"/>
    <w:next w:val="a"/>
    <w:link w:val="3Char"/>
    <w:qFormat/>
    <w:pPr>
      <w:spacing w:line="480" w:lineRule="auto"/>
      <w:ind w:firstLineChars="200" w:firstLine="600"/>
      <w:outlineLvl w:val="2"/>
    </w:pPr>
    <w:rPr>
      <w:rFonts w:ascii="Times New Roman" w:eastAsia="宋体" w:hAnsi="Times New Roman" w:cs="Times New Roman"/>
      <w:b/>
      <w:sz w:val="24"/>
      <w:szCs w:val="24"/>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ody Text"/>
    <w:basedOn w:val="a"/>
    <w:link w:val="Char0"/>
    <w:uiPriority w:val="1"/>
    <w:qFormat/>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pPr>
      <w:spacing w:beforeAutospacing="1" w:afterAutospacing="1"/>
      <w:jc w:val="left"/>
    </w:pPr>
    <w:rPr>
      <w:rFonts w:cs="Times New Roman"/>
      <w:kern w:val="0"/>
      <w:sz w:val="24"/>
    </w:rPr>
  </w:style>
  <w:style w:type="paragraph" w:styleId="a9">
    <w:name w:val="annotation subject"/>
    <w:basedOn w:val="a3"/>
    <w:next w:val="a3"/>
    <w:link w:val="Char4"/>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qFormat/>
    <w:rPr>
      <w:color w:val="0000FF" w:themeColor="hyperlink"/>
      <w:u w:val="single"/>
    </w:rPr>
  </w:style>
  <w:style w:type="character" w:styleId="ac">
    <w:name w:val="annotation reference"/>
    <w:basedOn w:val="a0"/>
    <w:uiPriority w:val="99"/>
    <w:semiHidden/>
    <w:unhideWhenUsed/>
    <w:rPr>
      <w:sz w:val="21"/>
      <w:szCs w:val="21"/>
    </w:rPr>
  </w:style>
  <w:style w:type="character" w:styleId="ad">
    <w:name w:val="Placeholder Text"/>
    <w:basedOn w:val="a0"/>
    <w:uiPriority w:val="99"/>
    <w:semiHidden/>
    <w:rPr>
      <w:color w:val="808080"/>
    </w:rPr>
  </w:style>
  <w:style w:type="character" w:customStyle="1" w:styleId="Char1">
    <w:name w:val="批注框文本 Char"/>
    <w:basedOn w:val="a0"/>
    <w:link w:val="a5"/>
    <w:uiPriority w:val="99"/>
    <w:semiHidden/>
    <w:qFormat/>
    <w:rPr>
      <w:sz w:val="18"/>
      <w:szCs w:val="18"/>
    </w:rPr>
  </w:style>
  <w:style w:type="paragraph" w:styleId="ae">
    <w:name w:val="List Paragraph"/>
    <w:basedOn w:val="a"/>
    <w:uiPriority w:val="1"/>
    <w:qFormat/>
    <w:pPr>
      <w:ind w:firstLineChars="200" w:firstLine="420"/>
    </w:p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1Char">
    <w:name w:val="标题 1 Char"/>
    <w:basedOn w:val="a0"/>
    <w:link w:val="1"/>
    <w:qFormat/>
    <w:rPr>
      <w:rFonts w:ascii="Times New Roman" w:eastAsia="宋体" w:hAnsi="Times New Roman" w:cs="Times New Roman"/>
      <w:b/>
      <w:bCs/>
      <w:spacing w:val="-2"/>
      <w:kern w:val="44"/>
      <w:sz w:val="32"/>
      <w:szCs w:val="44"/>
    </w:rPr>
  </w:style>
  <w:style w:type="character" w:customStyle="1" w:styleId="2Char">
    <w:name w:val="标题 2 Char"/>
    <w:basedOn w:val="a0"/>
    <w:link w:val="2"/>
    <w:qFormat/>
    <w:rPr>
      <w:rFonts w:ascii="Times New Roman" w:eastAsia="宋体" w:hAnsi="Times New Roman" w:cs="Times New Roman"/>
      <w:b/>
      <w:bCs/>
      <w:kern w:val="0"/>
      <w:sz w:val="28"/>
      <w:szCs w:val="32"/>
    </w:rPr>
  </w:style>
  <w:style w:type="character" w:customStyle="1" w:styleId="3Char">
    <w:name w:val="标题 3 Char"/>
    <w:basedOn w:val="a0"/>
    <w:link w:val="3"/>
    <w:qFormat/>
    <w:rPr>
      <w:rFonts w:ascii="Times New Roman" w:eastAsia="宋体" w:hAnsi="Times New Roman" w:cs="Times New Roman"/>
      <w:b/>
      <w:sz w:val="24"/>
      <w:szCs w:val="24"/>
    </w:rPr>
  </w:style>
  <w:style w:type="character" w:customStyle="1" w:styleId="Char">
    <w:name w:val="批注文字 Char"/>
    <w:basedOn w:val="a0"/>
    <w:link w:val="a3"/>
    <w:uiPriority w:val="99"/>
    <w:semiHidden/>
  </w:style>
  <w:style w:type="character" w:customStyle="1" w:styleId="Char4">
    <w:name w:val="批注主题 Char"/>
    <w:basedOn w:val="Char"/>
    <w:link w:val="a9"/>
    <w:uiPriority w:val="99"/>
    <w:semiHidden/>
    <w:qFormat/>
    <w:rPr>
      <w:b/>
      <w:bCs/>
    </w:rPr>
  </w:style>
  <w:style w:type="character" w:customStyle="1" w:styleId="30">
    <w:name w:val="标题 3 字符"/>
    <w:rPr>
      <w:rFonts w:ascii="黑体" w:eastAsia="黑体"/>
      <w:kern w:val="2"/>
      <w:sz w:val="30"/>
      <w:lang w:val="en-US" w:eastAsia="zh-CN" w:bidi="ar-SA"/>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Arial" w:eastAsia="Arial" w:hAnsi="Arial" w:cs="Arial"/>
      <w:kern w:val="0"/>
      <w:sz w:val="22"/>
      <w:lang w:val="zh-CN" w:bidi="zh-CN"/>
    </w:rPr>
  </w:style>
  <w:style w:type="character" w:customStyle="1" w:styleId="Char0">
    <w:name w:val="正文文本 Char"/>
    <w:basedOn w:val="a0"/>
    <w:link w:val="a4"/>
    <w:uiPriority w:val="1"/>
    <w:qFormat/>
    <w:rPr>
      <w:rFonts w:ascii="宋体" w:eastAsia="宋体" w:hAnsi="宋体" w:cs="宋体"/>
      <w:kern w:val="0"/>
      <w:sz w:val="28"/>
      <w:szCs w:val="28"/>
      <w:lang w:val="zh-CN" w:bidi="zh-CN"/>
    </w:rPr>
  </w:style>
  <w:style w:type="character" w:customStyle="1" w:styleId="4Char">
    <w:name w:val="标题 4 Char"/>
    <w:basedOn w:val="a0"/>
    <w:link w:val="4"/>
    <w:uiPriority w:val="9"/>
    <w:semiHidden/>
    <w:rPr>
      <w:rFonts w:asciiTheme="majorHAnsi" w:eastAsiaTheme="majorEastAsia" w:hAnsiTheme="majorHAnsi" w:cstheme="majorBidi"/>
      <w:b/>
      <w:bCs/>
      <w:sz w:val="28"/>
      <w:szCs w:val="28"/>
    </w:rPr>
  </w:style>
  <w:style w:type="paragraph" w:customStyle="1" w:styleId="af">
    <w:name w:val="农贸市场表格表头"/>
    <w:basedOn w:val="a"/>
    <w:qFormat/>
    <w:pPr>
      <w:jc w:val="center"/>
    </w:pPr>
    <w:rPr>
      <w:rFonts w:ascii="Times New Roman" w:eastAsia="宋体" w:hAnsi="宋体" w:cs="仿宋_GB2312"/>
      <w:b/>
      <w:szCs w:val="21"/>
    </w:rPr>
  </w:style>
  <w:style w:type="paragraph" w:customStyle="1" w:styleId="af0">
    <w:name w:val="表头标题格式"/>
    <w:basedOn w:val="a"/>
    <w:qFormat/>
    <w:pPr>
      <w:widowControl/>
      <w:tabs>
        <w:tab w:val="left" w:pos="360"/>
        <w:tab w:val="left" w:pos="1620"/>
      </w:tabs>
      <w:spacing w:line="360" w:lineRule="auto"/>
      <w:jc w:val="center"/>
    </w:pPr>
    <w:rPr>
      <w:rFonts w:ascii="黑体" w:eastAsia="黑体" w:hAnsi="宋体" w:cs="Times New Roman"/>
      <w:b/>
      <w:bCs/>
      <w:kern w:val="0"/>
      <w:sz w:val="24"/>
      <w:szCs w:val="20"/>
    </w:rPr>
  </w:style>
  <w:style w:type="character" w:customStyle="1" w:styleId="Char5">
    <w:name w:val="样式 兴化美联正文样式 + 自动设置 Char"/>
    <w:link w:val="af1"/>
    <w:qFormat/>
    <w:locked/>
    <w:rPr>
      <w:rFonts w:ascii="宋体" w:eastAsia="宋体" w:hAnsi="宋体"/>
      <w:sz w:val="24"/>
    </w:rPr>
  </w:style>
  <w:style w:type="paragraph" w:customStyle="1" w:styleId="af1">
    <w:name w:val="样式 兴化美联正文样式 + 自动设置"/>
    <w:basedOn w:val="a"/>
    <w:link w:val="Char5"/>
    <w:qFormat/>
    <w:pPr>
      <w:widowControl/>
      <w:spacing w:line="360" w:lineRule="auto"/>
      <w:ind w:firstLineChars="200" w:firstLine="480"/>
      <w:jc w:val="left"/>
    </w:pPr>
    <w:rPr>
      <w:rFonts w:ascii="宋体" w:eastAsia="宋体" w:hAnsi="宋体"/>
      <w:sz w:val="24"/>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paragraph" w:customStyle="1" w:styleId="af2">
    <w:name w:val="标题二！！！！！"/>
    <w:basedOn w:val="2"/>
    <w:qFormat/>
    <w:pPr>
      <w:keepLines w:val="0"/>
      <w:widowControl/>
      <w:spacing w:before="120" w:after="120" w:line="500" w:lineRule="exact"/>
      <w:jc w:val="left"/>
    </w:pPr>
    <w:rPr>
      <w:rFonts w:ascii="楷体_GB2312" w:eastAsia="楷体_GB2312" w:hAnsi="楷体_GB2312"/>
      <w:sz w:val="30"/>
    </w:rPr>
  </w:style>
  <w:style w:type="paragraph" w:customStyle="1" w:styleId="af3">
    <w:name w:val="报告正文"/>
    <w:basedOn w:val="a"/>
    <w:qFormat/>
    <w:pPr>
      <w:adjustRightInd w:val="0"/>
      <w:snapToGrid w:val="0"/>
      <w:spacing w:line="460" w:lineRule="atLeast"/>
      <w:ind w:firstLineChars="200" w:firstLine="200"/>
    </w:pPr>
    <w:rPr>
      <w:rFonts w:ascii="Times New Roman" w:eastAsia="宋体" w:hAnsi="Times New Roman" w:cs="Times New Roman"/>
      <w:sz w:val="24"/>
      <w:szCs w:val="21"/>
    </w:rPr>
  </w:style>
  <w:style w:type="character" w:customStyle="1" w:styleId="Char6">
    <w:name w:val="我 Char"/>
    <w:link w:val="af4"/>
    <w:locked/>
    <w:rPr>
      <w:rFonts w:ascii="宋体" w:eastAsia="宋体" w:hAnsi="宋体" w:cs="宋体"/>
      <w:sz w:val="24"/>
    </w:rPr>
  </w:style>
  <w:style w:type="paragraph" w:customStyle="1" w:styleId="af4">
    <w:name w:val="我"/>
    <w:basedOn w:val="a"/>
    <w:link w:val="Char6"/>
    <w:pPr>
      <w:spacing w:line="360" w:lineRule="auto"/>
      <w:ind w:firstLineChars="200" w:firstLine="640"/>
    </w:pPr>
    <w:rPr>
      <w:rFonts w:ascii="宋体" w:eastAsia="宋体" w:hAnsi="宋体" w:cs="宋体"/>
      <w:sz w:val="24"/>
    </w:rPr>
  </w:style>
  <w:style w:type="paragraph" w:customStyle="1" w:styleId="Af5">
    <w:name w:val="正文A"/>
    <w:basedOn w:val="a"/>
    <w:qFormat/>
    <w:pPr>
      <w:spacing w:line="520" w:lineRule="exact"/>
      <w:ind w:firstLineChars="200" w:firstLine="480"/>
    </w:pPr>
    <w:rPr>
      <w:rFonts w:ascii="宋体" w:eastAsia="宋体" w:hAnsi="宋体" w:cs="宋体"/>
      <w:sz w:val="24"/>
      <w:szCs w:val="20"/>
    </w:rPr>
  </w:style>
  <w:style w:type="paragraph" w:customStyle="1" w:styleId="af6">
    <w:name w:val="正文 楷体"/>
    <w:basedOn w:val="a"/>
    <w:qFormat/>
    <w:pPr>
      <w:spacing w:line="500" w:lineRule="exact"/>
      <w:ind w:firstLineChars="200" w:firstLine="200"/>
    </w:pPr>
    <w:rPr>
      <w:rFonts w:ascii="楷体_GB2312" w:eastAsia="楷体_GB2312" w:hAnsi="楷体_GB2312"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pPr>
      <w:widowControl w:val="0"/>
      <w:jc w:val="both"/>
    </w:pPr>
    <w:rPr>
      <w:kern w:val="2"/>
      <w:sz w:val="21"/>
      <w:szCs w:val="22"/>
    </w:rPr>
  </w:style>
  <w:style w:type="paragraph" w:styleId="1">
    <w:name w:val="heading 1"/>
    <w:basedOn w:val="a"/>
    <w:next w:val="a"/>
    <w:link w:val="1Char"/>
    <w:qFormat/>
    <w:pPr>
      <w:keepNext/>
      <w:keepLines/>
      <w:spacing w:before="100" w:after="100" w:line="600" w:lineRule="auto"/>
      <w:outlineLvl w:val="0"/>
    </w:pPr>
    <w:rPr>
      <w:rFonts w:ascii="Times New Roman" w:eastAsia="宋体" w:hAnsi="Times New Roman" w:cs="Times New Roman"/>
      <w:b/>
      <w:bCs/>
      <w:spacing w:val="-2"/>
      <w:kern w:val="44"/>
      <w:sz w:val="32"/>
      <w:szCs w:val="44"/>
    </w:rPr>
  </w:style>
  <w:style w:type="paragraph" w:styleId="2">
    <w:name w:val="heading 2"/>
    <w:basedOn w:val="a"/>
    <w:next w:val="a"/>
    <w:link w:val="2Char"/>
    <w:qFormat/>
    <w:pPr>
      <w:keepLines/>
      <w:spacing w:line="600" w:lineRule="auto"/>
      <w:outlineLvl w:val="1"/>
    </w:pPr>
    <w:rPr>
      <w:rFonts w:ascii="Times New Roman" w:eastAsia="宋体" w:hAnsi="Times New Roman" w:cs="Times New Roman"/>
      <w:b/>
      <w:bCs/>
      <w:kern w:val="0"/>
      <w:sz w:val="28"/>
      <w:szCs w:val="32"/>
    </w:rPr>
  </w:style>
  <w:style w:type="paragraph" w:styleId="3">
    <w:name w:val="heading 3"/>
    <w:basedOn w:val="a"/>
    <w:next w:val="a"/>
    <w:link w:val="3Char"/>
    <w:qFormat/>
    <w:pPr>
      <w:spacing w:line="480" w:lineRule="auto"/>
      <w:ind w:firstLineChars="200" w:firstLine="600"/>
      <w:outlineLvl w:val="2"/>
    </w:pPr>
    <w:rPr>
      <w:rFonts w:ascii="Times New Roman" w:eastAsia="宋体" w:hAnsi="Times New Roman" w:cs="Times New Roman"/>
      <w:b/>
      <w:sz w:val="24"/>
      <w:szCs w:val="24"/>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ody Text"/>
    <w:basedOn w:val="a"/>
    <w:link w:val="Char0"/>
    <w:uiPriority w:val="1"/>
    <w:qFormat/>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pPr>
      <w:spacing w:beforeAutospacing="1" w:afterAutospacing="1"/>
      <w:jc w:val="left"/>
    </w:pPr>
    <w:rPr>
      <w:rFonts w:cs="Times New Roman"/>
      <w:kern w:val="0"/>
      <w:sz w:val="24"/>
    </w:rPr>
  </w:style>
  <w:style w:type="paragraph" w:styleId="a9">
    <w:name w:val="annotation subject"/>
    <w:basedOn w:val="a3"/>
    <w:next w:val="a3"/>
    <w:link w:val="Char4"/>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qFormat/>
    <w:rPr>
      <w:color w:val="0000FF" w:themeColor="hyperlink"/>
      <w:u w:val="single"/>
    </w:rPr>
  </w:style>
  <w:style w:type="character" w:styleId="ac">
    <w:name w:val="annotation reference"/>
    <w:basedOn w:val="a0"/>
    <w:uiPriority w:val="99"/>
    <w:semiHidden/>
    <w:unhideWhenUsed/>
    <w:rPr>
      <w:sz w:val="21"/>
      <w:szCs w:val="21"/>
    </w:rPr>
  </w:style>
  <w:style w:type="character" w:styleId="ad">
    <w:name w:val="Placeholder Text"/>
    <w:basedOn w:val="a0"/>
    <w:uiPriority w:val="99"/>
    <w:semiHidden/>
    <w:rPr>
      <w:color w:val="808080"/>
    </w:rPr>
  </w:style>
  <w:style w:type="character" w:customStyle="1" w:styleId="Char1">
    <w:name w:val="批注框文本 Char"/>
    <w:basedOn w:val="a0"/>
    <w:link w:val="a5"/>
    <w:uiPriority w:val="99"/>
    <w:semiHidden/>
    <w:qFormat/>
    <w:rPr>
      <w:sz w:val="18"/>
      <w:szCs w:val="18"/>
    </w:rPr>
  </w:style>
  <w:style w:type="paragraph" w:styleId="ae">
    <w:name w:val="List Paragraph"/>
    <w:basedOn w:val="a"/>
    <w:uiPriority w:val="1"/>
    <w:qFormat/>
    <w:pPr>
      <w:ind w:firstLineChars="200" w:firstLine="420"/>
    </w:p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1Char">
    <w:name w:val="标题 1 Char"/>
    <w:basedOn w:val="a0"/>
    <w:link w:val="1"/>
    <w:qFormat/>
    <w:rPr>
      <w:rFonts w:ascii="Times New Roman" w:eastAsia="宋体" w:hAnsi="Times New Roman" w:cs="Times New Roman"/>
      <w:b/>
      <w:bCs/>
      <w:spacing w:val="-2"/>
      <w:kern w:val="44"/>
      <w:sz w:val="32"/>
      <w:szCs w:val="44"/>
    </w:rPr>
  </w:style>
  <w:style w:type="character" w:customStyle="1" w:styleId="2Char">
    <w:name w:val="标题 2 Char"/>
    <w:basedOn w:val="a0"/>
    <w:link w:val="2"/>
    <w:qFormat/>
    <w:rPr>
      <w:rFonts w:ascii="Times New Roman" w:eastAsia="宋体" w:hAnsi="Times New Roman" w:cs="Times New Roman"/>
      <w:b/>
      <w:bCs/>
      <w:kern w:val="0"/>
      <w:sz w:val="28"/>
      <w:szCs w:val="32"/>
    </w:rPr>
  </w:style>
  <w:style w:type="character" w:customStyle="1" w:styleId="3Char">
    <w:name w:val="标题 3 Char"/>
    <w:basedOn w:val="a0"/>
    <w:link w:val="3"/>
    <w:qFormat/>
    <w:rPr>
      <w:rFonts w:ascii="Times New Roman" w:eastAsia="宋体" w:hAnsi="Times New Roman" w:cs="Times New Roman"/>
      <w:b/>
      <w:sz w:val="24"/>
      <w:szCs w:val="24"/>
    </w:rPr>
  </w:style>
  <w:style w:type="character" w:customStyle="1" w:styleId="Char">
    <w:name w:val="批注文字 Char"/>
    <w:basedOn w:val="a0"/>
    <w:link w:val="a3"/>
    <w:uiPriority w:val="99"/>
    <w:semiHidden/>
  </w:style>
  <w:style w:type="character" w:customStyle="1" w:styleId="Char4">
    <w:name w:val="批注主题 Char"/>
    <w:basedOn w:val="Char"/>
    <w:link w:val="a9"/>
    <w:uiPriority w:val="99"/>
    <w:semiHidden/>
    <w:qFormat/>
    <w:rPr>
      <w:b/>
      <w:bCs/>
    </w:rPr>
  </w:style>
  <w:style w:type="character" w:customStyle="1" w:styleId="30">
    <w:name w:val="标题 3 字符"/>
    <w:rPr>
      <w:rFonts w:ascii="黑体" w:eastAsia="黑体"/>
      <w:kern w:val="2"/>
      <w:sz w:val="30"/>
      <w:lang w:val="en-US" w:eastAsia="zh-CN" w:bidi="ar-SA"/>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Arial" w:eastAsia="Arial" w:hAnsi="Arial" w:cs="Arial"/>
      <w:kern w:val="0"/>
      <w:sz w:val="22"/>
      <w:lang w:val="zh-CN" w:bidi="zh-CN"/>
    </w:rPr>
  </w:style>
  <w:style w:type="character" w:customStyle="1" w:styleId="Char0">
    <w:name w:val="正文文本 Char"/>
    <w:basedOn w:val="a0"/>
    <w:link w:val="a4"/>
    <w:uiPriority w:val="1"/>
    <w:qFormat/>
    <w:rPr>
      <w:rFonts w:ascii="宋体" w:eastAsia="宋体" w:hAnsi="宋体" w:cs="宋体"/>
      <w:kern w:val="0"/>
      <w:sz w:val="28"/>
      <w:szCs w:val="28"/>
      <w:lang w:val="zh-CN" w:bidi="zh-CN"/>
    </w:rPr>
  </w:style>
  <w:style w:type="character" w:customStyle="1" w:styleId="4Char">
    <w:name w:val="标题 4 Char"/>
    <w:basedOn w:val="a0"/>
    <w:link w:val="4"/>
    <w:uiPriority w:val="9"/>
    <w:semiHidden/>
    <w:rPr>
      <w:rFonts w:asciiTheme="majorHAnsi" w:eastAsiaTheme="majorEastAsia" w:hAnsiTheme="majorHAnsi" w:cstheme="majorBidi"/>
      <w:b/>
      <w:bCs/>
      <w:sz w:val="28"/>
      <w:szCs w:val="28"/>
    </w:rPr>
  </w:style>
  <w:style w:type="paragraph" w:customStyle="1" w:styleId="af">
    <w:name w:val="农贸市场表格表头"/>
    <w:basedOn w:val="a"/>
    <w:qFormat/>
    <w:pPr>
      <w:jc w:val="center"/>
    </w:pPr>
    <w:rPr>
      <w:rFonts w:ascii="Times New Roman" w:eastAsia="宋体" w:hAnsi="宋体" w:cs="仿宋_GB2312"/>
      <w:b/>
      <w:szCs w:val="21"/>
    </w:rPr>
  </w:style>
  <w:style w:type="paragraph" w:customStyle="1" w:styleId="af0">
    <w:name w:val="表头标题格式"/>
    <w:basedOn w:val="a"/>
    <w:qFormat/>
    <w:pPr>
      <w:widowControl/>
      <w:tabs>
        <w:tab w:val="left" w:pos="360"/>
        <w:tab w:val="left" w:pos="1620"/>
      </w:tabs>
      <w:spacing w:line="360" w:lineRule="auto"/>
      <w:jc w:val="center"/>
    </w:pPr>
    <w:rPr>
      <w:rFonts w:ascii="黑体" w:eastAsia="黑体" w:hAnsi="宋体" w:cs="Times New Roman"/>
      <w:b/>
      <w:bCs/>
      <w:kern w:val="0"/>
      <w:sz w:val="24"/>
      <w:szCs w:val="20"/>
    </w:rPr>
  </w:style>
  <w:style w:type="character" w:customStyle="1" w:styleId="Char5">
    <w:name w:val="样式 兴化美联正文样式 + 自动设置 Char"/>
    <w:link w:val="af1"/>
    <w:qFormat/>
    <w:locked/>
    <w:rPr>
      <w:rFonts w:ascii="宋体" w:eastAsia="宋体" w:hAnsi="宋体"/>
      <w:sz w:val="24"/>
    </w:rPr>
  </w:style>
  <w:style w:type="paragraph" w:customStyle="1" w:styleId="af1">
    <w:name w:val="样式 兴化美联正文样式 + 自动设置"/>
    <w:basedOn w:val="a"/>
    <w:link w:val="Char5"/>
    <w:qFormat/>
    <w:pPr>
      <w:widowControl/>
      <w:spacing w:line="360" w:lineRule="auto"/>
      <w:ind w:firstLineChars="200" w:firstLine="480"/>
      <w:jc w:val="left"/>
    </w:pPr>
    <w:rPr>
      <w:rFonts w:ascii="宋体" w:eastAsia="宋体" w:hAnsi="宋体"/>
      <w:sz w:val="24"/>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paragraph" w:customStyle="1" w:styleId="af2">
    <w:name w:val="标题二！！！！！"/>
    <w:basedOn w:val="2"/>
    <w:qFormat/>
    <w:pPr>
      <w:keepLines w:val="0"/>
      <w:widowControl/>
      <w:spacing w:before="120" w:after="120" w:line="500" w:lineRule="exact"/>
      <w:jc w:val="left"/>
    </w:pPr>
    <w:rPr>
      <w:rFonts w:ascii="楷体_GB2312" w:eastAsia="楷体_GB2312" w:hAnsi="楷体_GB2312"/>
      <w:sz w:val="30"/>
    </w:rPr>
  </w:style>
  <w:style w:type="paragraph" w:customStyle="1" w:styleId="af3">
    <w:name w:val="报告正文"/>
    <w:basedOn w:val="a"/>
    <w:qFormat/>
    <w:pPr>
      <w:adjustRightInd w:val="0"/>
      <w:snapToGrid w:val="0"/>
      <w:spacing w:line="460" w:lineRule="atLeast"/>
      <w:ind w:firstLineChars="200" w:firstLine="200"/>
    </w:pPr>
    <w:rPr>
      <w:rFonts w:ascii="Times New Roman" w:eastAsia="宋体" w:hAnsi="Times New Roman" w:cs="Times New Roman"/>
      <w:sz w:val="24"/>
      <w:szCs w:val="21"/>
    </w:rPr>
  </w:style>
  <w:style w:type="character" w:customStyle="1" w:styleId="Char6">
    <w:name w:val="我 Char"/>
    <w:link w:val="af4"/>
    <w:locked/>
    <w:rPr>
      <w:rFonts w:ascii="宋体" w:eastAsia="宋体" w:hAnsi="宋体" w:cs="宋体"/>
      <w:sz w:val="24"/>
    </w:rPr>
  </w:style>
  <w:style w:type="paragraph" w:customStyle="1" w:styleId="af4">
    <w:name w:val="我"/>
    <w:basedOn w:val="a"/>
    <w:link w:val="Char6"/>
    <w:pPr>
      <w:spacing w:line="360" w:lineRule="auto"/>
      <w:ind w:firstLineChars="200" w:firstLine="640"/>
    </w:pPr>
    <w:rPr>
      <w:rFonts w:ascii="宋体" w:eastAsia="宋体" w:hAnsi="宋体" w:cs="宋体"/>
      <w:sz w:val="24"/>
    </w:rPr>
  </w:style>
  <w:style w:type="paragraph" w:customStyle="1" w:styleId="Af5">
    <w:name w:val="正文A"/>
    <w:basedOn w:val="a"/>
    <w:qFormat/>
    <w:pPr>
      <w:spacing w:line="520" w:lineRule="exact"/>
      <w:ind w:firstLineChars="200" w:firstLine="480"/>
    </w:pPr>
    <w:rPr>
      <w:rFonts w:ascii="宋体" w:eastAsia="宋体" w:hAnsi="宋体" w:cs="宋体"/>
      <w:sz w:val="24"/>
      <w:szCs w:val="20"/>
    </w:rPr>
  </w:style>
  <w:style w:type="paragraph" w:customStyle="1" w:styleId="af6">
    <w:name w:val="正文 楷体"/>
    <w:basedOn w:val="a"/>
    <w:qFormat/>
    <w:pPr>
      <w:spacing w:line="500" w:lineRule="exact"/>
      <w:ind w:firstLineChars="200" w:firstLine="200"/>
    </w:pPr>
    <w:rPr>
      <w:rFonts w:ascii="楷体_GB2312" w:eastAsia="楷体_GB2312" w:hAnsi="楷体_GB2312"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image" Target="media/image24.jpeg"/><Relationship Id="rId47" Type="http://schemas.openxmlformats.org/officeDocument/2006/relationships/image" Target="media/image29.png"/><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oleObject" Target="embeddings/oleObject5.bin"/><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emf"/><Relationship Id="rId40" Type="http://schemas.openxmlformats.org/officeDocument/2006/relationships/oleObject" Target="embeddings/oleObject6.bin"/><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4.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emf"/><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EDF42D-CD7C-497A-95A4-05571303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36477</Words>
  <Characters>207923</Characters>
  <Application>Microsoft Office Word</Application>
  <DocSecurity>0</DocSecurity>
  <Lines>1732</Lines>
  <Paragraphs>487</Paragraphs>
  <ScaleCrop>false</ScaleCrop>
  <Company>Microsoft</Company>
  <LinksUpToDate>false</LinksUpToDate>
  <CharactersWithSpaces>243913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9</cp:revision>
  <dcterms:created xsi:type="dcterms:W3CDTF">2020-05-26T07:59:00Z</dcterms:created>
  <dcterms:modified xsi:type="dcterms:W3CDTF">2020-05-27T02:31:00Z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