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right="0"/>
        <w:jc w:val="center"/>
        <w:outlineLvl w:val="9"/>
        <w:rPr>
          <w:rFonts w:hint="eastAsia" w:ascii="黑体" w:hAnsi="黑体" w:eastAsia="黑体" w:cs="黑体"/>
          <w:b/>
          <w:bCs/>
          <w:color w:val="auto"/>
          <w:sz w:val="44"/>
          <w:szCs w:val="44"/>
        </w:rPr>
      </w:pPr>
      <w:bookmarkStart w:id="135" w:name="_GoBack"/>
      <w:bookmarkEnd w:id="135"/>
      <w:r>
        <w:rPr>
          <w:rFonts w:hint="default" w:ascii="Times New Roman" w:hAnsi="Times New Roman" w:eastAsia="宋体" w:cs="Times New Roman"/>
          <w:b/>
          <w:color w:val="auto"/>
          <w:sz w:val="44"/>
          <w:szCs w:val="44"/>
        </w:rPr>
        <w:t xml:space="preserve">                                                                                                                                                                                                                                                                                                                    </w:t>
      </w:r>
      <w:r>
        <w:rPr>
          <w:rFonts w:hint="eastAsia" w:ascii="黑体" w:hAnsi="黑体" w:eastAsia="黑体" w:cs="黑体"/>
          <w:b/>
          <w:iCs/>
          <w:color w:val="auto"/>
          <w:sz w:val="44"/>
          <w:szCs w:val="44"/>
        </w:rPr>
        <w:t>新疆哈密风电基地二期三塘湖</w:t>
      </w:r>
      <w:r>
        <w:rPr>
          <w:rFonts w:hint="eastAsia" w:ascii="黑体" w:hAnsi="黑体" w:eastAsia="黑体" w:cs="黑体"/>
          <w:b/>
          <w:iCs/>
          <w:color w:val="auto"/>
          <w:sz w:val="44"/>
          <w:szCs w:val="44"/>
          <w:lang w:val="en-US" w:eastAsia="zh-CN"/>
        </w:rPr>
        <w:t xml:space="preserve">          </w:t>
      </w:r>
      <w:r>
        <w:rPr>
          <w:rFonts w:hint="eastAsia" w:ascii="黑体" w:hAnsi="黑体" w:eastAsia="黑体" w:cs="黑体"/>
          <w:b/>
          <w:iCs/>
          <w:color w:val="auto"/>
          <w:sz w:val="44"/>
          <w:szCs w:val="44"/>
        </w:rPr>
        <w:t>第三风电场B区200MW项目</w:t>
      </w:r>
    </w:p>
    <w:p>
      <w:pPr>
        <w:ind w:right="0"/>
        <w:jc w:val="center"/>
        <w:outlineLvl w:val="9"/>
        <w:rPr>
          <w:rFonts w:hint="eastAsia" w:ascii="黑体" w:hAnsi="黑体" w:eastAsia="黑体" w:cs="黑体"/>
          <w:b/>
          <w:bCs/>
          <w:color w:val="auto"/>
          <w:sz w:val="44"/>
          <w:szCs w:val="44"/>
        </w:rPr>
      </w:pPr>
      <w:r>
        <w:rPr>
          <w:rFonts w:hint="eastAsia" w:ascii="黑体" w:hAnsi="黑体" w:eastAsia="黑体" w:cs="黑体"/>
          <w:b/>
          <w:iCs/>
          <w:color w:val="auto"/>
          <w:sz w:val="44"/>
          <w:szCs w:val="44"/>
        </w:rPr>
        <w:t>竣工环境保护验收</w:t>
      </w:r>
      <w:r>
        <w:rPr>
          <w:rFonts w:hint="eastAsia" w:ascii="黑体" w:hAnsi="黑体" w:eastAsia="黑体" w:cs="黑体"/>
          <w:b/>
          <w:color w:val="auto"/>
          <w:sz w:val="44"/>
          <w:szCs w:val="44"/>
          <w:lang w:val="en-US" w:eastAsia="zh-CN"/>
        </w:rPr>
        <w:t>调查</w:t>
      </w:r>
      <w:r>
        <w:rPr>
          <w:rFonts w:hint="eastAsia" w:ascii="黑体" w:hAnsi="黑体" w:eastAsia="黑体" w:cs="黑体"/>
          <w:b/>
          <w:color w:val="auto"/>
          <w:sz w:val="44"/>
          <w:szCs w:val="44"/>
        </w:rPr>
        <w:t xml:space="preserve">报告 </w:t>
      </w:r>
    </w:p>
    <w:p>
      <w:pPr>
        <w:ind w:right="0"/>
        <w:jc w:val="center"/>
        <w:outlineLvl w:val="9"/>
        <w:rPr>
          <w:rFonts w:hint="default" w:ascii="Times New Roman" w:hAnsi="Times New Roman" w:eastAsia="宋体" w:cs="Times New Roman"/>
          <w:b/>
          <w:color w:val="auto"/>
          <w:sz w:val="36"/>
          <w:szCs w:val="36"/>
        </w:rPr>
      </w:pPr>
      <w:r>
        <w:rPr>
          <w:rFonts w:hint="default" w:ascii="Times New Roman" w:hAnsi="Times New Roman" w:eastAsia="宋体" w:cs="Times New Roman"/>
          <w:b/>
          <w:color w:val="auto"/>
          <w:sz w:val="36"/>
          <w:szCs w:val="36"/>
        </w:rPr>
        <w:t>新天蓝蓝验字（2017）第</w:t>
      </w:r>
      <w:r>
        <w:rPr>
          <w:rFonts w:hint="default" w:ascii="Times New Roman" w:hAnsi="Times New Roman" w:eastAsia="宋体" w:cs="Times New Roman"/>
          <w:b/>
          <w:color w:val="auto"/>
          <w:sz w:val="36"/>
          <w:szCs w:val="36"/>
          <w:lang w:val="en-US" w:eastAsia="zh-CN"/>
        </w:rPr>
        <w:t>333</w:t>
      </w:r>
      <w:r>
        <w:rPr>
          <w:rFonts w:hint="default" w:ascii="Times New Roman" w:hAnsi="Times New Roman" w:eastAsia="宋体" w:cs="Times New Roman"/>
          <w:b/>
          <w:color w:val="auto"/>
          <w:sz w:val="36"/>
          <w:szCs w:val="36"/>
        </w:rPr>
        <w:t xml:space="preserve">号 </w:t>
      </w:r>
    </w:p>
    <w:p>
      <w:pPr>
        <w:ind w:right="0"/>
        <w:jc w:val="center"/>
        <w:outlineLvl w:val="9"/>
        <w:rPr>
          <w:rFonts w:hint="default" w:ascii="Times New Roman" w:hAnsi="Times New Roman" w:eastAsia="宋体" w:cs="Times New Roman"/>
          <w:b/>
          <w:color w:val="auto"/>
          <w:sz w:val="36"/>
          <w:szCs w:val="36"/>
        </w:rPr>
      </w:pPr>
      <w:r>
        <w:rPr>
          <w:rFonts w:hint="default" w:ascii="Times New Roman" w:hAnsi="Times New Roman" w:eastAsia="宋体" w:cs="Times New Roman"/>
          <w:b/>
          <w:color w:val="auto"/>
          <w:sz w:val="36"/>
          <w:szCs w:val="36"/>
        </w:rPr>
        <w:t xml:space="preserve"> </w:t>
      </w:r>
    </w:p>
    <w:p>
      <w:pPr>
        <w:pStyle w:val="2"/>
        <w:ind w:right="0"/>
        <w:jc w:val="center"/>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sz w:val="24"/>
          <w:szCs w:val="24"/>
          <w:lang w:val="en-US" w:eastAsia="zh-CN" w:bidi="ar-SA"/>
        </w:rPr>
        <w:pict>
          <v:shape id="图片 118" o:spid="_x0000_s1031" alt="200MW照片IMG_20171114_114914" type="#_x0000_t75" style="height:320.45pt;width:411.8pt;rotation:0f;" o:ole="f" fillcolor="#FFFFFF" filled="f" o:preferrelative="t" stroked="f" coordorigin="0,0" coordsize="21600,21600">
            <v:fill on="f" color2="#FFFFFF" focus="0%"/>
            <v:imagedata gain="65536f" blacklevel="0f" gamma="0" o:title="200MW照片IMG_20171114_114914" r:id="rId12"/>
            <o:lock v:ext="edit" position="f" selection="f" grouping="f" rotation="f" cropping="f" text="f" aspectratio="t"/>
            <w10:wrap type="none"/>
            <w10:anchorlock/>
          </v:shape>
        </w:pict>
      </w:r>
    </w:p>
    <w:p>
      <w:pPr>
        <w:pStyle w:val="2"/>
        <w:ind w:right="0"/>
        <w:outlineLvl w:val="9"/>
        <w:rPr>
          <w:rFonts w:hint="default" w:ascii="Times New Roman" w:hAnsi="Times New Roman" w:eastAsia="宋体" w:cs="Times New Roman"/>
          <w:color w:val="auto"/>
        </w:rPr>
      </w:pPr>
    </w:p>
    <w:p>
      <w:pPr>
        <w:pStyle w:val="2"/>
        <w:ind w:right="0"/>
        <w:outlineLvl w:val="9"/>
        <w:rPr>
          <w:rFonts w:hint="default" w:ascii="Times New Roman" w:hAnsi="Times New Roman" w:eastAsia="宋体" w:cs="Times New Roman"/>
          <w:color w:val="auto"/>
        </w:rPr>
      </w:pPr>
    </w:p>
    <w:p>
      <w:pPr>
        <w:widowControl w:val="0"/>
        <w:wordWrap/>
        <w:adjustRightInd/>
        <w:snapToGrid/>
        <w:spacing w:line="360" w:lineRule="auto"/>
        <w:ind w:left="0" w:leftChars="0" w:right="0" w:firstLine="0" w:firstLineChars="0"/>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b/>
          <w:color w:val="auto"/>
          <w:sz w:val="36"/>
          <w:szCs w:val="36"/>
        </w:rPr>
        <w:t>委托单位：</w:t>
      </w:r>
      <w:r>
        <w:rPr>
          <w:rFonts w:hint="eastAsia" w:ascii="Times New Roman" w:hAnsi="Times New Roman" w:eastAsia="宋体" w:cs="Times New Roman"/>
          <w:b/>
          <w:color w:val="auto"/>
          <w:sz w:val="36"/>
          <w:szCs w:val="36"/>
          <w:lang w:eastAsia="zh-CN"/>
        </w:rPr>
        <w:t>龙源巴里坤风力发电有限公司</w:t>
      </w:r>
    </w:p>
    <w:p>
      <w:pPr>
        <w:ind w:right="0"/>
        <w:jc w:val="both"/>
        <w:outlineLvl w:val="9"/>
        <w:rPr>
          <w:rFonts w:hint="default" w:ascii="Times New Roman" w:hAnsi="Times New Roman" w:eastAsia="宋体" w:cs="Times New Roman"/>
          <w:b/>
          <w:color w:val="auto"/>
          <w:sz w:val="36"/>
          <w:szCs w:val="36"/>
        </w:rPr>
      </w:pPr>
    </w:p>
    <w:p>
      <w:pPr>
        <w:ind w:right="0"/>
        <w:jc w:val="center"/>
        <w:outlineLvl w:val="9"/>
        <w:rPr>
          <w:rFonts w:hint="default" w:ascii="Times New Roman" w:hAnsi="Times New Roman" w:eastAsia="宋体" w:cs="Times New Roman"/>
          <w:b/>
          <w:color w:val="auto"/>
          <w:sz w:val="36"/>
          <w:szCs w:val="36"/>
        </w:rPr>
      </w:pPr>
      <w:r>
        <w:rPr>
          <w:rFonts w:hint="default" w:ascii="Times New Roman" w:hAnsi="Times New Roman" w:eastAsia="宋体" w:cs="Times New Roman"/>
          <w:b/>
          <w:color w:val="auto"/>
          <w:sz w:val="36"/>
          <w:szCs w:val="36"/>
        </w:rPr>
        <w:t>新疆天蓝蓝环保技术服务有限公司</w:t>
      </w:r>
    </w:p>
    <w:p>
      <w:pPr>
        <w:pStyle w:val="13"/>
        <w:spacing w:line="360" w:lineRule="auto"/>
        <w:ind w:left="132" w:leftChars="47" w:right="0"/>
        <w:jc w:val="center"/>
        <w:outlineLvl w:val="9"/>
        <w:rPr>
          <w:rFonts w:hint="default" w:ascii="Times New Roman" w:hAnsi="Times New Roman" w:eastAsia="宋体" w:cs="Times New Roman"/>
          <w:b/>
          <w:color w:val="auto"/>
          <w:kern w:val="0"/>
          <w:sz w:val="32"/>
          <w:szCs w:val="32"/>
        </w:rPr>
        <w:sectPr>
          <w:headerReference r:id="rId4" w:type="default"/>
          <w:footerReference r:id="rId6" w:type="default"/>
          <w:headerReference r:id="rId5" w:type="even"/>
          <w:footerReference r:id="rId7" w:type="even"/>
          <w:pgSz w:w="11850" w:h="16783"/>
          <w:pgMar w:top="1497" w:right="1797" w:bottom="1383" w:left="1797" w:header="964" w:footer="851" w:gutter="0"/>
          <w:pgNumType w:start="1"/>
          <w:cols w:space="720" w:num="1"/>
          <w:titlePg/>
          <w:docGrid w:type="lines" w:linePitch="312" w:charSpace="0"/>
        </w:sectPr>
      </w:pPr>
      <w:r>
        <w:rPr>
          <w:rFonts w:hint="default" w:ascii="Times New Roman" w:hAnsi="Times New Roman" w:eastAsia="宋体" w:cs="Times New Roman"/>
          <w:b/>
          <w:color w:val="auto"/>
          <w:kern w:val="0"/>
          <w:sz w:val="32"/>
          <w:szCs w:val="32"/>
        </w:rPr>
        <w:t xml:space="preserve"> 二〇一七年</w:t>
      </w:r>
      <w:r>
        <w:rPr>
          <w:rFonts w:hint="default" w:ascii="Times New Roman" w:hAnsi="Times New Roman" w:eastAsia="宋体" w:cs="Times New Roman"/>
          <w:b/>
          <w:color w:val="auto"/>
          <w:kern w:val="0"/>
          <w:sz w:val="32"/>
          <w:szCs w:val="32"/>
          <w:lang w:val="en-US" w:eastAsia="zh-CN"/>
        </w:rPr>
        <w:t>十二</w:t>
      </w:r>
      <w:r>
        <w:rPr>
          <w:rFonts w:hint="default" w:ascii="Times New Roman" w:hAnsi="Times New Roman" w:eastAsia="宋体" w:cs="Times New Roman"/>
          <w:b/>
          <w:color w:val="auto"/>
          <w:kern w:val="0"/>
          <w:sz w:val="32"/>
          <w:szCs w:val="32"/>
        </w:rPr>
        <w:t>月</w:t>
      </w:r>
    </w:p>
    <w:p>
      <w:pPr>
        <w:pStyle w:val="13"/>
        <w:spacing w:line="360" w:lineRule="auto"/>
        <w:ind w:left="132" w:leftChars="47" w:right="0"/>
        <w:jc w:val="center"/>
        <w:outlineLvl w:val="9"/>
        <w:rPr>
          <w:rFonts w:hint="default" w:ascii="Times New Roman" w:hAnsi="Times New Roman" w:eastAsia="宋体" w:cs="Times New Roman"/>
          <w:b/>
          <w:color w:val="auto"/>
          <w:szCs w:val="28"/>
        </w:rPr>
        <w:sectPr>
          <w:footerReference r:id="rId9" w:type="first"/>
          <w:footerReference r:id="rId8" w:type="default"/>
          <w:pgSz w:w="11850" w:h="16783"/>
          <w:pgMar w:top="1497" w:right="1797" w:bottom="1383" w:left="1797" w:header="964" w:footer="851" w:gutter="0"/>
          <w:pgNumType w:fmt="upperRoman" w:start="1"/>
          <w:cols w:space="720" w:num="1"/>
          <w:docGrid w:type="lines" w:linePitch="312" w:charSpace="0"/>
        </w:sectPr>
      </w:pPr>
      <w:r>
        <w:rPr>
          <w:rFonts w:hint="default" w:ascii="Times New Roman" w:hAnsi="Times New Roman" w:eastAsia="宋体" w:cs="Times New Roman"/>
          <w:b/>
          <w:color w:val="auto"/>
          <w:kern w:val="2"/>
          <w:sz w:val="28"/>
          <w:szCs w:val="28"/>
          <w:lang w:val="en-US" w:eastAsia="zh-CN" w:bidi="ar-SA"/>
        </w:rPr>
        <w:pict>
          <v:shape id="图片 43" o:spid="_x0000_s1032" alt="资质（小版）" type="#_x0000_t75" style="position:absolute;left:0;margin-left:82.95pt;margin-top:92.6pt;height:615.45pt;width:424.95pt;mso-position-horizontal-relative:page;mso-position-vertical-relative:page;mso-wrap-distance-left:9pt;mso-wrap-distance-right:9pt;rotation:0f;z-index:-251658240;" o:ole="f" fillcolor="#FFFFFF" filled="f" o:preferrelative="t" stroked="f" coordorigin="0,0" coordsize="21600,21600" wrapcoords="21592 -2 0 0 0 21600 21592 21602 8 21602 21600 21600 21600 0 8 -2 21592 -2">
            <v:fill on="f" color2="#FFFFFF" focus="0%"/>
            <v:imagedata gain="65536f" blacklevel="0f" gamma="0" o:title="资质（小版）" r:id="rId13"/>
            <o:lock v:ext="edit" position="f" selection="f" grouping="f" rotation="f" cropping="f" text="f" aspectratio="t"/>
            <w10:wrap type="tight"/>
          </v:shape>
        </w:pict>
      </w:r>
    </w:p>
    <w:p>
      <w:pPr>
        <w:ind w:right="0"/>
        <w:outlineLvl w:val="9"/>
        <w:rPr>
          <w:rFonts w:hint="default" w:ascii="Times New Roman" w:hAnsi="Times New Roman" w:eastAsia="宋体" w:cs="Times New Roman"/>
          <w:b/>
          <w:color w:val="auto"/>
          <w:szCs w:val="28"/>
        </w:rPr>
      </w:pPr>
      <w:r>
        <w:rPr>
          <w:rFonts w:hint="default" w:ascii="Times New Roman" w:hAnsi="Times New Roman" w:eastAsia="宋体" w:cs="Times New Roman"/>
          <w:b/>
          <w:color w:val="auto"/>
          <w:kern w:val="2"/>
          <w:sz w:val="28"/>
          <w:szCs w:val="28"/>
          <w:lang w:val="en-US" w:eastAsia="zh-CN" w:bidi="ar-SA"/>
        </w:rPr>
        <w:pict>
          <v:shape id="图片 27" o:spid="_x0000_s1033" type="#_x0000_t75" style="height:570.85pt;width:416.2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default" w:ascii="Times New Roman" w:hAnsi="Times New Roman" w:eastAsia="宋体" w:cs="Times New Roman"/>
          <w:b/>
          <w:color w:val="auto"/>
          <w:kern w:val="2"/>
          <w:sz w:val="28"/>
          <w:szCs w:val="28"/>
          <w:lang w:val="en-US" w:eastAsia="zh-CN" w:bidi="ar-SA"/>
        </w:rPr>
        <w:pict>
          <v:shape id="图片 28" o:spid="_x0000_s1034" type="#_x0000_t75" style="height:570.75pt;width:416.2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hint="default" w:ascii="Times New Roman" w:hAnsi="Times New Roman" w:eastAsia="宋体" w:cs="Times New Roman"/>
          <w:b/>
          <w:color w:val="auto"/>
          <w:kern w:val="2"/>
          <w:sz w:val="28"/>
          <w:szCs w:val="28"/>
          <w:lang w:val="en-US" w:eastAsia="zh-CN" w:bidi="ar-SA"/>
        </w:rPr>
        <w:pict>
          <v:shape id="图片 29" o:spid="_x0000_s1035" type="#_x0000_t75" style="height:604.45pt;width:415.5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ind w:right="0"/>
        <w:outlineLvl w:val="9"/>
        <w:rPr>
          <w:rFonts w:hint="default" w:ascii="Times New Roman" w:hAnsi="Times New Roman" w:eastAsia="宋体" w:cs="Times New Roman"/>
          <w:color w:val="auto"/>
          <w:sz w:val="30"/>
          <w:szCs w:val="30"/>
        </w:rPr>
      </w:pPr>
    </w:p>
    <w:p>
      <w:pPr>
        <w:pStyle w:val="2"/>
        <w:ind w:right="0"/>
        <w:outlineLvl w:val="9"/>
        <w:rPr>
          <w:rFonts w:hint="default" w:ascii="Times New Roman" w:hAnsi="Times New Roman" w:eastAsia="宋体" w:cs="Times New Roman"/>
          <w:color w:val="auto"/>
        </w:rPr>
      </w:pPr>
    </w:p>
    <w:p>
      <w:pPr>
        <w:ind w:right="0"/>
        <w:outlineLvl w:val="9"/>
        <w:rPr>
          <w:rFonts w:hint="default" w:ascii="Times New Roman" w:hAnsi="Times New Roman" w:eastAsia="宋体" w:cs="Times New Roman"/>
          <w:color w:val="auto"/>
          <w:sz w:val="30"/>
          <w:szCs w:val="30"/>
        </w:rPr>
      </w:pPr>
    </w:p>
    <w:p>
      <w:pPr>
        <w:tabs>
          <w:tab w:val="right" w:pos="8306"/>
        </w:tabs>
        <w:spacing w:line="480" w:lineRule="auto"/>
        <w:ind w:left="2700" w:leftChars="107" w:right="0" w:hanging="2400" w:hangingChars="800"/>
        <w:outlineLvl w:val="9"/>
        <w:rPr>
          <w:rFonts w:hint="default" w:ascii="Times New Roman" w:hAnsi="Times New Roman" w:eastAsia="宋体" w:cs="Times New Roman"/>
          <w:bCs/>
          <w:color w:val="auto"/>
          <w:sz w:val="30"/>
          <w:szCs w:val="30"/>
        </w:rPr>
      </w:pPr>
      <w:r>
        <w:rPr>
          <w:rFonts w:hint="default" w:ascii="Times New Roman" w:hAnsi="Times New Roman" w:eastAsia="宋体" w:cs="Times New Roman"/>
          <w:color w:val="auto"/>
          <w:sz w:val="30"/>
          <w:szCs w:val="30"/>
        </w:rPr>
        <w:t>项  目  名  称：</w:t>
      </w:r>
      <w:r>
        <w:rPr>
          <w:rFonts w:hint="default" w:ascii="Times New Roman" w:hAnsi="Times New Roman" w:eastAsia="宋体" w:cs="Times New Roman"/>
          <w:color w:val="auto"/>
          <w:sz w:val="30"/>
          <w:szCs w:val="30"/>
          <w:lang w:eastAsia="zh-CN"/>
        </w:rPr>
        <w:t>新疆哈密风电基地二期三塘湖第三风电场B 区200MW项目</w:t>
      </w:r>
    </w:p>
    <w:p>
      <w:pPr>
        <w:spacing w:line="480" w:lineRule="auto"/>
        <w:ind w:right="0" w:firstLine="300" w:firstLineChars="100"/>
        <w:outlineLvl w:val="9"/>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建  设  单  位：</w:t>
      </w:r>
      <w:r>
        <w:rPr>
          <w:rFonts w:hint="eastAsia" w:ascii="Times New Roman" w:hAnsi="Times New Roman" w:eastAsia="宋体" w:cs="Times New Roman"/>
          <w:color w:val="auto"/>
          <w:sz w:val="30"/>
          <w:szCs w:val="30"/>
          <w:lang w:eastAsia="zh-CN"/>
        </w:rPr>
        <w:t>龙源巴里坤风力发电有限公司</w:t>
      </w:r>
    </w:p>
    <w:p>
      <w:pPr>
        <w:spacing w:line="480" w:lineRule="auto"/>
        <w:ind w:right="0" w:firstLine="300" w:firstLineChars="100"/>
        <w:outlineLvl w:val="9"/>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承  担  单  位：新疆天蓝蓝环保技术服务有限公司</w:t>
      </w:r>
    </w:p>
    <w:p>
      <w:pPr>
        <w:spacing w:line="600" w:lineRule="exact"/>
        <w:ind w:right="0" w:firstLine="300" w:firstLineChars="100"/>
        <w:outlineLvl w:val="9"/>
        <w:rPr>
          <w:rFonts w:hint="default" w:ascii="Times New Roman" w:hAnsi="Times New Roman" w:eastAsia="宋体" w:cs="Times New Roman"/>
          <w:color w:val="auto"/>
          <w:sz w:val="30"/>
          <w:szCs w:val="30"/>
        </w:rPr>
      </w:pPr>
      <w:bookmarkStart w:id="0" w:name="_Toc428897291"/>
      <w:bookmarkStart w:id="1" w:name="_Toc426451481"/>
      <w:bookmarkStart w:id="2" w:name="_Toc162332040"/>
      <w:bookmarkStart w:id="3" w:name="_Toc263845857"/>
      <w:r>
        <w:rPr>
          <w:rFonts w:hint="default" w:ascii="Times New Roman" w:hAnsi="Times New Roman" w:eastAsia="宋体" w:cs="Times New Roman"/>
          <w:color w:val="auto"/>
          <w:sz w:val="30"/>
          <w:szCs w:val="30"/>
        </w:rPr>
        <w:t>承担单位负责人：陈元强</w:t>
      </w:r>
    </w:p>
    <w:p>
      <w:pPr>
        <w:spacing w:line="600" w:lineRule="exact"/>
        <w:ind w:right="0" w:firstLine="300" w:firstLineChars="100"/>
        <w:outlineLvl w:val="9"/>
        <w:rPr>
          <w:rFonts w:hint="default" w:ascii="Times New Roman" w:hAnsi="Times New Roman" w:eastAsia="宋体" w:cs="Times New Roman"/>
          <w:color w:val="auto"/>
          <w:sz w:val="30"/>
          <w:szCs w:val="30"/>
          <w:lang w:val="en-UK"/>
        </w:rPr>
      </w:pPr>
      <w:r>
        <w:rPr>
          <w:rFonts w:hint="default" w:ascii="Times New Roman" w:hAnsi="Times New Roman" w:eastAsia="宋体" w:cs="Times New Roman"/>
          <w:color w:val="auto"/>
          <w:sz w:val="30"/>
          <w:szCs w:val="30"/>
        </w:rPr>
        <w:t>项 目 负 责 人：邢  建（验监证字第200503128号）</w:t>
      </w:r>
    </w:p>
    <w:p>
      <w:pPr>
        <w:spacing w:line="600" w:lineRule="exact"/>
        <w:ind w:right="0" w:firstLine="300" w:firstLineChars="100"/>
        <w:outlineLvl w:val="9"/>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rPr>
        <w:t>报  告  编  写：</w:t>
      </w:r>
      <w:r>
        <w:rPr>
          <w:rFonts w:hint="default" w:ascii="Times New Roman" w:hAnsi="Times New Roman" w:eastAsia="宋体" w:cs="Times New Roman"/>
          <w:color w:val="auto"/>
          <w:sz w:val="30"/>
          <w:szCs w:val="30"/>
          <w:lang w:eastAsia="zh-CN"/>
        </w:rPr>
        <w:t>王羊超</w:t>
      </w:r>
    </w:p>
    <w:p>
      <w:pPr>
        <w:spacing w:line="600" w:lineRule="exact"/>
        <w:ind w:right="0" w:firstLine="300" w:firstLineChars="100"/>
        <w:outlineLvl w:val="9"/>
        <w:rPr>
          <w:rFonts w:hint="default" w:ascii="Times New Roman" w:hAnsi="Times New Roman" w:eastAsia="宋体" w:cs="Times New Roman"/>
          <w:color w:val="auto"/>
          <w:sz w:val="30"/>
          <w:szCs w:val="30"/>
          <w:lang w:val="en-UK"/>
        </w:rPr>
      </w:pPr>
      <w:r>
        <w:rPr>
          <w:rFonts w:hint="default" w:ascii="Times New Roman" w:hAnsi="Times New Roman" w:eastAsia="宋体" w:cs="Times New Roman"/>
          <w:color w:val="auto"/>
          <w:sz w:val="30"/>
          <w:szCs w:val="30"/>
        </w:rPr>
        <w:t>报  告  审  核：邢  建（验监证字第200503128号）</w:t>
      </w:r>
    </w:p>
    <w:p>
      <w:pPr>
        <w:spacing w:line="600" w:lineRule="exact"/>
        <w:ind w:right="0" w:firstLine="300" w:firstLineChars="100"/>
        <w:outlineLvl w:val="9"/>
        <w:rPr>
          <w:rFonts w:hint="default" w:ascii="Times New Roman" w:hAnsi="Times New Roman" w:eastAsia="宋体" w:cs="Times New Roman"/>
          <w:color w:val="auto"/>
          <w:sz w:val="30"/>
          <w:szCs w:val="30"/>
        </w:rPr>
      </w:pPr>
    </w:p>
    <w:p>
      <w:pPr>
        <w:spacing w:line="600" w:lineRule="exact"/>
        <w:ind w:right="0"/>
        <w:outlineLvl w:val="9"/>
        <w:rPr>
          <w:rFonts w:hint="default" w:ascii="Times New Roman" w:hAnsi="Times New Roman" w:eastAsia="宋体" w:cs="Times New Roman"/>
          <w:color w:val="auto"/>
          <w:sz w:val="30"/>
          <w:szCs w:val="30"/>
        </w:rPr>
      </w:pPr>
    </w:p>
    <w:p>
      <w:pPr>
        <w:spacing w:line="600" w:lineRule="exact"/>
        <w:ind w:right="0"/>
        <w:outlineLvl w:val="9"/>
        <w:rPr>
          <w:rFonts w:hint="default" w:ascii="Times New Roman" w:hAnsi="Times New Roman" w:eastAsia="宋体" w:cs="Times New Roman"/>
          <w:color w:val="auto"/>
          <w:sz w:val="30"/>
          <w:szCs w:val="30"/>
        </w:rPr>
      </w:pPr>
    </w:p>
    <w:p>
      <w:pPr>
        <w:pStyle w:val="2"/>
        <w:spacing w:line="600" w:lineRule="exact"/>
        <w:ind w:right="0"/>
        <w:outlineLvl w:val="9"/>
        <w:rPr>
          <w:rFonts w:hint="default" w:ascii="Times New Roman" w:hAnsi="Times New Roman" w:eastAsia="宋体" w:cs="Times New Roman"/>
          <w:color w:val="auto"/>
          <w:sz w:val="30"/>
          <w:szCs w:val="30"/>
        </w:rPr>
      </w:pPr>
    </w:p>
    <w:p>
      <w:pPr>
        <w:ind w:right="0"/>
        <w:outlineLvl w:val="9"/>
        <w:rPr>
          <w:rFonts w:hint="default" w:ascii="Times New Roman" w:hAnsi="Times New Roman" w:eastAsia="宋体" w:cs="Times New Roman"/>
          <w:color w:val="auto"/>
        </w:rPr>
      </w:pPr>
    </w:p>
    <w:p>
      <w:pPr>
        <w:spacing w:line="600" w:lineRule="exact"/>
        <w:ind w:right="0"/>
        <w:outlineLvl w:val="9"/>
        <w:rPr>
          <w:rFonts w:hint="default" w:ascii="Times New Roman" w:hAnsi="Times New Roman" w:eastAsia="宋体" w:cs="Times New Roman"/>
          <w:color w:val="auto"/>
        </w:rPr>
      </w:pPr>
    </w:p>
    <w:p>
      <w:pPr>
        <w:spacing w:line="600" w:lineRule="exact"/>
        <w:ind w:right="0"/>
        <w:outlineLvl w:val="9"/>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 xml:space="preserve">                </w:t>
      </w:r>
    </w:p>
    <w:p>
      <w:pPr>
        <w:spacing w:line="600" w:lineRule="exact"/>
        <w:ind w:right="0" w:firstLine="300" w:firstLineChars="100"/>
        <w:outlineLvl w:val="9"/>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新疆天蓝蓝环保技术服务有限公司</w:t>
      </w:r>
    </w:p>
    <w:p>
      <w:pPr>
        <w:spacing w:line="600" w:lineRule="exact"/>
        <w:ind w:right="0" w:firstLine="300" w:firstLineChars="100"/>
        <w:outlineLvl w:val="9"/>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电 话：0991-4631810</w:t>
      </w:r>
    </w:p>
    <w:p>
      <w:pPr>
        <w:spacing w:line="600" w:lineRule="exact"/>
        <w:ind w:right="0" w:firstLine="300" w:firstLineChars="100"/>
        <w:outlineLvl w:val="9"/>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 xml:space="preserve">传 真：0991-4631810  </w:t>
      </w:r>
    </w:p>
    <w:p>
      <w:pPr>
        <w:spacing w:line="600" w:lineRule="exact"/>
        <w:ind w:right="0" w:firstLine="300" w:firstLineChars="100"/>
        <w:outlineLvl w:val="9"/>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 xml:space="preserve">邮 编：830028 </w:t>
      </w:r>
    </w:p>
    <w:p>
      <w:pPr>
        <w:spacing w:line="600" w:lineRule="exact"/>
        <w:ind w:right="0" w:firstLine="300" w:firstLineChars="100"/>
        <w:outlineLvl w:val="9"/>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Email：3301503722@qq.com</w:t>
      </w:r>
    </w:p>
    <w:p>
      <w:pPr>
        <w:ind w:right="0" w:firstLine="300" w:firstLineChars="100"/>
        <w:outlineLvl w:val="9"/>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地 址：</w:t>
      </w:r>
      <w:r>
        <w:rPr>
          <w:rFonts w:hint="default" w:ascii="Times New Roman" w:hAnsi="Times New Roman" w:eastAsia="宋体" w:cs="Times New Roman"/>
          <w:color w:val="auto"/>
          <w:spacing w:val="20"/>
          <w:sz w:val="30"/>
          <w:szCs w:val="30"/>
        </w:rPr>
        <w:t>新疆乌鲁木齐市水磨沟区</w:t>
      </w:r>
      <w:r>
        <w:rPr>
          <w:rFonts w:hint="default" w:ascii="Times New Roman" w:hAnsi="Times New Roman" w:eastAsia="宋体" w:cs="Times New Roman"/>
          <w:color w:val="auto"/>
          <w:sz w:val="30"/>
          <w:szCs w:val="30"/>
        </w:rPr>
        <w:t>会展北路南十一巷125号</w:t>
      </w:r>
    </w:p>
    <w:p>
      <w:pPr>
        <w:pStyle w:val="2"/>
        <w:ind w:right="0"/>
        <w:outlineLvl w:val="9"/>
        <w:rPr>
          <w:rFonts w:hint="default" w:ascii="Times New Roman" w:hAnsi="Times New Roman" w:eastAsia="宋体" w:cs="Times New Roman"/>
          <w:color w:val="auto"/>
          <w:sz w:val="30"/>
          <w:szCs w:val="30"/>
        </w:rPr>
      </w:pPr>
    </w:p>
    <w:tbl>
      <w:tblPr>
        <w:tblStyle w:val="28"/>
        <w:tblW w:w="85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4"/>
        <w:gridCol w:w="4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71" w:hRule="atLeast"/>
        </w:trPr>
        <w:tc>
          <w:tcPr>
            <w:tcW w:w="4264"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100" o:spid="_x0000_s1036" alt="200MW照片IMG_20171114_122131" type="#_x0000_t75" style="height:173.5pt;width:244.65pt;rotation:0f;" o:ole="f" fillcolor="#FFFFFF" filled="f" o:preferrelative="t" stroked="f" coordorigin="0,0" coordsize="21600,21600">
                  <v:fill on="f" color2="#FFFFFF" focus="0%"/>
                  <v:imagedata gain="65536f" blacklevel="0f" gamma="0" o:title="200MW照片IMG_20171114_122131" r:id="rId17"/>
                  <o:lock v:ext="edit" position="f" selection="f" grouping="f" rotation="f" cropping="f" text="f" aspectratio="t"/>
                  <w10:wrap type="none"/>
                  <w10:anchorlock/>
                </v:shape>
              </w:pict>
            </w:r>
          </w:p>
        </w:tc>
        <w:tc>
          <w:tcPr>
            <w:tcW w:w="4265"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101" o:spid="_x0000_s1037" alt="200MW照片IMG_20171114_115004" type="#_x0000_t75" style="height:175.05pt;width:220.65pt;rotation:0f;" o:ole="f" fillcolor="#FFFFFF" filled="f" o:preferrelative="t" stroked="f" coordorigin="0,0" coordsize="21600,21600">
                  <v:fill on="f" color2="#FFFFFF" focus="0%"/>
                  <v:imagedata gain="65536f" blacklevel="0f" gamma="0" o:title="200MW照片IMG_20171114_115004" r:id="rId18"/>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1" w:hRule="atLeast"/>
        </w:trPr>
        <w:tc>
          <w:tcPr>
            <w:tcW w:w="4264"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lang w:eastAsia="zh-CN"/>
              </w:rPr>
              <w:t>中</w:t>
            </w:r>
            <w:r>
              <w:rPr>
                <w:rFonts w:hint="eastAsia" w:ascii="黑体" w:hAnsi="黑体" w:cs="黑体"/>
                <w:color w:val="auto"/>
                <w:lang w:val="en-US" w:eastAsia="zh-CN"/>
              </w:rPr>
              <w:t xml:space="preserve"> </w:t>
            </w:r>
            <w:r>
              <w:rPr>
                <w:rFonts w:hint="eastAsia" w:ascii="黑体" w:hAnsi="黑体" w:eastAsia="黑体" w:cs="黑体"/>
                <w:color w:val="auto"/>
                <w:lang w:eastAsia="zh-CN"/>
              </w:rPr>
              <w:t>控</w:t>
            </w:r>
            <w:r>
              <w:rPr>
                <w:rFonts w:hint="eastAsia" w:ascii="黑体" w:hAnsi="黑体" w:cs="黑体"/>
                <w:color w:val="auto"/>
                <w:lang w:val="en-US" w:eastAsia="zh-CN"/>
              </w:rPr>
              <w:t xml:space="preserve"> </w:t>
            </w:r>
            <w:r>
              <w:rPr>
                <w:rFonts w:hint="eastAsia" w:ascii="黑体" w:hAnsi="黑体" w:eastAsia="黑体" w:cs="黑体"/>
                <w:color w:val="auto"/>
                <w:lang w:eastAsia="zh-CN"/>
              </w:rPr>
              <w:t>室</w:t>
            </w:r>
            <w:r>
              <w:rPr>
                <w:rFonts w:hint="eastAsia" w:ascii="黑体" w:hAnsi="黑体" w:cs="黑体"/>
                <w:color w:val="auto"/>
                <w:lang w:val="en-US" w:eastAsia="zh-CN"/>
              </w:rPr>
              <w:t xml:space="preserve"> </w:t>
            </w:r>
            <w:r>
              <w:rPr>
                <w:rFonts w:hint="eastAsia" w:ascii="黑体" w:hAnsi="黑体" w:eastAsia="黑体" w:cs="黑体"/>
                <w:color w:val="auto"/>
                <w:lang w:eastAsia="zh-CN"/>
              </w:rPr>
              <w:t>内</w:t>
            </w:r>
          </w:p>
        </w:tc>
        <w:tc>
          <w:tcPr>
            <w:tcW w:w="4265"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lang w:eastAsia="zh-CN"/>
              </w:rPr>
              <w:t>地</w:t>
            </w:r>
            <w:r>
              <w:rPr>
                <w:rFonts w:hint="eastAsia" w:ascii="黑体" w:hAnsi="黑体" w:cs="黑体"/>
                <w:color w:val="auto"/>
                <w:lang w:val="en-US" w:eastAsia="zh-CN"/>
              </w:rPr>
              <w:t xml:space="preserve"> </w:t>
            </w:r>
            <w:r>
              <w:rPr>
                <w:rFonts w:hint="eastAsia" w:ascii="黑体" w:hAnsi="黑体" w:eastAsia="黑体" w:cs="黑体"/>
                <w:color w:val="auto"/>
                <w:lang w:eastAsia="zh-CN"/>
              </w:rPr>
              <w:t>面</w:t>
            </w:r>
            <w:r>
              <w:rPr>
                <w:rFonts w:hint="eastAsia" w:ascii="黑体" w:hAnsi="黑体" w:cs="黑体"/>
                <w:color w:val="auto"/>
                <w:lang w:val="en-US" w:eastAsia="zh-CN"/>
              </w:rPr>
              <w:t xml:space="preserve"> </w:t>
            </w:r>
            <w:r>
              <w:rPr>
                <w:rFonts w:hint="eastAsia" w:ascii="黑体" w:hAnsi="黑体" w:eastAsia="黑体" w:cs="黑体"/>
                <w:color w:val="auto"/>
                <w:lang w:eastAsia="zh-CN"/>
              </w:rPr>
              <w:t>硬</w:t>
            </w:r>
            <w:r>
              <w:rPr>
                <w:rFonts w:hint="eastAsia" w:ascii="黑体" w:hAnsi="黑体" w:cs="黑体"/>
                <w:color w:val="auto"/>
                <w:lang w:val="en-US" w:eastAsia="zh-CN"/>
              </w:rPr>
              <w:t xml:space="preserve"> </w:t>
            </w:r>
            <w:r>
              <w:rPr>
                <w:rFonts w:hint="eastAsia" w:ascii="黑体" w:hAnsi="黑体" w:eastAsia="黑体" w:cs="黑体"/>
                <w:color w:val="auto"/>
                <w:lang w:eastAsia="zh-CN"/>
              </w:rPr>
              <w:t>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1" w:hRule="atLeast"/>
        </w:trPr>
        <w:tc>
          <w:tcPr>
            <w:tcW w:w="4264"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102" o:spid="_x0000_s1038" alt="200MW照片IMG_20171114_120452" type="#_x0000_t75" style="height:174.05pt;width:210.55pt;rotation:0f;" o:ole="f" fillcolor="#FFFFFF" filled="f" o:preferrelative="t" stroked="f" coordorigin="0,0" coordsize="21600,21600">
                  <v:fill on="f" color2="#FFFFFF" focus="0%"/>
                  <v:imagedata gain="65536f" blacklevel="0f" gamma="0" o:title="200MW照片IMG_20171114_120452" r:id="rId19"/>
                  <o:lock v:ext="edit" position="f" selection="f" grouping="f" rotation="f" cropping="f" text="f" aspectratio="t"/>
                  <w10:wrap type="none"/>
                  <w10:anchorlock/>
                </v:shape>
              </w:pict>
            </w:r>
          </w:p>
        </w:tc>
        <w:tc>
          <w:tcPr>
            <w:tcW w:w="4265"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104" o:spid="_x0000_s1039" alt="200MW照片IMG_20171114_120557" type="#_x0000_t75" style="height:170.2pt;width:207.6pt;rotation:0f;" o:ole="f" fillcolor="#FFFFFF" filled="f" o:preferrelative="t" stroked="f" coordorigin="0,0" coordsize="21600,21600">
                  <v:fill on="f" color2="#FFFFFF" focus="0%"/>
                  <v:imagedata gain="65536f" blacklevel="0f" gamma="0" o:title="200MW照片IMG_20171114_120557" r:id="rId20"/>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6" w:hRule="atLeast"/>
        </w:trPr>
        <w:tc>
          <w:tcPr>
            <w:tcW w:w="4264"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val="en-US" w:eastAsia="zh-CN"/>
              </w:rPr>
              <w:t>22</w:t>
            </w:r>
            <w:r>
              <w:rPr>
                <w:rFonts w:hint="eastAsia" w:ascii="黑体" w:hAnsi="黑体" w:cs="黑体"/>
                <w:color w:val="auto"/>
                <w:lang w:val="en-US" w:eastAsia="zh-CN"/>
              </w:rPr>
              <w:t>0</w:t>
            </w:r>
            <w:r>
              <w:rPr>
                <w:rFonts w:hint="eastAsia" w:ascii="黑体" w:hAnsi="黑体" w:eastAsia="黑体" w:cs="黑体"/>
                <w:color w:val="auto"/>
                <w:lang w:val="en-US" w:eastAsia="zh-CN"/>
              </w:rPr>
              <w:t>k</w:t>
            </w:r>
            <w:r>
              <w:rPr>
                <w:rFonts w:hint="eastAsia" w:ascii="黑体" w:hAnsi="黑体" w:cs="黑体"/>
                <w:color w:val="auto"/>
                <w:lang w:val="en-US" w:eastAsia="zh-CN"/>
              </w:rPr>
              <w:t>V</w:t>
            </w:r>
            <w:r>
              <w:rPr>
                <w:rFonts w:hint="eastAsia" w:ascii="黑体" w:hAnsi="黑体" w:eastAsia="黑体" w:cs="黑体"/>
                <w:color w:val="auto"/>
                <w:lang w:val="en-US" w:eastAsia="zh-CN"/>
              </w:rPr>
              <w:t>主变及事故油池</w:t>
            </w:r>
          </w:p>
        </w:tc>
        <w:tc>
          <w:tcPr>
            <w:tcW w:w="4265"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lang w:val="en-US" w:eastAsia="zh-CN"/>
              </w:rPr>
              <w:t>22</w:t>
            </w:r>
            <w:r>
              <w:rPr>
                <w:rFonts w:hint="eastAsia" w:ascii="黑体" w:hAnsi="黑体" w:cs="黑体"/>
                <w:color w:val="auto"/>
                <w:lang w:val="en-US" w:eastAsia="zh-CN"/>
              </w:rPr>
              <w:t>0</w:t>
            </w:r>
            <w:r>
              <w:rPr>
                <w:rFonts w:hint="eastAsia" w:ascii="黑体" w:hAnsi="黑体" w:eastAsia="黑体" w:cs="黑体"/>
                <w:color w:val="auto"/>
                <w:lang w:val="en-US" w:eastAsia="zh-CN"/>
              </w:rPr>
              <w:t>k</w:t>
            </w:r>
            <w:r>
              <w:rPr>
                <w:rFonts w:hint="eastAsia" w:ascii="黑体" w:hAnsi="黑体" w:cs="黑体"/>
                <w:color w:val="auto"/>
                <w:lang w:val="en-US" w:eastAsia="zh-CN"/>
              </w:rPr>
              <w:t>V</w:t>
            </w:r>
            <w:r>
              <w:rPr>
                <w:rFonts w:hint="eastAsia" w:ascii="黑体" w:hAnsi="黑体" w:eastAsia="黑体" w:cs="黑体"/>
                <w:color w:val="auto"/>
                <w:lang w:val="en-US" w:eastAsia="zh-CN"/>
              </w:rPr>
              <w:t>主变及事故油池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10" w:hRule="atLeast"/>
        </w:trPr>
        <w:tc>
          <w:tcPr>
            <w:tcW w:w="4264"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105" o:spid="_x0000_s1040" alt="200MW照片IMG_20171114_122650" type="#_x0000_t75" style="height:191.95pt;width:219.6pt;rotation:0f;" o:ole="f" fillcolor="#FFFFFF" filled="f" o:preferrelative="t" stroked="f" coordorigin="0,0" coordsize="21600,21600">
                  <v:fill on="f" color2="#FFFFFF" focus="0%"/>
                  <v:imagedata gain="65536f" blacklevel="0f" gamma="0" o:title="200MW照片IMG_20171114_122650" r:id="rId21"/>
                  <o:lock v:ext="edit" position="f" selection="f" grouping="f" rotation="f" cropping="f" text="f" aspectratio="t"/>
                  <w10:wrap type="none"/>
                  <w10:anchorlock/>
                </v:shape>
              </w:pict>
            </w:r>
          </w:p>
        </w:tc>
        <w:tc>
          <w:tcPr>
            <w:tcW w:w="4265"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58" o:spid="_x0000_s1041" alt="200MW照片IMG_20171114_120900" type="#_x0000_t75" style="height:192.85pt;width:221.3pt;rotation:0f;" o:ole="f" fillcolor="#FFFFFF" filled="f" o:preferrelative="t" stroked="f" coordorigin="0,0" coordsize="21600,21600">
                  <v:fill on="f" color2="#FFFFFF" focus="0%"/>
                  <v:imagedata gain="65536f" blacklevel="0f" gamma="0" o:title="200MW照片IMG_20171114_120900" r:id="rId22"/>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1" w:hRule="atLeast"/>
        </w:trPr>
        <w:tc>
          <w:tcPr>
            <w:tcW w:w="4264"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val="en-US" w:eastAsia="zh-CN"/>
              </w:rPr>
              <w:t>地埋式一体化处理设施</w:t>
            </w:r>
          </w:p>
        </w:tc>
        <w:tc>
          <w:tcPr>
            <w:tcW w:w="4265"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lang w:val="en-US" w:eastAsia="zh-CN"/>
              </w:rPr>
              <w:t>地埋式一体化处理设施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1" w:hRule="atLeast"/>
        </w:trPr>
        <w:tc>
          <w:tcPr>
            <w:tcW w:w="4264"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108" o:spid="_x0000_s1042" alt="200MW照片IMG_20171114_122226" type="#_x0000_t75" style="height:246.25pt;width:214.55pt;rotation:0f;" o:ole="f" fillcolor="#FFFFFF" filled="f" o:preferrelative="t" stroked="f" coordorigin="0,0" coordsize="21600,21600">
                  <v:fill on="f" color2="#FFFFFF" focus="0%"/>
                  <v:imagedata gain="65536f" blacklevel="0f" gamma="0" o:title="200MW照片IMG_20171114_122226" r:id="rId23"/>
                  <o:lock v:ext="edit" position="f" selection="f" grouping="f" rotation="f" cropping="f" text="f" aspectratio="t"/>
                  <w10:wrap type="none"/>
                  <w10:anchorlock/>
                </v:shape>
              </w:pict>
            </w:r>
          </w:p>
        </w:tc>
        <w:tc>
          <w:tcPr>
            <w:tcW w:w="4265"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109" o:spid="_x0000_s1043" alt="200MW照片IMG_20171114_120457" type="#_x0000_t75" style="height:246.8pt;width:210.55pt;rotation:0f;" o:ole="f" fillcolor="#FFFFFF" filled="f" o:preferrelative="t" stroked="f" coordorigin="0,0" coordsize="21600,21600">
                  <v:fill on="f" color2="#FFFFFF" focus="0%"/>
                  <v:imagedata gain="65536f" blacklevel="0f" gamma="0" o:title="200MW照片IMG_20171114_120457" r:id="rId24"/>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4264"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lang w:eastAsia="zh-CN"/>
              </w:rPr>
              <w:t>密封垃圾袋</w:t>
            </w:r>
          </w:p>
        </w:tc>
        <w:tc>
          <w:tcPr>
            <w:tcW w:w="4265"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szCs w:val="22"/>
                <w:lang w:eastAsia="zh-CN"/>
              </w:rPr>
              <w:t>安全消防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4" w:hRule="atLeast"/>
        </w:trPr>
        <w:tc>
          <w:tcPr>
            <w:tcW w:w="4264"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110" o:spid="_x0000_s1044" alt="200MW照片IMG_20171114_115015" type="#_x0000_t75" style="height:225.9pt;width:218.4pt;rotation:0f;" o:ole="f" fillcolor="#FFFFFF" filled="f" o:preferrelative="t" stroked="f" coordorigin="0,0" coordsize="21600,21600">
                  <v:fill on="f" color2="#FFFFFF" focus="0%"/>
                  <v:imagedata gain="65536f" blacklevel="0f" gamma="0" o:title="200MW照片IMG_20171114_115015" r:id="rId25"/>
                  <o:lock v:ext="edit" position="f" selection="f" grouping="f" rotation="f" cropping="f" text="f" aspectratio="t"/>
                  <w10:wrap type="none"/>
                  <w10:anchorlock/>
                </v:shape>
              </w:pict>
            </w:r>
          </w:p>
        </w:tc>
        <w:tc>
          <w:tcPr>
            <w:tcW w:w="4265" w:type="dxa"/>
            <w:tcBorders>
              <w:tl2br w:val="nil"/>
              <w:tr2bl w:val="nil"/>
            </w:tcBorders>
            <w:vAlign w:val="center"/>
          </w:tcPr>
          <w:p>
            <w:pPr>
              <w:pStyle w:val="2"/>
              <w:widowControl w:val="0"/>
              <w:wordWrap/>
              <w:adjustRightInd w:val="0"/>
              <w:snapToGrid w:val="0"/>
              <w:spacing w:line="240" w:lineRule="auto"/>
              <w:ind w:left="0" w:leftChars="0" w:right="0" w:firstLine="0" w:firstLineChars="0"/>
              <w:jc w:val="both"/>
              <w:textAlignment w:val="auto"/>
              <w:outlineLvl w:val="9"/>
              <w:rPr>
                <w:rFonts w:hint="eastAsia" w:ascii="黑体" w:hAnsi="黑体" w:eastAsia="黑体" w:cs="黑体"/>
                <w:color w:val="auto"/>
                <w:lang w:eastAsia="zh-CN"/>
              </w:rPr>
            </w:pPr>
            <w:r>
              <w:rPr>
                <w:rFonts w:hint="eastAsia" w:ascii="黑体" w:hAnsi="黑体" w:eastAsia="黑体" w:cs="黑体"/>
                <w:color w:val="auto"/>
                <w:kern w:val="0"/>
                <w:sz w:val="24"/>
                <w:szCs w:val="24"/>
                <w:lang w:val="en-US" w:eastAsia="zh-CN" w:bidi="ar-SA"/>
              </w:rPr>
              <w:pict>
                <v:shape id="图片 111" o:spid="_x0000_s1045" alt="200MW照片IMG_20171114_122636" type="#_x0000_t75" style="height:225.25pt;width:215.3pt;rotation:0f;" o:ole="f" fillcolor="#FFFFFF" filled="f" o:preferrelative="t" stroked="f" coordorigin="0,0" coordsize="21600,21600">
                  <v:fill on="f" color2="#FFFFFF" focus="0%"/>
                  <v:imagedata gain="65536f" blacklevel="0f" gamma="0" o:title="200MW照片IMG_20171114_122636" r:id="rId26"/>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1" w:hRule="atLeast"/>
        </w:trPr>
        <w:tc>
          <w:tcPr>
            <w:tcW w:w="4264"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lang w:eastAsia="zh-CN"/>
              </w:rPr>
              <w:t>项目区围墙内</w:t>
            </w:r>
          </w:p>
        </w:tc>
        <w:tc>
          <w:tcPr>
            <w:tcW w:w="4265" w:type="dxa"/>
            <w:tcBorders>
              <w:tl2br w:val="nil"/>
              <w:tr2bl w:val="nil"/>
            </w:tcBorders>
            <w:vAlign w:val="top"/>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黑体" w:hAnsi="黑体" w:eastAsia="黑体" w:cs="黑体"/>
                <w:color w:val="auto"/>
                <w:lang w:eastAsia="zh-CN"/>
              </w:rPr>
            </w:pPr>
            <w:r>
              <w:rPr>
                <w:rFonts w:hint="eastAsia" w:ascii="黑体" w:hAnsi="黑体" w:eastAsia="黑体" w:cs="黑体"/>
                <w:color w:val="auto"/>
                <w:lang w:eastAsia="zh-CN"/>
              </w:rPr>
              <w:t>项目区围墙外</w:t>
            </w:r>
          </w:p>
        </w:tc>
      </w:tr>
    </w:tbl>
    <w:p>
      <w:pPr>
        <w:widowControl w:val="0"/>
        <w:wordWrap/>
        <w:adjustRightInd/>
        <w:snapToGrid/>
        <w:spacing w:before="313" w:beforeLines="100" w:after="313" w:afterLines="100" w:line="520" w:lineRule="exact"/>
        <w:ind w:left="0" w:leftChars="0" w:right="0" w:firstLine="0" w:firstLineChars="0"/>
        <w:jc w:val="center"/>
        <w:textAlignment w:val="auto"/>
        <w:outlineLvl w:val="9"/>
        <w:rPr>
          <w:rFonts w:hint="default" w:ascii="Times New Roman" w:hAnsi="Times New Roman" w:eastAsia="宋体" w:cs="Times New Roman"/>
          <w:b/>
          <w:bCs/>
          <w:color w:val="auto"/>
          <w:sz w:val="36"/>
          <w:szCs w:val="36"/>
        </w:rPr>
      </w:pPr>
    </w:p>
    <w:p>
      <w:pPr>
        <w:pStyle w:val="2"/>
        <w:rPr>
          <w:rFonts w:hint="default" w:ascii="Times New Roman" w:hAnsi="Times New Roman" w:eastAsia="宋体" w:cs="Times New Roman"/>
          <w:b/>
          <w:bCs/>
          <w:color w:val="auto"/>
          <w:sz w:val="36"/>
          <w:szCs w:val="36"/>
        </w:rPr>
      </w:pPr>
    </w:p>
    <w:p>
      <w:pPr>
        <w:rPr>
          <w:rFonts w:hint="default" w:ascii="Times New Roman" w:hAnsi="Times New Roman" w:eastAsia="宋体" w:cs="Times New Roman"/>
          <w:b/>
          <w:bCs/>
          <w:color w:val="auto"/>
          <w:sz w:val="36"/>
          <w:szCs w:val="36"/>
        </w:rPr>
      </w:pPr>
    </w:p>
    <w:p>
      <w:pPr>
        <w:pStyle w:val="2"/>
        <w:rPr>
          <w:rFonts w:hint="default" w:ascii="Times New Roman" w:hAnsi="Times New Roman" w:eastAsia="宋体" w:cs="Times New Roman"/>
        </w:rPr>
      </w:pPr>
    </w:p>
    <w:p>
      <w:pPr>
        <w:widowControl w:val="0"/>
        <w:wordWrap/>
        <w:adjustRightInd/>
        <w:snapToGrid/>
        <w:spacing w:before="313" w:beforeLines="100" w:after="313" w:afterLines="100" w:line="520" w:lineRule="exact"/>
        <w:ind w:left="0" w:leftChars="0" w:right="0" w:firstLine="0" w:firstLineChars="0"/>
        <w:jc w:val="center"/>
        <w:textAlignment w:val="auto"/>
        <w:outlineLvl w:val="9"/>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6"/>
          <w:szCs w:val="36"/>
        </w:rPr>
        <w:t>目  录</w:t>
      </w:r>
      <w:bookmarkEnd w:id="0"/>
      <w:bookmarkEnd w:id="1"/>
    </w:p>
    <w:p>
      <w:pPr>
        <w:pStyle w:val="18"/>
        <w:widowControl w:val="0"/>
        <w:tabs>
          <w:tab w:val="right" w:leader="dot" w:pos="8306"/>
        </w:tabs>
        <w:wordWrap/>
        <w:adjustRightInd/>
        <w:snapToGrid/>
        <w:spacing w:before="0" w:after="0"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 w:val="0"/>
          <w:bCs w:val="0"/>
          <w:caps w:val="0"/>
          <w:color w:val="auto"/>
          <w:sz w:val="28"/>
          <w:szCs w:val="28"/>
        </w:rPr>
        <w:fldChar w:fldCharType="begin"/>
      </w:r>
      <w:r>
        <w:rPr>
          <w:rFonts w:hint="default" w:ascii="Times New Roman" w:hAnsi="Times New Roman" w:eastAsia="宋体" w:cs="Times New Roman"/>
          <w:b w:val="0"/>
          <w:bCs w:val="0"/>
          <w:caps w:val="0"/>
          <w:color w:val="auto"/>
          <w:sz w:val="28"/>
          <w:szCs w:val="28"/>
        </w:rPr>
        <w:instrText xml:space="preserve"> TOC \o "1-2" \h \z \u </w:instrText>
      </w:r>
      <w:r>
        <w:rPr>
          <w:rFonts w:hint="default" w:ascii="Times New Roman" w:hAnsi="Times New Roman" w:eastAsia="宋体" w:cs="Times New Roman"/>
          <w:b w:val="0"/>
          <w:bCs w:val="0"/>
          <w:caps w:val="0"/>
          <w:color w:val="auto"/>
          <w:sz w:val="28"/>
          <w:szCs w:val="28"/>
        </w:rPr>
        <w:fldChar w:fldCharType="separate"/>
      </w:r>
      <w:r>
        <w:rPr>
          <w:rFonts w:hint="default" w:ascii="Times New Roman" w:hAnsi="Times New Roman" w:eastAsia="宋体" w:cs="Times New Roman"/>
          <w:bCs w:val="0"/>
          <w:caps w:val="0"/>
          <w:color w:val="auto"/>
          <w:sz w:val="28"/>
          <w:szCs w:val="28"/>
        </w:rPr>
        <w:fldChar w:fldCharType="begin"/>
      </w:r>
      <w:r>
        <w:rPr>
          <w:rFonts w:hint="default" w:ascii="Times New Roman" w:hAnsi="Times New Roman" w:eastAsia="宋体" w:cs="Times New Roman"/>
          <w:bCs w:val="0"/>
          <w:caps w:val="0"/>
          <w:sz w:val="28"/>
          <w:szCs w:val="28"/>
        </w:rPr>
        <w:instrText xml:space="preserve"> HYPERLINK \l _Toc16910 </w:instrText>
      </w:r>
      <w:r>
        <w:rPr>
          <w:rFonts w:hint="default" w:ascii="Times New Roman" w:hAnsi="Times New Roman" w:eastAsia="宋体" w:cs="Times New Roman"/>
          <w:bCs w:val="0"/>
          <w:caps w:val="0"/>
          <w:sz w:val="28"/>
          <w:szCs w:val="28"/>
        </w:rPr>
        <w:fldChar w:fldCharType="separate"/>
      </w:r>
      <w:r>
        <w:rPr>
          <w:rFonts w:hint="default" w:ascii="Times New Roman" w:hAnsi="Times New Roman" w:eastAsia="宋体" w:cs="Times New Roman"/>
          <w:bCs/>
          <w:sz w:val="28"/>
          <w:szCs w:val="28"/>
        </w:rPr>
        <w:t>前   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_Toc16910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val="0"/>
          <w:caps w:val="0"/>
          <w:color w:val="auto"/>
          <w:sz w:val="28"/>
          <w:szCs w:val="28"/>
        </w:rPr>
        <w:fldChar w:fldCharType="end"/>
      </w:r>
    </w:p>
    <w:p>
      <w:pPr>
        <w:pStyle w:val="18"/>
        <w:widowControl w:val="0"/>
        <w:tabs>
          <w:tab w:val="right" w:leader="dot" w:pos="8306"/>
        </w:tabs>
        <w:wordWrap/>
        <w:adjustRightInd/>
        <w:snapToGrid/>
        <w:spacing w:before="0" w:after="0"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val="0"/>
          <w:caps w:val="0"/>
          <w:color w:val="auto"/>
          <w:sz w:val="28"/>
          <w:szCs w:val="28"/>
        </w:rPr>
        <w:fldChar w:fldCharType="begin"/>
      </w:r>
      <w:r>
        <w:rPr>
          <w:rFonts w:hint="default" w:ascii="Times New Roman" w:hAnsi="Times New Roman" w:eastAsia="宋体" w:cs="Times New Roman"/>
          <w:bCs w:val="0"/>
          <w:caps w:val="0"/>
          <w:sz w:val="28"/>
          <w:szCs w:val="28"/>
        </w:rPr>
        <w:instrText xml:space="preserve"> HYPERLINK \l _Toc9903 </w:instrText>
      </w:r>
      <w:r>
        <w:rPr>
          <w:rFonts w:hint="default" w:ascii="Times New Roman" w:hAnsi="Times New Roman" w:eastAsia="宋体" w:cs="Times New Roman"/>
          <w:bCs w:val="0"/>
          <w:caps w:val="0"/>
          <w:sz w:val="28"/>
          <w:szCs w:val="28"/>
        </w:rPr>
        <w:fldChar w:fldCharType="separate"/>
      </w:r>
      <w:r>
        <w:rPr>
          <w:rFonts w:hint="default" w:ascii="Times New Roman" w:hAnsi="Times New Roman" w:eastAsia="宋体" w:cs="Times New Roman"/>
          <w:bCs/>
          <w:sz w:val="28"/>
          <w:szCs w:val="28"/>
        </w:rPr>
        <w:t>第一章  验收监测依据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_Toc9903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val="0"/>
          <w:caps w:val="0"/>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_Toc15453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1.1 法律法规及条例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_Toc15453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_Toc31507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1.2 项目文件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_Toc31507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18"/>
        <w:widowControl w:val="0"/>
        <w:tabs>
          <w:tab w:val="right" w:leader="dot" w:pos="8306"/>
        </w:tabs>
        <w:wordWrap/>
        <w:adjustRightInd/>
        <w:snapToGrid/>
        <w:spacing w:before="0" w:after="0"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val="0"/>
          <w:caps w:val="0"/>
          <w:color w:val="auto"/>
          <w:sz w:val="28"/>
          <w:szCs w:val="28"/>
        </w:rPr>
        <w:fldChar w:fldCharType="begin"/>
      </w:r>
      <w:r>
        <w:rPr>
          <w:rFonts w:hint="default" w:ascii="Times New Roman" w:hAnsi="Times New Roman" w:eastAsia="宋体" w:cs="Times New Roman"/>
          <w:bCs w:val="0"/>
          <w:caps w:val="0"/>
          <w:sz w:val="28"/>
          <w:szCs w:val="28"/>
        </w:rPr>
        <w:instrText xml:space="preserve"> HYPERLINK \l _Toc8288 </w:instrText>
      </w:r>
      <w:r>
        <w:rPr>
          <w:rFonts w:hint="default" w:ascii="Times New Roman" w:hAnsi="Times New Roman" w:eastAsia="宋体" w:cs="Times New Roman"/>
          <w:bCs w:val="0"/>
          <w:caps w:val="0"/>
          <w:sz w:val="28"/>
          <w:szCs w:val="28"/>
        </w:rPr>
        <w:fldChar w:fldCharType="separate"/>
      </w:r>
      <w:r>
        <w:rPr>
          <w:rFonts w:hint="default" w:ascii="Times New Roman" w:hAnsi="Times New Roman" w:eastAsia="宋体" w:cs="Times New Roman"/>
          <w:bCs/>
          <w:sz w:val="28"/>
          <w:szCs w:val="28"/>
        </w:rPr>
        <w:t>第二章  项目概况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_Toc8288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val="0"/>
          <w:caps w:val="0"/>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_Toc10779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 xml:space="preserve">2.1 </w:t>
      </w:r>
      <w:r>
        <w:rPr>
          <w:rFonts w:hint="default" w:ascii="Times New Roman" w:hAnsi="Times New Roman" w:eastAsia="宋体" w:cs="Times New Roman"/>
          <w:sz w:val="28"/>
          <w:szCs w:val="28"/>
        </w:rPr>
        <w:t>工程概况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_Toc10779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_Toc1583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sz w:val="28"/>
          <w:szCs w:val="28"/>
        </w:rPr>
        <w:t>2.2 公用工程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_Toc1583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_Toc5014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lang w:val="en-US" w:eastAsia="zh-CN"/>
        </w:rPr>
        <w:t xml:space="preserve">3 </w:t>
      </w:r>
      <w:r>
        <w:rPr>
          <w:rFonts w:hint="default" w:ascii="Times New Roman" w:hAnsi="Times New Roman" w:eastAsia="宋体" w:cs="Times New Roman"/>
          <w:bCs/>
          <w:sz w:val="28"/>
          <w:szCs w:val="28"/>
        </w:rPr>
        <w:t>工艺流程简述</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_Toc5014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_Toc7723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kern w:val="2"/>
          <w:sz w:val="28"/>
          <w:szCs w:val="28"/>
          <w:lang w:val="en-US" w:eastAsia="zh-CN"/>
        </w:rPr>
        <w:t xml:space="preserve">2.4 </w:t>
      </w:r>
      <w:r>
        <w:rPr>
          <w:rFonts w:hint="default" w:ascii="Times New Roman" w:hAnsi="Times New Roman" w:eastAsia="宋体" w:cs="Times New Roman"/>
          <w:bCs/>
          <w:kern w:val="2"/>
          <w:sz w:val="28"/>
          <w:szCs w:val="28"/>
        </w:rPr>
        <w:t>主要污染物及治理措施</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_Toc7723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18"/>
        <w:widowControl w:val="0"/>
        <w:tabs>
          <w:tab w:val="right" w:leader="dot" w:pos="8306"/>
        </w:tabs>
        <w:wordWrap/>
        <w:adjustRightInd/>
        <w:snapToGrid/>
        <w:spacing w:before="0" w:after="0"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val="0"/>
          <w:caps w:val="0"/>
          <w:color w:val="auto"/>
          <w:sz w:val="28"/>
          <w:szCs w:val="28"/>
        </w:rPr>
        <w:fldChar w:fldCharType="begin"/>
      </w:r>
      <w:r>
        <w:rPr>
          <w:rFonts w:hint="default" w:ascii="Times New Roman" w:hAnsi="Times New Roman" w:eastAsia="宋体" w:cs="Times New Roman"/>
          <w:bCs w:val="0"/>
          <w:caps w:val="0"/>
          <w:sz w:val="28"/>
          <w:szCs w:val="28"/>
        </w:rPr>
        <w:instrText xml:space="preserve"> HYPERLINK \l _Toc24319 </w:instrText>
      </w:r>
      <w:r>
        <w:rPr>
          <w:rFonts w:hint="default" w:ascii="Times New Roman" w:hAnsi="Times New Roman" w:eastAsia="宋体" w:cs="Times New Roman"/>
          <w:bCs w:val="0"/>
          <w:caps w:val="0"/>
          <w:sz w:val="28"/>
          <w:szCs w:val="28"/>
        </w:rPr>
        <w:fldChar w:fldCharType="separate"/>
      </w:r>
      <w:r>
        <w:rPr>
          <w:rFonts w:hint="default" w:ascii="Times New Roman" w:hAnsi="Times New Roman" w:eastAsia="宋体" w:cs="Times New Roman"/>
          <w:sz w:val="28"/>
          <w:szCs w:val="28"/>
        </w:rPr>
        <w:t>第三章  环境影响报告书结论及批复</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_Toc24319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val="0"/>
          <w:caps w:val="0"/>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_Toc20472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3.1 环境影响报告书主要结论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_Toc20472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_Toc8990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lang w:val="en-US" w:eastAsia="zh-CN"/>
        </w:rPr>
        <w:t xml:space="preserve">3.2 </w:t>
      </w:r>
      <w:r>
        <w:rPr>
          <w:rFonts w:hint="default" w:ascii="Times New Roman" w:hAnsi="Times New Roman" w:eastAsia="宋体" w:cs="Times New Roman"/>
          <w:bCs/>
          <w:sz w:val="28"/>
          <w:szCs w:val="28"/>
        </w:rPr>
        <w:t>环境影响报告书</w:t>
      </w:r>
      <w:r>
        <w:rPr>
          <w:rFonts w:hint="default" w:ascii="Times New Roman" w:hAnsi="Times New Roman" w:eastAsia="宋体" w:cs="Times New Roman"/>
          <w:bCs/>
          <w:sz w:val="28"/>
          <w:szCs w:val="28"/>
          <w:lang w:val="en-US" w:eastAsia="zh-CN"/>
        </w:rPr>
        <w:t>批复要求</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_Toc8990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18"/>
        <w:widowControl w:val="0"/>
        <w:tabs>
          <w:tab w:val="right" w:leader="dot" w:pos="8306"/>
        </w:tabs>
        <w:wordWrap/>
        <w:adjustRightInd/>
        <w:snapToGrid/>
        <w:spacing w:before="0" w:after="0"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val="0"/>
          <w:caps w:val="0"/>
          <w:color w:val="auto"/>
          <w:sz w:val="28"/>
          <w:szCs w:val="28"/>
        </w:rPr>
        <w:fldChar w:fldCharType="begin"/>
      </w:r>
      <w:r>
        <w:rPr>
          <w:rFonts w:hint="default" w:ascii="Times New Roman" w:hAnsi="Times New Roman" w:eastAsia="宋体" w:cs="Times New Roman"/>
          <w:bCs w:val="0"/>
          <w:caps w:val="0"/>
          <w:sz w:val="28"/>
          <w:szCs w:val="28"/>
        </w:rPr>
        <w:instrText xml:space="preserve"> HYPERLINK \l _Toc13868 </w:instrText>
      </w:r>
      <w:r>
        <w:rPr>
          <w:rFonts w:hint="default" w:ascii="Times New Roman" w:hAnsi="Times New Roman" w:eastAsia="宋体" w:cs="Times New Roman"/>
          <w:bCs w:val="0"/>
          <w:caps w:val="0"/>
          <w:sz w:val="28"/>
          <w:szCs w:val="28"/>
        </w:rPr>
        <w:fldChar w:fldCharType="separate"/>
      </w:r>
      <w:r>
        <w:rPr>
          <w:rFonts w:hint="default" w:ascii="Times New Roman" w:hAnsi="Times New Roman" w:eastAsia="宋体" w:cs="Times New Roman"/>
          <w:sz w:val="28"/>
          <w:szCs w:val="28"/>
        </w:rPr>
        <w:t>第四章  验收执行标准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_Toc13868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val="0"/>
          <w:caps w:val="0"/>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_Toc7027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 xml:space="preserve">4.1 </w:t>
      </w:r>
      <w:r>
        <w:rPr>
          <w:rFonts w:hint="default" w:ascii="Times New Roman" w:hAnsi="Times New Roman" w:eastAsia="宋体" w:cs="Times New Roman"/>
          <w:bCs/>
          <w:sz w:val="28"/>
          <w:szCs w:val="28"/>
          <w:lang w:eastAsia="zh-CN"/>
        </w:rPr>
        <w:t>电磁环境</w:t>
      </w:r>
      <w:r>
        <w:rPr>
          <w:rFonts w:hint="default" w:ascii="Times New Roman" w:hAnsi="Times New Roman" w:eastAsia="宋体" w:cs="Times New Roman"/>
          <w:bCs/>
          <w:sz w:val="28"/>
          <w:szCs w:val="28"/>
        </w:rPr>
        <w:t>排放标准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_Toc7027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_Toc1151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t xml:space="preserve"> 噪声标准</w:t>
      </w:r>
      <w:r>
        <w:rPr>
          <w:rFonts w:hint="default" w:ascii="Times New Roman" w:hAnsi="Times New Roman" w:eastAsia="宋体" w:cs="Times New Roman"/>
          <w:sz w:val="28"/>
          <w:szCs w:val="28"/>
          <w:lang w:val="en-US" w:eastAsia="zh-CN"/>
        </w:rPr>
        <w:t>限值</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_Toc1151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_Toc25124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4.</w:t>
      </w:r>
      <w:r>
        <w:rPr>
          <w:rFonts w:hint="default" w:ascii="Times New Roman" w:hAnsi="Times New Roman" w:eastAsia="宋体" w:cs="Times New Roman"/>
          <w:bCs/>
          <w:sz w:val="28"/>
          <w:szCs w:val="28"/>
          <w:lang w:val="en-US" w:eastAsia="zh-CN"/>
        </w:rPr>
        <w:t>3</w:t>
      </w:r>
      <w:r>
        <w:rPr>
          <w:rFonts w:hint="default" w:ascii="Times New Roman" w:hAnsi="Times New Roman" w:eastAsia="宋体" w:cs="Times New Roman"/>
          <w:bCs/>
          <w:sz w:val="28"/>
          <w:szCs w:val="28"/>
        </w:rPr>
        <w:t xml:space="preserve"> 固体废物</w:t>
      </w:r>
      <w:r>
        <w:rPr>
          <w:rFonts w:hint="default" w:ascii="Times New Roman" w:hAnsi="Times New Roman" w:eastAsia="宋体" w:cs="Times New Roman"/>
          <w:bCs/>
          <w:sz w:val="28"/>
          <w:szCs w:val="28"/>
          <w:lang w:val="en-US" w:eastAsia="zh-CN"/>
        </w:rPr>
        <w:t>参照标准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_Toc25124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18"/>
        <w:widowControl w:val="0"/>
        <w:tabs>
          <w:tab w:val="right" w:leader="dot" w:pos="8306"/>
        </w:tabs>
        <w:wordWrap/>
        <w:adjustRightInd/>
        <w:snapToGrid/>
        <w:spacing w:before="0" w:after="0"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val="0"/>
          <w:caps w:val="0"/>
          <w:color w:val="auto"/>
          <w:sz w:val="28"/>
          <w:szCs w:val="28"/>
        </w:rPr>
        <w:fldChar w:fldCharType="begin"/>
      </w:r>
      <w:r>
        <w:rPr>
          <w:rFonts w:hint="default" w:ascii="Times New Roman" w:hAnsi="Times New Roman" w:eastAsia="宋体" w:cs="Times New Roman"/>
          <w:bCs w:val="0"/>
          <w:caps w:val="0"/>
          <w:sz w:val="28"/>
          <w:szCs w:val="28"/>
        </w:rPr>
        <w:instrText xml:space="preserve"> HYPERLINK \l _Toc5257 </w:instrText>
      </w:r>
      <w:r>
        <w:rPr>
          <w:rFonts w:hint="default" w:ascii="Times New Roman" w:hAnsi="Times New Roman" w:eastAsia="宋体" w:cs="Times New Roman"/>
          <w:bCs w:val="0"/>
          <w:caps w:val="0"/>
          <w:sz w:val="28"/>
          <w:szCs w:val="28"/>
        </w:rPr>
        <w:fldChar w:fldCharType="separate"/>
      </w:r>
      <w:r>
        <w:rPr>
          <w:rFonts w:hint="default" w:ascii="Times New Roman" w:hAnsi="Times New Roman" w:eastAsia="宋体" w:cs="Times New Roman"/>
          <w:sz w:val="28"/>
          <w:szCs w:val="28"/>
        </w:rPr>
        <w:t>第五章  验收监测质量保证与监测结果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_Toc5257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val="0"/>
          <w:caps w:val="0"/>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_Toc6735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5.1 验收监测质量保证</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_Toc6735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_Toc30025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5.2 验收期间工况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_Toc30025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_Toc5610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sz w:val="28"/>
          <w:szCs w:val="28"/>
        </w:rPr>
        <w:t xml:space="preserve">5.3 </w:t>
      </w:r>
      <w:r>
        <w:rPr>
          <w:rFonts w:hint="default" w:ascii="Times New Roman" w:hAnsi="Times New Roman" w:eastAsia="宋体" w:cs="Times New Roman"/>
          <w:sz w:val="28"/>
          <w:szCs w:val="28"/>
          <w:lang w:eastAsia="zh-CN"/>
        </w:rPr>
        <w:t>电磁环境</w:t>
      </w:r>
      <w:r>
        <w:rPr>
          <w:rFonts w:hint="default" w:ascii="Times New Roman" w:hAnsi="Times New Roman" w:eastAsia="宋体" w:cs="Times New Roman"/>
          <w:sz w:val="28"/>
          <w:szCs w:val="28"/>
        </w:rPr>
        <w:t>监测质量保证与监测结果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_Toc5610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_Toc31755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5.</w:t>
      </w:r>
      <w:r>
        <w:rPr>
          <w:rFonts w:hint="default" w:ascii="Times New Roman" w:hAnsi="Times New Roman" w:eastAsia="宋体" w:cs="Times New Roman"/>
          <w:bCs/>
          <w:sz w:val="28"/>
          <w:szCs w:val="28"/>
          <w:lang w:val="en-US" w:eastAsia="zh-CN"/>
        </w:rPr>
        <w:t>4</w:t>
      </w:r>
      <w:r>
        <w:rPr>
          <w:rFonts w:hint="default" w:ascii="Times New Roman" w:hAnsi="Times New Roman" w:eastAsia="宋体" w:cs="Times New Roman"/>
          <w:bCs/>
          <w:sz w:val="28"/>
          <w:szCs w:val="28"/>
        </w:rPr>
        <w:t xml:space="preserve"> 噪声监测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_Toc31755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_Toc7058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5.</w:t>
      </w:r>
      <w:r>
        <w:rPr>
          <w:rFonts w:hint="default" w:ascii="Times New Roman" w:hAnsi="Times New Roman" w:eastAsia="宋体" w:cs="Times New Roman"/>
          <w:bCs/>
          <w:sz w:val="28"/>
          <w:szCs w:val="28"/>
          <w:lang w:val="en-US" w:eastAsia="zh-CN"/>
        </w:rPr>
        <w:t>5</w:t>
      </w:r>
      <w:r>
        <w:rPr>
          <w:rFonts w:hint="default" w:ascii="Times New Roman" w:hAnsi="Times New Roman" w:eastAsia="宋体" w:cs="Times New Roman"/>
          <w:bCs/>
          <w:sz w:val="28"/>
          <w:szCs w:val="28"/>
        </w:rPr>
        <w:t xml:space="preserve"> </w:t>
      </w:r>
      <w:r>
        <w:rPr>
          <w:rFonts w:hint="default" w:ascii="Times New Roman" w:hAnsi="Times New Roman" w:eastAsia="宋体" w:cs="Times New Roman"/>
          <w:bCs/>
          <w:sz w:val="28"/>
          <w:szCs w:val="28"/>
          <w:lang w:val="en-US" w:eastAsia="zh-CN"/>
        </w:rPr>
        <w:t>生态环境</w:t>
      </w:r>
      <w:r>
        <w:rPr>
          <w:rFonts w:hint="default" w:ascii="Times New Roman" w:hAnsi="Times New Roman" w:eastAsia="宋体" w:cs="Times New Roman"/>
          <w:bCs/>
          <w:sz w:val="28"/>
          <w:szCs w:val="28"/>
        </w:rPr>
        <w:t>调查</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_Toc7058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_Toc2411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lang w:val="en-US" w:eastAsia="zh-CN"/>
        </w:rPr>
        <w:t xml:space="preserve">5.6 </w:t>
      </w:r>
      <w:r>
        <w:rPr>
          <w:rFonts w:hint="default" w:ascii="Times New Roman" w:hAnsi="Times New Roman" w:eastAsia="宋体" w:cs="Times New Roman"/>
          <w:bCs/>
          <w:sz w:val="28"/>
          <w:szCs w:val="28"/>
        </w:rPr>
        <w:t>固体废物调查</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_Toc2411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18"/>
        <w:widowControl w:val="0"/>
        <w:tabs>
          <w:tab w:val="right" w:leader="dot" w:pos="8306"/>
        </w:tabs>
        <w:wordWrap/>
        <w:adjustRightInd/>
        <w:snapToGrid/>
        <w:spacing w:before="0" w:after="0"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val="0"/>
          <w:caps w:val="0"/>
          <w:color w:val="auto"/>
          <w:sz w:val="28"/>
          <w:szCs w:val="28"/>
        </w:rPr>
        <w:fldChar w:fldCharType="begin"/>
      </w:r>
      <w:r>
        <w:rPr>
          <w:rFonts w:hint="default" w:ascii="Times New Roman" w:hAnsi="Times New Roman" w:eastAsia="宋体" w:cs="Times New Roman"/>
          <w:bCs w:val="0"/>
          <w:caps w:val="0"/>
          <w:sz w:val="28"/>
          <w:szCs w:val="28"/>
        </w:rPr>
        <w:instrText xml:space="preserve"> HYPERLINK \l _Toc21507 </w:instrText>
      </w:r>
      <w:r>
        <w:rPr>
          <w:rFonts w:hint="default" w:ascii="Times New Roman" w:hAnsi="Times New Roman" w:eastAsia="宋体" w:cs="Times New Roman"/>
          <w:bCs w:val="0"/>
          <w:caps w:val="0"/>
          <w:sz w:val="28"/>
          <w:szCs w:val="28"/>
        </w:rPr>
        <w:fldChar w:fldCharType="separate"/>
      </w:r>
      <w:r>
        <w:rPr>
          <w:rFonts w:hint="default" w:ascii="Times New Roman" w:hAnsi="Times New Roman" w:eastAsia="宋体" w:cs="Times New Roman"/>
          <w:sz w:val="28"/>
          <w:szCs w:val="28"/>
        </w:rPr>
        <w:t>第六章  环境管理检查</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_Toc21507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val="0"/>
          <w:caps w:val="0"/>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_Toc2951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6.1 环境保护“三同时”制度执行情况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_Toc2951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_Toc25605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6.2 环境管理机构设置及规章制度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_Toc25605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_Toc20124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6.</w:t>
      </w:r>
      <w:r>
        <w:rPr>
          <w:rFonts w:hint="default" w:ascii="Times New Roman" w:hAnsi="Times New Roman" w:eastAsia="宋体" w:cs="Times New Roman"/>
          <w:bCs/>
          <w:sz w:val="28"/>
          <w:szCs w:val="28"/>
          <w:lang w:val="en-US" w:eastAsia="zh-CN"/>
        </w:rPr>
        <w:t>3</w:t>
      </w:r>
      <w:r>
        <w:rPr>
          <w:rFonts w:hint="default" w:ascii="Times New Roman" w:hAnsi="Times New Roman" w:eastAsia="宋体" w:cs="Times New Roman"/>
          <w:bCs/>
          <w:sz w:val="28"/>
          <w:szCs w:val="28"/>
        </w:rPr>
        <w:t xml:space="preserve"> 施工期环境调查</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_Toc20124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_Toc7957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sz w:val="28"/>
          <w:szCs w:val="28"/>
          <w:lang w:val="en-US" w:eastAsia="zh-CN"/>
        </w:rPr>
        <w:t>6.4 事故应急预案</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_Toc7957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_Toc30621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 xml:space="preserve">5 </w:t>
      </w:r>
      <w:r>
        <w:rPr>
          <w:rFonts w:hint="default" w:ascii="Times New Roman" w:hAnsi="Times New Roman" w:eastAsia="宋体" w:cs="Times New Roman"/>
          <w:sz w:val="28"/>
          <w:szCs w:val="28"/>
        </w:rPr>
        <w:t>排污口规范化</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_Toc30621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_Toc24603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lang w:val="en-US" w:eastAsia="zh-CN"/>
        </w:rPr>
        <w:t xml:space="preserve">6.6 </w:t>
      </w:r>
      <w:r>
        <w:rPr>
          <w:rFonts w:hint="default" w:ascii="Times New Roman" w:hAnsi="Times New Roman" w:eastAsia="宋体" w:cs="Times New Roman"/>
          <w:bCs/>
          <w:sz w:val="28"/>
          <w:szCs w:val="28"/>
        </w:rPr>
        <w:t>环境保护措施落实情况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_Toc24603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18"/>
        <w:widowControl w:val="0"/>
        <w:tabs>
          <w:tab w:val="right" w:leader="dot" w:pos="8306"/>
        </w:tabs>
        <w:wordWrap/>
        <w:adjustRightInd/>
        <w:snapToGrid/>
        <w:spacing w:before="0" w:after="0"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val="0"/>
          <w:caps w:val="0"/>
          <w:color w:val="auto"/>
          <w:sz w:val="28"/>
          <w:szCs w:val="28"/>
        </w:rPr>
        <w:fldChar w:fldCharType="begin"/>
      </w:r>
      <w:r>
        <w:rPr>
          <w:rFonts w:hint="default" w:ascii="Times New Roman" w:hAnsi="Times New Roman" w:eastAsia="宋体" w:cs="Times New Roman"/>
          <w:bCs w:val="0"/>
          <w:caps w:val="0"/>
          <w:sz w:val="28"/>
          <w:szCs w:val="28"/>
        </w:rPr>
        <w:instrText xml:space="preserve"> HYPERLINK \l _Toc8334 </w:instrText>
      </w:r>
      <w:r>
        <w:rPr>
          <w:rFonts w:hint="default" w:ascii="Times New Roman" w:hAnsi="Times New Roman" w:eastAsia="宋体" w:cs="Times New Roman"/>
          <w:bCs w:val="0"/>
          <w:caps w:val="0"/>
          <w:sz w:val="28"/>
          <w:szCs w:val="28"/>
        </w:rPr>
        <w:fldChar w:fldCharType="separate"/>
      </w:r>
      <w:r>
        <w:rPr>
          <w:rFonts w:hint="default" w:ascii="Times New Roman" w:hAnsi="Times New Roman" w:eastAsia="宋体" w:cs="Times New Roman"/>
          <w:sz w:val="28"/>
          <w:szCs w:val="28"/>
        </w:rPr>
        <w:t>第七章  公众意见调查</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_Toc8334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val="0"/>
          <w:caps w:val="0"/>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_Toc16606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7.1 调查范围和人员构成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_Toc16606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_Toc3237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7.2 调查内容</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_Toc3237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_Toc28188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rPr>
        <w:t>7.3 调查结果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_Toc28188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18"/>
        <w:widowControl w:val="0"/>
        <w:tabs>
          <w:tab w:val="right" w:leader="dot" w:pos="8306"/>
        </w:tabs>
        <w:wordWrap/>
        <w:adjustRightInd/>
        <w:snapToGrid/>
        <w:spacing w:before="0" w:after="0"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val="0"/>
          <w:caps w:val="0"/>
          <w:color w:val="auto"/>
          <w:sz w:val="28"/>
          <w:szCs w:val="28"/>
        </w:rPr>
        <w:fldChar w:fldCharType="begin"/>
      </w:r>
      <w:r>
        <w:rPr>
          <w:rFonts w:hint="default" w:ascii="Times New Roman" w:hAnsi="Times New Roman" w:eastAsia="宋体" w:cs="Times New Roman"/>
          <w:bCs w:val="0"/>
          <w:caps w:val="0"/>
          <w:sz w:val="28"/>
          <w:szCs w:val="28"/>
        </w:rPr>
        <w:instrText xml:space="preserve"> HYPERLINK \l _Toc23167 </w:instrText>
      </w:r>
      <w:r>
        <w:rPr>
          <w:rFonts w:hint="default" w:ascii="Times New Roman" w:hAnsi="Times New Roman" w:eastAsia="宋体" w:cs="Times New Roman"/>
          <w:bCs w:val="0"/>
          <w:caps w:val="0"/>
          <w:sz w:val="28"/>
          <w:szCs w:val="28"/>
        </w:rPr>
        <w:fldChar w:fldCharType="separate"/>
      </w:r>
      <w:r>
        <w:rPr>
          <w:rFonts w:hint="default" w:ascii="Times New Roman" w:hAnsi="Times New Roman" w:eastAsia="宋体" w:cs="Times New Roman"/>
          <w:bCs/>
          <w:sz w:val="28"/>
          <w:szCs w:val="28"/>
        </w:rPr>
        <w:t>第</w:t>
      </w:r>
      <w:r>
        <w:rPr>
          <w:rFonts w:hint="default" w:ascii="Times New Roman" w:hAnsi="Times New Roman" w:eastAsia="宋体" w:cs="Times New Roman"/>
          <w:bCs/>
          <w:sz w:val="28"/>
          <w:szCs w:val="28"/>
          <w:lang w:eastAsia="zh-CN"/>
        </w:rPr>
        <w:t>八</w:t>
      </w:r>
      <w:r>
        <w:rPr>
          <w:rFonts w:hint="default" w:ascii="Times New Roman" w:hAnsi="Times New Roman" w:eastAsia="宋体" w:cs="Times New Roman"/>
          <w:bCs/>
          <w:sz w:val="28"/>
          <w:szCs w:val="28"/>
        </w:rPr>
        <w:t>章  结论和建议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_Toc23167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val="0"/>
          <w:caps w:val="0"/>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_Toc1397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rPr>
        <w:t>.1 验收</w:t>
      </w:r>
      <w:r>
        <w:rPr>
          <w:rFonts w:hint="default" w:ascii="Times New Roman" w:hAnsi="Times New Roman" w:eastAsia="宋体" w:cs="Times New Roman"/>
          <w:sz w:val="28"/>
          <w:szCs w:val="28"/>
          <w:lang w:eastAsia="zh-CN"/>
        </w:rPr>
        <w:t>监测</w:t>
      </w:r>
      <w:r>
        <w:rPr>
          <w:rFonts w:hint="default" w:ascii="Times New Roman" w:hAnsi="Times New Roman" w:eastAsia="宋体" w:cs="Times New Roman"/>
          <w:sz w:val="28"/>
          <w:szCs w:val="28"/>
        </w:rPr>
        <w:t>结论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_Toc1397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_Toc3303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lang w:val="en-US" w:eastAsia="zh-CN"/>
        </w:rPr>
        <w:t>8</w:t>
      </w:r>
      <w:r>
        <w:rPr>
          <w:rFonts w:hint="default" w:ascii="Times New Roman" w:hAnsi="Times New Roman" w:eastAsia="宋体" w:cs="Times New Roman"/>
          <w:bCs/>
          <w:sz w:val="28"/>
          <w:szCs w:val="28"/>
        </w:rPr>
        <w:t>.2 验收建议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_Toc3303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21"/>
        <w:widowControl w:val="0"/>
        <w:tabs>
          <w:tab w:val="right" w:leader="dot" w:pos="8306"/>
        </w:tabs>
        <w:wordWrap/>
        <w:adjustRightInd/>
        <w:snapToGrid/>
        <w:spacing w:line="490" w:lineRule="exact"/>
        <w:ind w:right="0" w:firstLine="0" w:firstLineChars="0"/>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bCs/>
          <w:caps/>
          <w:color w:val="auto"/>
          <w:sz w:val="28"/>
          <w:szCs w:val="28"/>
        </w:rPr>
        <w:fldChar w:fldCharType="begin"/>
      </w:r>
      <w:r>
        <w:rPr>
          <w:rFonts w:hint="default" w:ascii="Times New Roman" w:hAnsi="Times New Roman" w:eastAsia="宋体" w:cs="Times New Roman"/>
          <w:bCs/>
          <w:caps/>
          <w:sz w:val="28"/>
          <w:szCs w:val="28"/>
        </w:rPr>
        <w:instrText xml:space="preserve"> HYPERLINK \l _Toc4994 </w:instrText>
      </w:r>
      <w:r>
        <w:rPr>
          <w:rFonts w:hint="default" w:ascii="Times New Roman" w:hAnsi="Times New Roman" w:eastAsia="宋体" w:cs="Times New Roman"/>
          <w:bCs/>
          <w:caps/>
          <w:sz w:val="28"/>
          <w:szCs w:val="28"/>
        </w:rPr>
        <w:fldChar w:fldCharType="separate"/>
      </w:r>
      <w:r>
        <w:rPr>
          <w:rFonts w:hint="default" w:ascii="Times New Roman" w:hAnsi="Times New Roman" w:eastAsia="宋体" w:cs="Times New Roman"/>
          <w:bCs/>
          <w:sz w:val="28"/>
          <w:szCs w:val="28"/>
          <w:lang w:val="en-US" w:eastAsia="zh-CN"/>
        </w:rPr>
        <w:t>8</w:t>
      </w:r>
      <w:r>
        <w:rPr>
          <w:rFonts w:hint="default" w:ascii="Times New Roman" w:hAnsi="Times New Roman" w:eastAsia="宋体" w:cs="Times New Roman"/>
          <w:bCs/>
          <w:sz w:val="28"/>
          <w:szCs w:val="28"/>
        </w:rPr>
        <w:t>.3 验收</w:t>
      </w:r>
      <w:r>
        <w:rPr>
          <w:rFonts w:hint="default" w:ascii="Times New Roman" w:hAnsi="Times New Roman" w:eastAsia="宋体" w:cs="Times New Roman"/>
          <w:bCs/>
          <w:sz w:val="28"/>
          <w:szCs w:val="28"/>
          <w:lang w:eastAsia="zh-CN"/>
        </w:rPr>
        <w:t>总</w:t>
      </w:r>
      <w:r>
        <w:rPr>
          <w:rFonts w:hint="default" w:ascii="Times New Roman" w:hAnsi="Times New Roman" w:eastAsia="宋体" w:cs="Times New Roman"/>
          <w:bCs/>
          <w:sz w:val="28"/>
          <w:szCs w:val="28"/>
        </w:rPr>
        <w:t>结论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_Toc4994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aps/>
          <w:color w:val="auto"/>
          <w:sz w:val="28"/>
          <w:szCs w:val="28"/>
        </w:rPr>
        <w:fldChar w:fldCharType="end"/>
      </w:r>
    </w:p>
    <w:p>
      <w:pPr>
        <w:pStyle w:val="18"/>
        <w:widowControl w:val="0"/>
        <w:wordWrap/>
        <w:adjustRightInd/>
        <w:snapToGrid/>
        <w:spacing w:before="0" w:after="0" w:line="490" w:lineRule="exact"/>
        <w:ind w:right="0" w:firstLine="0" w:firstLineChars="0"/>
        <w:jc w:val="both"/>
        <w:textAlignment w:val="auto"/>
        <w:outlineLvl w:val="9"/>
        <w:rPr>
          <w:rFonts w:hint="default" w:ascii="Times New Roman" w:hAnsi="Times New Roman" w:eastAsia="宋体" w:cs="Times New Roman"/>
          <w:bCs w:val="0"/>
          <w:caps w:val="0"/>
          <w:color w:val="auto"/>
          <w:sz w:val="28"/>
          <w:szCs w:val="28"/>
        </w:rPr>
      </w:pPr>
      <w:r>
        <w:rPr>
          <w:rFonts w:hint="default" w:ascii="Times New Roman" w:hAnsi="Times New Roman" w:eastAsia="宋体" w:cs="Times New Roman"/>
          <w:bCs w:val="0"/>
          <w:caps w:val="0"/>
          <w:color w:val="auto"/>
          <w:sz w:val="28"/>
          <w:szCs w:val="28"/>
        </w:rPr>
        <w:fldChar w:fldCharType="end"/>
      </w:r>
    </w:p>
    <w:p>
      <w:pPr>
        <w:pStyle w:val="34"/>
        <w:widowControl w:val="0"/>
        <w:wordWrap/>
        <w:adjustRightInd/>
        <w:snapToGrid/>
        <w:spacing w:before="313" w:beforeLines="100" w:after="313" w:afterLines="100" w:line="520" w:lineRule="exact"/>
        <w:ind w:left="0" w:leftChars="0" w:right="0" w:firstLine="0" w:firstLineChars="0"/>
        <w:jc w:val="both"/>
        <w:textAlignment w:val="auto"/>
        <w:outlineLvl w:val="0"/>
        <w:rPr>
          <w:rFonts w:hint="eastAsia" w:ascii="黑体" w:hAnsi="黑体" w:eastAsia="黑体" w:cs="黑体"/>
          <w:bCs/>
          <w:color w:val="auto"/>
          <w:sz w:val="36"/>
          <w:szCs w:val="36"/>
          <w:lang w:val="en-US" w:eastAsia="zh-CN"/>
        </w:rPr>
      </w:pPr>
      <w:bookmarkStart w:id="4" w:name="_Toc16910"/>
      <w:r>
        <w:rPr>
          <w:rFonts w:hint="eastAsia" w:ascii="黑体" w:hAnsi="黑体" w:eastAsia="黑体" w:cs="黑体"/>
          <w:bCs/>
          <w:color w:val="auto"/>
          <w:sz w:val="36"/>
          <w:szCs w:val="36"/>
          <w:lang w:val="en-US" w:eastAsia="zh-CN"/>
        </w:rPr>
        <w:t xml:space="preserve">   </w:t>
      </w:r>
    </w:p>
    <w:p>
      <w:pPr>
        <w:pStyle w:val="34"/>
        <w:widowControl w:val="0"/>
        <w:wordWrap/>
        <w:adjustRightInd/>
        <w:snapToGrid/>
        <w:spacing w:before="313" w:beforeLines="100" w:after="313" w:afterLines="100" w:line="520" w:lineRule="exact"/>
        <w:ind w:left="0" w:leftChars="0" w:right="0" w:firstLine="0" w:firstLineChars="0"/>
        <w:jc w:val="both"/>
        <w:textAlignment w:val="auto"/>
        <w:outlineLvl w:val="0"/>
        <w:rPr>
          <w:rFonts w:hint="eastAsia" w:ascii="黑体" w:hAnsi="黑体" w:eastAsia="黑体" w:cs="黑体"/>
          <w:bCs/>
          <w:color w:val="auto"/>
          <w:sz w:val="36"/>
          <w:szCs w:val="36"/>
          <w:lang w:val="en-US" w:eastAsia="zh-CN"/>
        </w:rPr>
      </w:pPr>
    </w:p>
    <w:p>
      <w:pPr>
        <w:pStyle w:val="34"/>
        <w:widowControl w:val="0"/>
        <w:wordWrap/>
        <w:adjustRightInd/>
        <w:snapToGrid/>
        <w:spacing w:before="313" w:beforeLines="100" w:after="313" w:afterLines="100" w:line="520" w:lineRule="exact"/>
        <w:ind w:left="0" w:leftChars="0" w:right="0" w:firstLine="0" w:firstLineChars="0"/>
        <w:jc w:val="both"/>
        <w:textAlignment w:val="auto"/>
        <w:outlineLvl w:val="0"/>
        <w:rPr>
          <w:rFonts w:hint="eastAsia" w:ascii="黑体" w:hAnsi="黑体" w:eastAsia="黑体" w:cs="黑体"/>
          <w:bCs/>
          <w:color w:val="auto"/>
          <w:sz w:val="36"/>
          <w:szCs w:val="36"/>
          <w:lang w:val="en-US" w:eastAsia="zh-CN"/>
        </w:rPr>
      </w:pPr>
    </w:p>
    <w:p>
      <w:pPr>
        <w:pStyle w:val="34"/>
        <w:widowControl w:val="0"/>
        <w:wordWrap/>
        <w:adjustRightInd/>
        <w:snapToGrid/>
        <w:spacing w:before="313" w:beforeLines="100" w:after="313" w:afterLines="100" w:line="520" w:lineRule="exact"/>
        <w:ind w:left="0" w:leftChars="0" w:right="0" w:firstLine="0" w:firstLineChars="0"/>
        <w:jc w:val="both"/>
        <w:textAlignment w:val="auto"/>
        <w:outlineLvl w:val="0"/>
        <w:rPr>
          <w:rFonts w:hint="eastAsia" w:ascii="黑体" w:hAnsi="黑体" w:eastAsia="黑体" w:cs="黑体"/>
          <w:bCs/>
          <w:color w:val="auto"/>
          <w:sz w:val="36"/>
          <w:szCs w:val="36"/>
          <w:lang w:val="en-US" w:eastAsia="zh-CN"/>
        </w:rPr>
      </w:pPr>
    </w:p>
    <w:p>
      <w:pPr>
        <w:pStyle w:val="34"/>
        <w:widowControl w:val="0"/>
        <w:wordWrap/>
        <w:adjustRightInd/>
        <w:snapToGrid/>
        <w:spacing w:before="313" w:beforeLines="100" w:after="313" w:afterLines="100" w:line="520" w:lineRule="exact"/>
        <w:ind w:left="0" w:leftChars="0" w:right="0" w:firstLine="0" w:firstLineChars="0"/>
        <w:jc w:val="both"/>
        <w:textAlignment w:val="auto"/>
        <w:outlineLvl w:val="0"/>
        <w:rPr>
          <w:rFonts w:hint="eastAsia" w:ascii="黑体" w:hAnsi="黑体" w:eastAsia="黑体" w:cs="黑体"/>
          <w:bCs/>
          <w:color w:val="auto"/>
          <w:sz w:val="36"/>
          <w:szCs w:val="36"/>
          <w:lang w:val="en-US" w:eastAsia="zh-CN"/>
        </w:rPr>
      </w:pPr>
    </w:p>
    <w:p>
      <w:pPr>
        <w:pStyle w:val="34"/>
        <w:widowControl w:val="0"/>
        <w:wordWrap/>
        <w:adjustRightInd/>
        <w:snapToGrid/>
        <w:spacing w:before="313" w:beforeLines="100" w:after="313" w:afterLines="100" w:line="520" w:lineRule="exact"/>
        <w:ind w:left="0" w:leftChars="0" w:right="0" w:firstLine="0" w:firstLineChars="0"/>
        <w:jc w:val="both"/>
        <w:textAlignment w:val="auto"/>
        <w:outlineLvl w:val="0"/>
        <w:rPr>
          <w:rFonts w:hint="eastAsia" w:ascii="黑体" w:hAnsi="黑体" w:eastAsia="黑体" w:cs="黑体"/>
          <w:bCs/>
          <w:color w:val="auto"/>
          <w:sz w:val="36"/>
          <w:szCs w:val="36"/>
          <w:lang w:val="en-US" w:eastAsia="zh-CN"/>
        </w:rPr>
      </w:pPr>
    </w:p>
    <w:p>
      <w:pPr>
        <w:pStyle w:val="34"/>
        <w:widowControl w:val="0"/>
        <w:wordWrap/>
        <w:adjustRightInd/>
        <w:snapToGrid/>
        <w:spacing w:before="313" w:beforeLines="100" w:after="313" w:afterLines="100" w:line="520" w:lineRule="exact"/>
        <w:ind w:left="0" w:leftChars="0" w:right="0" w:firstLine="0" w:firstLineChars="0"/>
        <w:jc w:val="both"/>
        <w:textAlignment w:val="auto"/>
        <w:outlineLvl w:val="0"/>
        <w:rPr>
          <w:rFonts w:hint="eastAsia" w:ascii="黑体" w:hAnsi="黑体" w:eastAsia="黑体" w:cs="黑体"/>
          <w:bCs/>
          <w:color w:val="auto"/>
          <w:sz w:val="36"/>
          <w:szCs w:val="36"/>
          <w:lang w:val="en-US" w:eastAsia="zh-CN"/>
        </w:rPr>
      </w:pPr>
    </w:p>
    <w:p>
      <w:pPr>
        <w:pStyle w:val="34"/>
        <w:widowControl w:val="0"/>
        <w:wordWrap/>
        <w:adjustRightInd/>
        <w:snapToGrid/>
        <w:spacing w:before="313" w:beforeLines="100" w:after="313" w:afterLines="100" w:line="520" w:lineRule="exact"/>
        <w:ind w:left="0" w:leftChars="0" w:right="0" w:firstLine="0" w:firstLineChars="0"/>
        <w:jc w:val="both"/>
        <w:textAlignment w:val="auto"/>
        <w:outlineLvl w:val="0"/>
        <w:rPr>
          <w:rFonts w:hint="eastAsia" w:ascii="黑体" w:hAnsi="黑体" w:eastAsia="黑体" w:cs="黑体"/>
          <w:bCs/>
          <w:color w:val="auto"/>
          <w:sz w:val="36"/>
          <w:szCs w:val="36"/>
          <w:lang w:val="en-US" w:eastAsia="zh-CN"/>
        </w:rPr>
      </w:pPr>
    </w:p>
    <w:p>
      <w:pPr>
        <w:pStyle w:val="34"/>
        <w:widowControl w:val="0"/>
        <w:wordWrap/>
        <w:adjustRightInd/>
        <w:snapToGrid/>
        <w:spacing w:before="313" w:beforeLines="100" w:after="313" w:afterLines="100" w:line="520" w:lineRule="exact"/>
        <w:ind w:left="0" w:leftChars="0" w:right="0" w:firstLine="0" w:firstLineChars="0"/>
        <w:jc w:val="center"/>
        <w:textAlignment w:val="auto"/>
        <w:outlineLvl w:val="0"/>
        <w:rPr>
          <w:rFonts w:hint="eastAsia" w:ascii="黑体" w:hAnsi="黑体" w:eastAsia="黑体" w:cs="黑体"/>
          <w:bCs/>
          <w:color w:val="auto"/>
          <w:sz w:val="36"/>
          <w:szCs w:val="36"/>
        </w:rPr>
      </w:pPr>
      <w:r>
        <w:rPr>
          <w:rFonts w:hint="eastAsia" w:ascii="黑体" w:hAnsi="黑体" w:eastAsia="黑体" w:cs="黑体"/>
          <w:bCs/>
          <w:color w:val="auto"/>
          <w:sz w:val="36"/>
          <w:szCs w:val="36"/>
        </w:rPr>
        <w:t>前   言</w:t>
      </w:r>
      <w:bookmarkEnd w:id="4"/>
    </w:p>
    <w:p>
      <w:pPr>
        <w:widowControl/>
        <w:wordWrap/>
        <w:adjustRightInd w:val="0"/>
        <w:snapToGrid w:val="0"/>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随着石化能源的日益紧张，作为绿色环保新能源之一的风力发电场的开发建设已是十分必要，已经成为经济发展中的战略方针。风电场建成后，将提高可再生能源的利用，改善地方电网电源结构，促进地区经济可持续发展。新疆哈密风电基地二期三塘湖第三风电场B 区200MW项目属于《新疆哈密地区千万千瓦级风电基地二期项目开发建设方案》中三塘湖风区开发建设项目。建成了</w:t>
      </w:r>
      <w:r>
        <w:rPr>
          <w:rFonts w:hint="eastAsia" w:ascii="Times New Roman" w:hAnsi="Times New Roman" w:eastAsia="宋体" w:cs="Times New Roman"/>
          <w:color w:val="auto"/>
          <w:sz w:val="28"/>
          <w:szCs w:val="28"/>
          <w:lang w:val="en-US" w:eastAsia="zh-CN"/>
        </w:rPr>
        <w:t>80</w:t>
      </w:r>
      <w:r>
        <w:rPr>
          <w:rFonts w:hint="default" w:ascii="Times New Roman" w:hAnsi="Times New Roman" w:eastAsia="宋体" w:cs="Times New Roman"/>
          <w:color w:val="auto"/>
          <w:sz w:val="28"/>
          <w:szCs w:val="28"/>
          <w:lang w:val="en-US" w:eastAsia="zh-CN"/>
        </w:rPr>
        <w:t>台单机容量为</w:t>
      </w:r>
      <w:r>
        <w:rPr>
          <w:rFonts w:hint="eastAsia" w:ascii="Times New Roman" w:hAnsi="Times New Roman" w:eastAsia="宋体" w:cs="Times New Roman"/>
          <w:color w:val="auto"/>
          <w:sz w:val="28"/>
          <w:szCs w:val="28"/>
          <w:lang w:val="en-US" w:eastAsia="zh-CN"/>
        </w:rPr>
        <w:t>25</w:t>
      </w:r>
      <w:r>
        <w:rPr>
          <w:rFonts w:hint="default" w:ascii="Times New Roman" w:hAnsi="Times New Roman" w:eastAsia="宋体" w:cs="Times New Roman"/>
          <w:color w:val="auto"/>
          <w:sz w:val="28"/>
          <w:szCs w:val="28"/>
          <w:lang w:val="en-US" w:eastAsia="zh-CN"/>
        </w:rPr>
        <w:t>00kW的风力发电机组，装机规模为200MW，年上网电量为48775.8万kW·h，年利用小时数为2427h。三塘湖第三风电场B区和C区合建共用一座220kV升压站（</w:t>
      </w:r>
      <w:r>
        <w:rPr>
          <w:rFonts w:hint="eastAsia" w:ascii="Times New Roman" w:hAnsi="Times New Roman" w:eastAsia="宋体" w:cs="Times New Roman"/>
          <w:color w:val="auto"/>
          <w:sz w:val="28"/>
          <w:szCs w:val="28"/>
          <w:lang w:val="en-US" w:eastAsia="zh-CN"/>
        </w:rPr>
        <w:t>与华能新疆三塘湖风力发电有限责任公司合用</w:t>
      </w:r>
      <w:r>
        <w:rPr>
          <w:rFonts w:hint="default" w:ascii="Times New Roman" w:hAnsi="Times New Roman" w:eastAsia="宋体" w:cs="Times New Roman"/>
          <w:color w:val="auto"/>
          <w:sz w:val="28"/>
          <w:szCs w:val="28"/>
          <w:lang w:val="en-US" w:eastAsia="zh-CN"/>
        </w:rPr>
        <w:t>），升压站位于本风场区的西侧。本工程在升压站外的北部东端新建一座监控中心。本工程总投资</w:t>
      </w:r>
      <w:r>
        <w:rPr>
          <w:rFonts w:hint="eastAsia" w:ascii="Times New Roman" w:hAnsi="Times New Roman" w:eastAsia="宋体" w:cs="Times New Roman"/>
          <w:color w:val="auto"/>
          <w:sz w:val="28"/>
          <w:szCs w:val="28"/>
          <w:lang w:val="en-US" w:eastAsia="zh-CN"/>
        </w:rPr>
        <w:t>134000</w:t>
      </w:r>
      <w:r>
        <w:rPr>
          <w:rFonts w:hint="default" w:ascii="Times New Roman" w:hAnsi="Times New Roman" w:eastAsia="宋体" w:cs="Times New Roman"/>
          <w:color w:val="auto"/>
          <w:sz w:val="28"/>
          <w:szCs w:val="28"/>
          <w:lang w:val="en-US" w:eastAsia="zh-CN"/>
        </w:rPr>
        <w:t>万元，其中环保投资</w:t>
      </w:r>
      <w:r>
        <w:rPr>
          <w:rFonts w:hint="eastAsia" w:ascii="Times New Roman" w:hAnsi="Times New Roman" w:eastAsia="宋体" w:cs="Times New Roman"/>
          <w:color w:val="auto"/>
          <w:sz w:val="28"/>
          <w:szCs w:val="28"/>
          <w:lang w:val="en-US" w:eastAsia="zh-CN"/>
        </w:rPr>
        <w:t>228.4</w:t>
      </w:r>
      <w:r>
        <w:rPr>
          <w:rFonts w:hint="default" w:ascii="Times New Roman" w:hAnsi="Times New Roman" w:eastAsia="宋体" w:cs="Times New Roman"/>
          <w:color w:val="auto"/>
          <w:sz w:val="28"/>
          <w:szCs w:val="28"/>
          <w:lang w:val="en-US" w:eastAsia="zh-CN"/>
        </w:rPr>
        <w:t>万元，占总投资的0.</w:t>
      </w:r>
      <w:r>
        <w:rPr>
          <w:rFonts w:hint="eastAsia" w:ascii="Times New Roman" w:hAnsi="Times New Roman" w:eastAsia="宋体" w:cs="Times New Roman"/>
          <w:color w:val="auto"/>
          <w:sz w:val="28"/>
          <w:szCs w:val="28"/>
          <w:lang w:val="en-US" w:eastAsia="zh-CN"/>
        </w:rPr>
        <w:t>17</w:t>
      </w:r>
      <w:r>
        <w:rPr>
          <w:rFonts w:hint="default" w:ascii="Times New Roman" w:hAnsi="Times New Roman" w:eastAsia="宋体" w:cs="Times New Roman"/>
          <w:color w:val="auto"/>
          <w:sz w:val="28"/>
          <w:szCs w:val="28"/>
          <w:lang w:val="en-US" w:eastAsia="zh-CN"/>
        </w:rPr>
        <w:t>%。</w:t>
      </w:r>
    </w:p>
    <w:p>
      <w:pPr>
        <w:widowControl/>
        <w:wordWrap/>
        <w:adjustRightInd w:val="0"/>
        <w:snapToGrid w:val="0"/>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2014年3月，新疆鼎耀工程咨询有限公司编写了《新疆哈密风电基地二期三塘湖第三风电场B区200MW项目环境影响报告书》。2014年4月15日，新疆维吾尔自治区环境保护厅以《关于新疆哈密风电基地二期三塘湖第三风电场B区200MW项目环境影响报告书的批复》（新环函[2014]422号文）予以回复。</w:t>
      </w:r>
    </w:p>
    <w:p>
      <w:pPr>
        <w:widowControl/>
        <w:wordWrap/>
        <w:adjustRightInd w:val="0"/>
        <w:snapToGrid w:val="0"/>
        <w:spacing w:line="520" w:lineRule="exact"/>
        <w:ind w:left="0" w:leftChars="0" w:right="0" w:firstLine="560" w:firstLineChars="200"/>
        <w:jc w:val="both"/>
        <w:textAlignment w:val="auto"/>
        <w:outlineLvl w:val="9"/>
        <w:rPr>
          <w:rFonts w:hint="default" w:ascii="Times New Roman" w:hAnsi="Times New Roman" w:eastAsia="宋体" w:cs="Times New Roman"/>
          <w:bCs/>
          <w:color w:val="auto"/>
          <w:sz w:val="28"/>
          <w:szCs w:val="28"/>
        </w:rPr>
      </w:pPr>
      <w:r>
        <w:rPr>
          <w:rFonts w:hint="default" w:ascii="Times New Roman" w:hAnsi="Times New Roman" w:eastAsia="宋体" w:cs="Times New Roman"/>
          <w:color w:val="auto"/>
          <w:sz w:val="28"/>
          <w:szCs w:val="28"/>
          <w:lang w:val="en-US" w:eastAsia="zh-CN"/>
        </w:rPr>
        <w:t>项目2015年7月开始建设，201</w:t>
      </w:r>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lang w:val="en-US" w:eastAsia="zh-CN"/>
        </w:rPr>
        <w:t>年</w:t>
      </w:r>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lang w:val="en-US" w:eastAsia="zh-CN"/>
        </w:rPr>
        <w:t>月运营。2017年11月，</w:t>
      </w:r>
      <w:r>
        <w:rPr>
          <w:rFonts w:hint="eastAsia" w:ascii="Times New Roman" w:hAnsi="Times New Roman" w:eastAsia="宋体" w:cs="Times New Roman"/>
          <w:color w:val="auto"/>
          <w:sz w:val="28"/>
          <w:szCs w:val="28"/>
          <w:lang w:eastAsia="zh-CN"/>
        </w:rPr>
        <w:t>龙源巴里坤风力发电有限公司</w:t>
      </w:r>
      <w:r>
        <w:rPr>
          <w:rFonts w:hint="default" w:ascii="Times New Roman" w:hAnsi="Times New Roman" w:eastAsia="宋体" w:cs="Times New Roman"/>
          <w:color w:val="auto"/>
          <w:sz w:val="28"/>
          <w:szCs w:val="28"/>
          <w:lang w:val="en-US" w:eastAsia="zh-CN"/>
        </w:rPr>
        <w:t>委托我公司开展项目竣工环境保护调查工作。根据《建设项目环境保护管理条例》及《建设项目竣工环境保护验收管理办法》等相关法律法规，受</w:t>
      </w:r>
      <w:r>
        <w:rPr>
          <w:rFonts w:hint="eastAsia" w:ascii="Times New Roman" w:hAnsi="Times New Roman" w:eastAsia="宋体" w:cs="Times New Roman"/>
          <w:color w:val="auto"/>
          <w:sz w:val="28"/>
          <w:szCs w:val="28"/>
          <w:lang w:eastAsia="zh-CN"/>
        </w:rPr>
        <w:t>龙源巴里坤风力发电有限公司</w:t>
      </w:r>
      <w:r>
        <w:rPr>
          <w:rFonts w:hint="default" w:ascii="Times New Roman" w:hAnsi="Times New Roman" w:eastAsia="宋体" w:cs="Times New Roman"/>
          <w:color w:val="auto"/>
          <w:sz w:val="28"/>
          <w:szCs w:val="28"/>
          <w:lang w:val="en-US" w:eastAsia="zh-CN"/>
        </w:rPr>
        <w:t>委托，新疆天蓝蓝环保技术服务有限公司承担了本项目竣工环境保护验收调查工作。在承接该项目后，公司通过相关技术资料收集和现场踏勘，编写了《新疆哈密风电基地二期三塘湖第三风电场B区200MW项目竣工环境保护验收调查方案》。依据该《方案》内容，公司派工作人员于2017年11月13～14日对该项目进行了现场监测及调查。</w:t>
      </w:r>
      <w:r>
        <w:rPr>
          <w:rFonts w:hint="default" w:ascii="Times New Roman" w:hAnsi="Times New Roman" w:eastAsia="宋体" w:cs="Times New Roman"/>
          <w:sz w:val="28"/>
          <w:szCs w:val="28"/>
        </w:rPr>
        <w:t>同时对该项目的环保设施建设、“三废”处理和综合利用、污染物排放、环境管理等情况逐条对照环评建议及环评批复相关内容进行了全面检查，并编制完成本报告</w:t>
      </w:r>
      <w:r>
        <w:rPr>
          <w:rFonts w:hint="default" w:ascii="Times New Roman" w:hAnsi="Times New Roman" w:eastAsia="宋体" w:cs="Times New Roman"/>
          <w:sz w:val="28"/>
          <w:szCs w:val="28"/>
          <w:lang w:eastAsia="zh-CN"/>
        </w:rPr>
        <w:t>。</w:t>
      </w: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3"/>
        <w:wordWrap/>
        <w:spacing w:line="520" w:lineRule="exact"/>
        <w:ind w:left="0" w:leftChars="0" w:right="0" w:firstLine="560" w:firstLineChars="200"/>
        <w:jc w:val="both"/>
        <w:outlineLvl w:val="9"/>
        <w:rPr>
          <w:rFonts w:hint="default" w:ascii="Times New Roman" w:hAnsi="Times New Roman" w:eastAsia="宋体" w:cs="Times New Roman"/>
          <w:bCs/>
          <w:color w:val="auto"/>
          <w:sz w:val="28"/>
          <w:szCs w:val="28"/>
        </w:rPr>
      </w:pPr>
    </w:p>
    <w:p>
      <w:pPr>
        <w:pStyle w:val="34"/>
        <w:widowControl w:val="0"/>
        <w:wordWrap/>
        <w:adjustRightInd/>
        <w:snapToGrid/>
        <w:spacing w:before="313" w:beforeLines="100" w:after="313" w:afterLines="100" w:line="560" w:lineRule="exact"/>
        <w:ind w:left="0" w:leftChars="0" w:right="0" w:firstLine="0" w:firstLineChars="0"/>
        <w:jc w:val="center"/>
        <w:textAlignment w:val="auto"/>
        <w:outlineLvl w:val="0"/>
        <w:rPr>
          <w:rFonts w:hint="eastAsia" w:ascii="黑体" w:hAnsi="黑体" w:eastAsia="黑体" w:cs="黑体"/>
          <w:bCs/>
          <w:color w:val="auto"/>
          <w:sz w:val="36"/>
          <w:szCs w:val="36"/>
        </w:rPr>
      </w:pPr>
      <w:bookmarkStart w:id="5" w:name="_Toc9903"/>
      <w:r>
        <w:rPr>
          <w:rFonts w:hint="eastAsia" w:ascii="黑体" w:hAnsi="黑体" w:eastAsia="黑体" w:cs="黑体"/>
          <w:bCs/>
          <w:color w:val="auto"/>
          <w:sz w:val="36"/>
          <w:szCs w:val="36"/>
        </w:rPr>
        <w:t>第一章  验收监测依据</w:t>
      </w:r>
      <w:bookmarkEnd w:id="5"/>
    </w:p>
    <w:p>
      <w:pPr>
        <w:widowControl w:val="0"/>
        <w:wordWrap/>
        <w:adjustRightInd/>
        <w:snapToGrid/>
        <w:spacing w:before="157" w:beforeLines="50" w:after="157" w:afterLines="50" w:line="560" w:lineRule="exact"/>
        <w:ind w:left="0" w:leftChars="0" w:right="0" w:firstLine="0" w:firstLineChars="0"/>
        <w:jc w:val="both"/>
        <w:textAlignment w:val="auto"/>
        <w:outlineLvl w:val="1"/>
        <w:rPr>
          <w:rFonts w:hint="default" w:ascii="Times New Roman" w:hAnsi="Times New Roman" w:eastAsia="宋体" w:cs="Times New Roman"/>
          <w:color w:val="auto"/>
          <w:sz w:val="32"/>
          <w:szCs w:val="32"/>
        </w:rPr>
      </w:pPr>
      <w:bookmarkStart w:id="6" w:name="_Toc496881445"/>
      <w:bookmarkStart w:id="7" w:name="_Toc263845859"/>
      <w:bookmarkStart w:id="8" w:name="_Toc162332042"/>
      <w:bookmarkStart w:id="9" w:name="_Toc15453"/>
      <w:bookmarkStart w:id="10" w:name="_Toc263845860"/>
      <w:bookmarkStart w:id="11" w:name="_Toc162332043"/>
      <w:r>
        <w:rPr>
          <w:rFonts w:hint="default" w:ascii="Times New Roman" w:hAnsi="Times New Roman" w:eastAsia="宋体" w:cs="Times New Roman"/>
          <w:b/>
          <w:bCs/>
          <w:color w:val="auto"/>
          <w:sz w:val="32"/>
          <w:szCs w:val="32"/>
        </w:rPr>
        <w:t>1.1 法律法规及条例</w:t>
      </w:r>
      <w:bookmarkEnd w:id="6"/>
      <w:bookmarkEnd w:id="7"/>
      <w:bookmarkEnd w:id="8"/>
      <w:bookmarkEnd w:id="9"/>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bookmarkStart w:id="12" w:name="_Toc496881446"/>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rPr>
        <w:t>中华人民共和国环境保护法》，2014年修订，2015年1月1日起施行；</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rPr>
        <w:t>《中华人民共和国大气污染防治法》，2015年8月29日修订，2016年1月1日起施行；</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lang w:eastAsia="zh-CN"/>
        </w:rPr>
        <w:t>《中华人民共和国水染防治法》，2008年6月1日起施行；</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（4）《中华人民共和国固体废物污染环境防治法》，2015年修订；</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（5）《中华人民共和国环境噪声污染防治法》，1997年3月1日起施行；</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lang w:val="en-US" w:eastAsia="zh-CN"/>
        </w:rPr>
        <w:t>《危险废物转移联单管理办法》（国家环境保护总局令第 5 号）；</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lang w:val="en-US" w:eastAsia="zh-CN"/>
        </w:rPr>
        <w:t>《电磁辐射环境保护管理办法》（国家环保总局令第 18 号）；</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（8）</w:t>
      </w:r>
      <w:r>
        <w:rPr>
          <w:rFonts w:hint="default" w:ascii="Times New Roman" w:hAnsi="Times New Roman" w:eastAsia="宋体" w:cs="Times New Roman"/>
          <w:color w:val="auto"/>
          <w:sz w:val="28"/>
          <w:szCs w:val="28"/>
          <w:lang w:val="en-US" w:eastAsia="zh-CN"/>
        </w:rPr>
        <w:t>《环境影响评价公众参与暂行办法》，（2006 年 2 月 1 日起实施）；</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lang w:eastAsia="zh-CN"/>
        </w:rPr>
        <w:t>《电磁辐射环境保护管理办法》（国家环保总局令第 18 号）；</w:t>
      </w:r>
      <w:bookmarkStart w:id="13" w:name="page13"/>
      <w:bookmarkEnd w:id="13"/>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lang w:eastAsia="zh-CN"/>
        </w:rPr>
        <w:t>《国家电网公司环境保护管理办法(试行)》（国家电网公司国家电网科</w:t>
      </w:r>
      <w:r>
        <w:rPr>
          <w:rFonts w:hint="default"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eastAsia="zh-CN"/>
        </w:rPr>
        <w:t>2004</w:t>
      </w:r>
      <w:r>
        <w:rPr>
          <w:rFonts w:hint="default"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eastAsia="zh-CN"/>
        </w:rPr>
        <w:t>85 号文）；</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（11）</w:t>
      </w:r>
      <w:r>
        <w:rPr>
          <w:rFonts w:hint="default" w:ascii="Times New Roman" w:hAnsi="Times New Roman" w:eastAsia="宋体" w:cs="Times New Roman"/>
          <w:color w:val="auto"/>
          <w:sz w:val="28"/>
          <w:szCs w:val="28"/>
          <w:lang w:eastAsia="zh-CN"/>
        </w:rPr>
        <w:t>《建设项目环境保护管理条例》，国务院令第682号，2017年7月16日；</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（12）《建设项目竣工环境保护验收暂行办法》，环保部（国环规环评[2017]4号），2017年11月20日。</w:t>
      </w:r>
    </w:p>
    <w:p>
      <w:pPr>
        <w:widowControl w:val="0"/>
        <w:wordWrap/>
        <w:adjustRightInd/>
        <w:snapToGrid/>
        <w:spacing w:before="157" w:beforeLines="50" w:after="157" w:afterLines="50" w:line="56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14" w:name="_Toc31507"/>
      <w:r>
        <w:rPr>
          <w:rFonts w:hint="default" w:ascii="Times New Roman" w:hAnsi="Times New Roman" w:eastAsia="宋体" w:cs="Times New Roman"/>
          <w:b/>
          <w:bCs/>
          <w:color w:val="auto"/>
          <w:sz w:val="32"/>
          <w:szCs w:val="32"/>
        </w:rPr>
        <w:t>1.2 项目文件</w:t>
      </w:r>
      <w:bookmarkEnd w:id="12"/>
      <w:bookmarkEnd w:id="14"/>
    </w:p>
    <w:bookmarkEnd w:id="10"/>
    <w:bookmarkEnd w:id="11"/>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kern w:val="0"/>
          <w:sz w:val="28"/>
          <w:szCs w:val="28"/>
          <w:lang w:val="en-US" w:eastAsia="zh-CN"/>
        </w:rPr>
        <w:t>新疆鼎耀工程咨询有限公司</w:t>
      </w:r>
      <w:r>
        <w:rPr>
          <w:rFonts w:hint="default" w:ascii="Times New Roman" w:hAnsi="Times New Roman" w:eastAsia="宋体" w:cs="Times New Roman"/>
          <w:color w:val="auto"/>
          <w:sz w:val="28"/>
          <w:szCs w:val="28"/>
        </w:rPr>
        <w:t>编写的《</w:t>
      </w:r>
      <w:r>
        <w:rPr>
          <w:rFonts w:hint="default" w:ascii="Times New Roman" w:hAnsi="Times New Roman" w:eastAsia="宋体" w:cs="Times New Roman"/>
          <w:color w:val="auto"/>
          <w:sz w:val="28"/>
          <w:szCs w:val="28"/>
          <w:lang w:val="en-US" w:eastAsia="zh-CN"/>
        </w:rPr>
        <w:t>新疆哈密风电基地二期三塘湖第三风电场B区200MW项目环境影响报告书</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2014</w:t>
      </w:r>
      <w:r>
        <w:rPr>
          <w:rFonts w:hint="default" w:ascii="Times New Roman" w:hAnsi="Times New Roman" w:eastAsia="宋体" w:cs="Times New Roman"/>
          <w:color w:val="auto"/>
          <w:sz w:val="28"/>
          <w:szCs w:val="28"/>
        </w:rPr>
        <w:t>年</w:t>
      </w: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月；</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（2）新疆维吾尔族自治区环境保护厅《关于新疆哈密风电基地二期三塘湖第三风电场B区200MW 项目环境影响报告书的批复》（新环函</w:t>
      </w:r>
      <w:r>
        <w:rPr>
          <w:rFonts w:hint="eastAsia" w:ascii="宋体" w:hAnsi="宋体" w:eastAsia="宋体" w:cs="宋体"/>
          <w:color w:val="auto"/>
          <w:sz w:val="28"/>
          <w:szCs w:val="28"/>
          <w:lang w:val="en-US" w:eastAsia="zh-CN"/>
        </w:rPr>
        <w:t>〔</w:t>
      </w:r>
      <w:r>
        <w:rPr>
          <w:rFonts w:hint="default" w:ascii="Times New Roman" w:hAnsi="Times New Roman" w:eastAsia="宋体" w:cs="Times New Roman"/>
          <w:color w:val="auto"/>
          <w:sz w:val="28"/>
          <w:szCs w:val="28"/>
          <w:lang w:val="en-US" w:eastAsia="zh-CN"/>
        </w:rPr>
        <w:t>2014</w:t>
      </w:r>
      <w:r>
        <w:rPr>
          <w:rFonts w:hint="eastAsia" w:ascii="宋体" w:hAnsi="宋体" w:eastAsia="宋体" w:cs="宋体"/>
          <w:color w:val="auto"/>
          <w:sz w:val="28"/>
          <w:szCs w:val="28"/>
          <w:lang w:val="en-US" w:eastAsia="zh-CN"/>
        </w:rPr>
        <w:t>〕</w:t>
      </w:r>
      <w:r>
        <w:rPr>
          <w:rFonts w:hint="default" w:ascii="Times New Roman" w:hAnsi="Times New Roman" w:eastAsia="宋体" w:cs="Times New Roman"/>
          <w:color w:val="auto"/>
          <w:sz w:val="28"/>
          <w:szCs w:val="28"/>
          <w:lang w:val="en-US" w:eastAsia="zh-CN"/>
        </w:rPr>
        <w:t>422号），2014年4月15日；</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（3）新疆哈密风电基地二期三塘湖第三风电场B区200MW项目竣工环境保护验收调查委托书，2017年11月11日；</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新疆天蓝蓝环保技术服务有限公司编制“</w:t>
      </w:r>
      <w:r>
        <w:rPr>
          <w:rFonts w:hint="default" w:ascii="Times New Roman" w:hAnsi="Times New Roman" w:eastAsia="宋体" w:cs="Times New Roman"/>
          <w:color w:val="auto"/>
          <w:sz w:val="28"/>
          <w:szCs w:val="28"/>
          <w:lang w:val="en-US" w:eastAsia="zh-CN"/>
        </w:rPr>
        <w:t>新疆哈密风电基地二期三塘湖第三风电场B区200MW项目</w:t>
      </w:r>
      <w:r>
        <w:rPr>
          <w:rFonts w:hint="default" w:ascii="Times New Roman" w:hAnsi="Times New Roman" w:eastAsia="宋体" w:cs="Times New Roman"/>
          <w:color w:val="auto"/>
          <w:sz w:val="28"/>
          <w:szCs w:val="28"/>
        </w:rPr>
        <w:t>竣工环境保护验收</w:t>
      </w:r>
      <w:r>
        <w:rPr>
          <w:rFonts w:hint="default" w:ascii="Times New Roman" w:hAnsi="Times New Roman" w:eastAsia="宋体" w:cs="Times New Roman"/>
          <w:color w:val="auto"/>
          <w:sz w:val="28"/>
          <w:szCs w:val="28"/>
          <w:lang w:val="en-US" w:eastAsia="zh-CN"/>
        </w:rPr>
        <w:t>调查</w:t>
      </w:r>
      <w:r>
        <w:rPr>
          <w:rFonts w:hint="default" w:ascii="Times New Roman" w:hAnsi="Times New Roman" w:eastAsia="宋体" w:cs="Times New Roman"/>
          <w:color w:val="auto"/>
          <w:sz w:val="28"/>
          <w:szCs w:val="28"/>
        </w:rPr>
        <w:t>方案”，2017年</w:t>
      </w:r>
      <w:r>
        <w:rPr>
          <w:rFonts w:hint="default" w:ascii="Times New Roman" w:hAnsi="Times New Roman" w:eastAsia="宋体" w:cs="Times New Roman"/>
          <w:color w:val="auto"/>
          <w:sz w:val="28"/>
          <w:szCs w:val="28"/>
          <w:lang w:val="en-US" w:eastAsia="zh-CN"/>
        </w:rPr>
        <w:t>11</w:t>
      </w:r>
      <w:r>
        <w:rPr>
          <w:rFonts w:hint="default" w:ascii="Times New Roman" w:hAnsi="Times New Roman" w:eastAsia="宋体" w:cs="Times New Roman"/>
          <w:color w:val="auto"/>
          <w:sz w:val="28"/>
          <w:szCs w:val="28"/>
        </w:rPr>
        <w:t>月</w:t>
      </w:r>
      <w:r>
        <w:rPr>
          <w:rFonts w:hint="default" w:ascii="Times New Roman" w:hAnsi="Times New Roman" w:eastAsia="宋体" w:cs="Times New Roman"/>
          <w:color w:val="auto"/>
          <w:sz w:val="28"/>
          <w:szCs w:val="28"/>
          <w:lang w:val="en-US" w:eastAsia="zh-CN"/>
        </w:rPr>
        <w:t>12</w:t>
      </w:r>
      <w:r>
        <w:rPr>
          <w:rFonts w:hint="default" w:ascii="Times New Roman" w:hAnsi="Times New Roman" w:eastAsia="宋体" w:cs="Times New Roman"/>
          <w:color w:val="auto"/>
          <w:sz w:val="28"/>
          <w:szCs w:val="28"/>
        </w:rPr>
        <w:t>日。</w:t>
      </w:r>
    </w:p>
    <w:p>
      <w:pPr>
        <w:pStyle w:val="2"/>
        <w:wordWrap/>
        <w:spacing w:line="520" w:lineRule="exact"/>
        <w:ind w:left="0" w:leftChars="0" w:right="0" w:firstLine="560" w:firstLineChars="200"/>
        <w:jc w:val="both"/>
        <w:outlineLvl w:val="9"/>
        <w:rPr>
          <w:rFonts w:hint="default" w:ascii="Times New Roman" w:hAnsi="Times New Roman" w:eastAsia="宋体" w:cs="Times New Roman"/>
          <w:color w:val="auto"/>
          <w:sz w:val="28"/>
          <w:szCs w:val="28"/>
        </w:rPr>
      </w:pPr>
    </w:p>
    <w:p>
      <w:pPr>
        <w:wordWrap/>
        <w:spacing w:line="520" w:lineRule="exact"/>
        <w:ind w:left="0" w:leftChars="0" w:right="0" w:firstLine="560" w:firstLineChars="200"/>
        <w:jc w:val="both"/>
        <w:outlineLvl w:val="9"/>
        <w:rPr>
          <w:rFonts w:hint="default" w:ascii="Times New Roman" w:hAnsi="Times New Roman" w:eastAsia="宋体" w:cs="Times New Roman"/>
          <w:color w:val="auto"/>
          <w:sz w:val="28"/>
          <w:szCs w:val="28"/>
        </w:rPr>
      </w:pPr>
    </w:p>
    <w:p>
      <w:pPr>
        <w:pStyle w:val="2"/>
        <w:wordWrap/>
        <w:spacing w:line="520" w:lineRule="exact"/>
        <w:ind w:left="0" w:leftChars="0" w:right="0" w:firstLine="560" w:firstLineChars="200"/>
        <w:jc w:val="both"/>
        <w:outlineLvl w:val="9"/>
        <w:rPr>
          <w:rFonts w:hint="default" w:ascii="Times New Roman" w:hAnsi="Times New Roman" w:eastAsia="宋体" w:cs="Times New Roman"/>
          <w:color w:val="auto"/>
          <w:sz w:val="28"/>
          <w:szCs w:val="28"/>
        </w:rPr>
      </w:pPr>
    </w:p>
    <w:p>
      <w:pPr>
        <w:wordWrap/>
        <w:spacing w:line="520" w:lineRule="exact"/>
        <w:ind w:left="0" w:leftChars="0" w:right="0" w:firstLine="560" w:firstLineChars="200"/>
        <w:jc w:val="both"/>
        <w:outlineLvl w:val="9"/>
        <w:rPr>
          <w:rFonts w:hint="default" w:ascii="Times New Roman" w:hAnsi="Times New Roman" w:eastAsia="宋体" w:cs="Times New Roman"/>
          <w:color w:val="auto"/>
          <w:sz w:val="28"/>
          <w:szCs w:val="28"/>
        </w:rPr>
      </w:pPr>
    </w:p>
    <w:p>
      <w:pPr>
        <w:pStyle w:val="2"/>
        <w:wordWrap/>
        <w:spacing w:line="520" w:lineRule="exact"/>
        <w:ind w:left="0" w:leftChars="0" w:right="0" w:firstLine="560" w:firstLineChars="200"/>
        <w:jc w:val="both"/>
        <w:outlineLvl w:val="9"/>
        <w:rPr>
          <w:rFonts w:hint="default" w:ascii="Times New Roman" w:hAnsi="Times New Roman" w:eastAsia="宋体" w:cs="Times New Roman"/>
          <w:sz w:val="28"/>
          <w:szCs w:val="28"/>
        </w:rPr>
      </w:pPr>
    </w:p>
    <w:p>
      <w:pPr>
        <w:wordWrap/>
        <w:spacing w:line="520" w:lineRule="exact"/>
        <w:ind w:left="0" w:leftChars="0" w:right="0" w:firstLine="560" w:firstLineChars="200"/>
        <w:jc w:val="both"/>
        <w:outlineLvl w:val="9"/>
        <w:rPr>
          <w:rFonts w:hint="default" w:ascii="Times New Roman" w:hAnsi="Times New Roman" w:eastAsia="宋体" w:cs="Times New Roman"/>
          <w:sz w:val="28"/>
          <w:szCs w:val="28"/>
        </w:rPr>
      </w:pPr>
    </w:p>
    <w:p>
      <w:pPr>
        <w:pStyle w:val="2"/>
        <w:wordWrap/>
        <w:spacing w:line="520" w:lineRule="exact"/>
        <w:ind w:left="0" w:leftChars="0" w:right="0" w:firstLine="560" w:firstLineChars="200"/>
        <w:jc w:val="both"/>
        <w:outlineLvl w:val="9"/>
        <w:rPr>
          <w:rFonts w:hint="default" w:ascii="Times New Roman" w:hAnsi="Times New Roman" w:eastAsia="宋体" w:cs="Times New Roman"/>
          <w:sz w:val="28"/>
          <w:szCs w:val="28"/>
        </w:rPr>
      </w:pPr>
    </w:p>
    <w:p>
      <w:pPr>
        <w:wordWrap/>
        <w:spacing w:line="520" w:lineRule="exact"/>
        <w:ind w:left="0" w:leftChars="0" w:right="0" w:firstLine="560" w:firstLineChars="200"/>
        <w:jc w:val="both"/>
        <w:outlineLvl w:val="9"/>
        <w:rPr>
          <w:rFonts w:hint="default" w:ascii="Times New Roman" w:hAnsi="Times New Roman" w:eastAsia="宋体" w:cs="Times New Roman"/>
          <w:sz w:val="28"/>
          <w:szCs w:val="28"/>
        </w:rPr>
      </w:pPr>
    </w:p>
    <w:p>
      <w:pPr>
        <w:pStyle w:val="2"/>
        <w:wordWrap/>
        <w:spacing w:line="520" w:lineRule="exact"/>
        <w:ind w:left="0" w:leftChars="0" w:right="0" w:firstLine="560" w:firstLineChars="200"/>
        <w:jc w:val="both"/>
        <w:outlineLvl w:val="9"/>
        <w:rPr>
          <w:rFonts w:hint="default" w:ascii="Times New Roman" w:hAnsi="Times New Roman" w:eastAsia="宋体" w:cs="Times New Roman"/>
          <w:sz w:val="28"/>
          <w:szCs w:val="28"/>
        </w:rPr>
      </w:pPr>
    </w:p>
    <w:p>
      <w:pPr>
        <w:rPr>
          <w:rFonts w:hint="default" w:ascii="Times New Roman" w:hAnsi="Times New Roman" w:eastAsia="宋体" w:cs="Times New Roman"/>
          <w:sz w:val="28"/>
          <w:szCs w:val="28"/>
        </w:rPr>
      </w:pPr>
    </w:p>
    <w:p>
      <w:pPr>
        <w:pStyle w:val="2"/>
        <w:rPr>
          <w:rFonts w:hint="default" w:ascii="Times New Roman" w:hAnsi="Times New Roman" w:eastAsia="宋体" w:cs="Times New Roman"/>
          <w:sz w:val="28"/>
          <w:szCs w:val="28"/>
        </w:rPr>
      </w:pPr>
    </w:p>
    <w:p>
      <w:pPr>
        <w:rPr>
          <w:rFonts w:hint="default"/>
        </w:rPr>
      </w:pPr>
    </w:p>
    <w:p>
      <w:pPr>
        <w:pStyle w:val="52"/>
        <w:widowControl w:val="0"/>
        <w:wordWrap/>
        <w:adjustRightInd/>
        <w:snapToGrid/>
        <w:spacing w:before="313" w:beforeLines="100" w:after="313" w:afterLines="100" w:line="600" w:lineRule="exact"/>
        <w:ind w:left="0" w:leftChars="0" w:right="0" w:firstLine="0" w:firstLineChars="0"/>
        <w:jc w:val="center"/>
        <w:textAlignment w:val="auto"/>
        <w:outlineLvl w:val="0"/>
        <w:rPr>
          <w:rFonts w:hint="eastAsia" w:ascii="黑体" w:hAnsi="黑体" w:eastAsia="黑体" w:cs="黑体"/>
          <w:bCs/>
          <w:color w:val="auto"/>
          <w:sz w:val="36"/>
          <w:szCs w:val="36"/>
        </w:rPr>
      </w:pPr>
      <w:bookmarkStart w:id="15" w:name="_Toc8288"/>
      <w:r>
        <w:rPr>
          <w:rFonts w:hint="eastAsia" w:ascii="黑体" w:hAnsi="黑体" w:eastAsia="黑体" w:cs="黑体"/>
          <w:bCs/>
          <w:color w:val="auto"/>
          <w:sz w:val="36"/>
          <w:szCs w:val="36"/>
        </w:rPr>
        <w:t>第二章  项目概况</w:t>
      </w:r>
      <w:bookmarkEnd w:id="15"/>
    </w:p>
    <w:p>
      <w:pPr>
        <w:widowControl w:val="0"/>
        <w:wordWrap/>
        <w:topLinePunct w:val="1"/>
        <w:adjustRightInd w:val="0"/>
        <w:snapToGrid w:val="0"/>
        <w:spacing w:before="157" w:beforeLines="50" w:after="157" w:afterLines="50" w:line="600" w:lineRule="exact"/>
        <w:ind w:left="0" w:leftChars="0" w:right="0" w:firstLine="0" w:firstLineChars="0"/>
        <w:jc w:val="both"/>
        <w:textAlignment w:val="top"/>
        <w:outlineLvl w:val="1"/>
        <w:rPr>
          <w:rFonts w:hint="default" w:ascii="Times New Roman" w:hAnsi="Times New Roman" w:eastAsia="宋体" w:cs="Times New Roman"/>
          <w:b/>
          <w:color w:val="auto"/>
          <w:sz w:val="32"/>
          <w:szCs w:val="32"/>
        </w:rPr>
      </w:pPr>
      <w:bookmarkStart w:id="16" w:name="_Toc10779"/>
      <w:r>
        <w:rPr>
          <w:rFonts w:hint="default" w:ascii="Times New Roman" w:hAnsi="Times New Roman" w:eastAsia="宋体" w:cs="Times New Roman"/>
          <w:b/>
          <w:bCs/>
          <w:color w:val="auto"/>
          <w:sz w:val="32"/>
          <w:szCs w:val="32"/>
        </w:rPr>
        <w:t>2.1</w:t>
      </w:r>
      <w:bookmarkStart w:id="17" w:name="_Toc24383"/>
      <w:r>
        <w:rPr>
          <w:rFonts w:hint="default" w:ascii="Times New Roman" w:hAnsi="Times New Roman" w:eastAsia="宋体" w:cs="Times New Roman"/>
          <w:b/>
          <w:bCs/>
          <w:color w:val="auto"/>
          <w:sz w:val="32"/>
          <w:szCs w:val="32"/>
        </w:rPr>
        <w:t xml:space="preserve"> </w:t>
      </w:r>
      <w:r>
        <w:rPr>
          <w:rFonts w:hint="default" w:ascii="Times New Roman" w:hAnsi="Times New Roman" w:eastAsia="宋体" w:cs="Times New Roman"/>
          <w:b/>
          <w:color w:val="auto"/>
          <w:sz w:val="32"/>
          <w:szCs w:val="32"/>
        </w:rPr>
        <w:t>工程概况</w:t>
      </w:r>
      <w:bookmarkEnd w:id="16"/>
      <w:bookmarkEnd w:id="17"/>
    </w:p>
    <w:p>
      <w:pPr>
        <w:widowControl w:val="0"/>
        <w:wordWrap/>
        <w:adjustRightInd w:val="0"/>
        <w:snapToGrid w:val="0"/>
        <w:spacing w:after="157" w:afterLines="50" w:line="600" w:lineRule="exact"/>
        <w:ind w:left="0" w:leftChars="0" w:right="0" w:firstLine="602" w:firstLineChars="200"/>
        <w:jc w:val="both"/>
        <w:textAlignment w:val="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2.1.1 建设项目概况</w:t>
      </w:r>
    </w:p>
    <w:p>
      <w:pPr>
        <w:widowControl w:val="0"/>
        <w:wordWrap/>
        <w:spacing w:line="60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项目名称：</w:t>
      </w:r>
      <w:r>
        <w:rPr>
          <w:rFonts w:hint="default" w:ascii="Times New Roman" w:hAnsi="Times New Roman" w:eastAsia="宋体" w:cs="Times New Roman"/>
          <w:color w:val="auto"/>
          <w:sz w:val="28"/>
          <w:szCs w:val="28"/>
          <w:lang w:val="en-US" w:eastAsia="zh-CN"/>
        </w:rPr>
        <w:t>新疆哈密风电基地二期三塘湖第三风电场B区 200MW项目</w:t>
      </w:r>
    </w:p>
    <w:p>
      <w:pPr>
        <w:widowControl w:val="0"/>
        <w:wordWrap/>
        <w:spacing w:line="60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建设单位：</w:t>
      </w:r>
      <w:r>
        <w:rPr>
          <w:rFonts w:hint="eastAsia" w:ascii="Times New Roman" w:hAnsi="Times New Roman" w:eastAsia="宋体" w:cs="Times New Roman"/>
          <w:color w:val="auto"/>
          <w:sz w:val="28"/>
          <w:szCs w:val="28"/>
          <w:lang w:eastAsia="zh-CN"/>
        </w:rPr>
        <w:t>龙源巴里坤风力发电有限公司</w:t>
      </w:r>
    </w:p>
    <w:p>
      <w:pPr>
        <w:pStyle w:val="2"/>
        <w:widowControl w:val="0"/>
        <w:wordWrap/>
        <w:spacing w:line="60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建设性质：新建</w:t>
      </w:r>
    </w:p>
    <w:p>
      <w:pPr>
        <w:widowControl w:val="0"/>
        <w:wordWrap/>
        <w:spacing w:line="600" w:lineRule="exact"/>
        <w:ind w:left="0" w:leftChars="0" w:right="0" w:firstLine="560" w:firstLineChars="200"/>
        <w:jc w:val="both"/>
        <w:textAlignment w:val="auto"/>
        <w:outlineLvl w:val="9"/>
        <w:rPr>
          <w:rFonts w:hint="default" w:ascii="Times New Roman" w:hAnsi="Times New Roman" w:eastAsia="宋体" w:cs="Times New Roman"/>
          <w:color w:val="FF0000"/>
          <w:sz w:val="28"/>
          <w:szCs w:val="28"/>
        </w:rPr>
      </w:pPr>
      <w:r>
        <w:rPr>
          <w:rFonts w:hint="default" w:ascii="Times New Roman" w:hAnsi="Times New Roman" w:eastAsia="宋体" w:cs="Times New Roman"/>
          <w:color w:val="auto"/>
          <w:sz w:val="28"/>
          <w:szCs w:val="28"/>
          <w:lang w:val="en-US" w:eastAsia="zh-CN"/>
        </w:rPr>
        <w:t>项目投资：</w:t>
      </w:r>
      <w:bookmarkStart w:id="18" w:name="_Toc263845862"/>
      <w:bookmarkStart w:id="19" w:name="_Toc162332045"/>
      <w:r>
        <w:rPr>
          <w:rFonts w:hint="default" w:ascii="Times New Roman" w:hAnsi="Times New Roman" w:eastAsia="宋体" w:cs="Times New Roman"/>
          <w:color w:val="auto"/>
          <w:sz w:val="28"/>
          <w:szCs w:val="28"/>
          <w:lang w:val="en-US" w:eastAsia="zh-CN"/>
        </w:rPr>
        <w:t>本项目实际总投资</w:t>
      </w:r>
      <w:r>
        <w:rPr>
          <w:rFonts w:hint="eastAsia" w:ascii="Times New Roman" w:hAnsi="Times New Roman" w:eastAsia="宋体" w:cs="Times New Roman"/>
          <w:color w:val="auto"/>
          <w:sz w:val="28"/>
          <w:szCs w:val="28"/>
          <w:lang w:val="en-US" w:eastAsia="zh-CN"/>
        </w:rPr>
        <w:t>134000</w:t>
      </w:r>
      <w:r>
        <w:rPr>
          <w:rFonts w:hint="default" w:ascii="Times New Roman" w:hAnsi="Times New Roman" w:eastAsia="宋体" w:cs="Times New Roman"/>
          <w:color w:val="auto"/>
          <w:sz w:val="28"/>
          <w:szCs w:val="28"/>
          <w:lang w:val="en-US" w:eastAsia="zh-CN"/>
        </w:rPr>
        <w:t>万元，环保实际投资228.4万元，占总投资的</w:t>
      </w:r>
      <w:r>
        <w:rPr>
          <w:rFonts w:hint="eastAsia" w:ascii="Times New Roman" w:hAnsi="Times New Roman" w:eastAsia="宋体" w:cs="Times New Roman"/>
          <w:color w:val="auto"/>
          <w:sz w:val="28"/>
          <w:szCs w:val="28"/>
          <w:lang w:val="en-US" w:eastAsia="zh-CN"/>
        </w:rPr>
        <w:t>0.17</w:t>
      </w:r>
      <w:r>
        <w:rPr>
          <w:rFonts w:hint="default" w:ascii="Times New Roman" w:hAnsi="Times New Roman" w:eastAsia="宋体" w:cs="Times New Roman"/>
          <w:color w:val="auto"/>
          <w:sz w:val="28"/>
          <w:szCs w:val="28"/>
          <w:lang w:val="en-US" w:eastAsia="zh-CN"/>
        </w:rPr>
        <w:t>%。</w:t>
      </w:r>
    </w:p>
    <w:p>
      <w:pPr>
        <w:widowControl w:val="0"/>
        <w:wordWrap/>
        <w:spacing w:line="60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地理位置</w:t>
      </w:r>
      <w:bookmarkEnd w:id="18"/>
      <w:bookmarkEnd w:id="19"/>
      <w:r>
        <w:rPr>
          <w:rFonts w:hint="default" w:ascii="Times New Roman" w:hAnsi="Times New Roman" w:eastAsia="宋体" w:cs="Times New Roman"/>
          <w:color w:val="auto"/>
          <w:sz w:val="28"/>
          <w:szCs w:val="28"/>
        </w:rPr>
        <w:t>：本工程位于</w:t>
      </w:r>
      <w:r>
        <w:rPr>
          <w:rFonts w:hint="eastAsia" w:ascii="Times New Roman" w:hAnsi="Times New Roman" w:eastAsia="宋体" w:cs="Times New Roman"/>
          <w:color w:val="auto"/>
          <w:sz w:val="28"/>
          <w:szCs w:val="28"/>
          <w:lang w:eastAsia="zh-CN"/>
        </w:rPr>
        <w:t>巴里坤县三塘湖乡西侧约</w:t>
      </w:r>
      <w:r>
        <w:rPr>
          <w:rFonts w:hint="eastAsia" w:ascii="Times New Roman" w:hAnsi="Times New Roman" w:eastAsia="宋体" w:cs="Times New Roman"/>
          <w:color w:val="auto"/>
          <w:sz w:val="28"/>
          <w:szCs w:val="28"/>
          <w:lang w:val="en-US" w:eastAsia="zh-CN"/>
        </w:rPr>
        <w:t>64km处，南距巴里坤县城约88km，距哈密市区约175km。</w:t>
      </w:r>
      <w:r>
        <w:rPr>
          <w:rFonts w:hint="default" w:ascii="Times New Roman" w:hAnsi="Times New Roman" w:eastAsia="宋体" w:cs="Times New Roman"/>
          <w:color w:val="auto"/>
          <w:sz w:val="28"/>
          <w:szCs w:val="28"/>
        </w:rPr>
        <w:t>风电场区域的海拔高程约在1100m～1380m，场地开阔，地形较平坦，局部地形稍有起伏，总体地势西南高、东北低。场址区域位于东经</w:t>
      </w:r>
      <w:r>
        <w:rPr>
          <w:rFonts w:hint="default" w:ascii="Times New Roman" w:hAnsi="Times New Roman" w:eastAsia="宋体" w:cs="Times New Roman"/>
          <w:color w:val="000000"/>
          <w:sz w:val="28"/>
          <w:szCs w:val="28"/>
          <w:lang w:val="en-US" w:eastAsia="zh-CN"/>
        </w:rPr>
        <w:t>92°</w:t>
      </w:r>
      <w:r>
        <w:rPr>
          <w:rFonts w:hint="default" w:ascii="Times New Roman" w:hAnsi="Times New Roman" w:eastAsia="宋体" w:cs="Times New Roman"/>
          <w:color w:val="000000"/>
          <w:sz w:val="28"/>
          <w:szCs w:val="28"/>
          <w:lang w:val="en-US" w:eastAsia="zh-CN"/>
        </w:rPr>
        <w:t>30′38.6″</w:t>
      </w:r>
      <w:r>
        <w:rPr>
          <w:rFonts w:hint="default" w:ascii="Times New Roman" w:hAnsi="Times New Roman" w:eastAsia="宋体" w:cs="Times New Roman"/>
          <w:color w:val="auto"/>
          <w:sz w:val="28"/>
          <w:szCs w:val="28"/>
        </w:rPr>
        <w:t>～92</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33</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42.6</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，北纬 44</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14</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30.6</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～44</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22</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4.1</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之间。</w:t>
      </w:r>
    </w:p>
    <w:p>
      <w:pPr>
        <w:widowControl w:val="0"/>
        <w:wordWrap/>
        <w:spacing w:line="600" w:lineRule="exact"/>
        <w:ind w:left="0" w:leftChars="0" w:right="0" w:firstLine="560" w:firstLineChars="200"/>
        <w:jc w:val="both"/>
        <w:textAlignment w:val="auto"/>
        <w:outlineLvl w:val="9"/>
        <w:rPr>
          <w:rFonts w:hint="default" w:ascii="Times New Roman" w:hAnsi="Times New Roman" w:eastAsia="宋体" w:cs="Times New Roman"/>
          <w:b/>
          <w:color w:val="auto"/>
          <w:sz w:val="30"/>
          <w:szCs w:val="30"/>
        </w:rPr>
      </w:pPr>
      <w:r>
        <w:rPr>
          <w:rFonts w:hint="default" w:ascii="Times New Roman" w:hAnsi="Times New Roman" w:eastAsia="宋体" w:cs="Times New Roman"/>
          <w:color w:val="auto"/>
          <w:sz w:val="28"/>
          <w:szCs w:val="28"/>
          <w:lang w:val="en-US" w:eastAsia="zh-CN"/>
        </w:rPr>
        <w:t>项目区地理位置图见图2-1-1，平面位置图见图5-2-1。</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color w:val="auto"/>
          <w:sz w:val="30"/>
          <w:szCs w:val="30"/>
        </w:rPr>
      </w:pP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color w:val="auto"/>
          <w:sz w:val="30"/>
          <w:szCs w:val="30"/>
        </w:rPr>
      </w:pP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color w:val="auto"/>
          <w:sz w:val="30"/>
          <w:szCs w:val="30"/>
        </w:rPr>
      </w:pPr>
    </w:p>
    <w:p>
      <w:pPr>
        <w:widowControl w:val="0"/>
        <w:wordWrap/>
        <w:adjustRightInd/>
        <w:snapToGrid/>
        <w:spacing w:before="157" w:beforeLines="50" w:after="157" w:afterLines="50" w:line="520" w:lineRule="exact"/>
        <w:ind w:right="0"/>
        <w:jc w:val="both"/>
        <w:textAlignment w:val="auto"/>
        <w:outlineLvl w:val="2"/>
        <w:rPr>
          <w:rFonts w:hint="default" w:ascii="Times New Roman" w:hAnsi="Times New Roman" w:eastAsia="宋体" w:cs="Times New Roman"/>
          <w:color w:val="auto"/>
          <w:sz w:val="28"/>
          <w:szCs w:val="28"/>
          <w:lang w:val="en-US" w:eastAsia="zh-CN"/>
        </w:rPr>
      </w:pPr>
    </w:p>
    <w:p>
      <w:pPr>
        <w:widowControl w:val="0"/>
        <w:wordWrap/>
        <w:adjustRightInd/>
        <w:snapToGrid/>
        <w:spacing w:before="157" w:beforeLines="50" w:after="157" w:afterLines="50" w:line="520" w:lineRule="exact"/>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kern w:val="2"/>
          <w:sz w:val="24"/>
          <w:szCs w:val="24"/>
          <w:lang w:val="en-US" w:eastAsia="zh-CN" w:bidi="ar-SA"/>
        </w:rPr>
        <w:pict>
          <v:shape id="自选图形 142" o:spid="_x0000_s1046" type="#_x0000_t61" style="position:absolute;left:0;margin-left:88.9pt;margin-top:142.15pt;height:31.8pt;width:88.8pt;rotation:0f;z-index:251660288;" o:ole="f" fillcolor="#FFFFFF" filled="t" o:preferrelative="t" stroked="f" coordorigin="0,0" coordsize="21600,21600" adj="1350,25920">
            <v:imagedata gain="65536f" blacklevel="0f" gamma="0"/>
            <o:lock v:ext="edit" position="f" selection="f" grouping="f" rotation="f" cropping="f" text="f" aspectratio="f"/>
            <v:textbox>
              <w:txbxContent>
                <w:p>
                  <w:pPr>
                    <w:rPr>
                      <w:rFonts w:hint="eastAsia" w:eastAsia="宋体"/>
                      <w:lang w:eastAsia="zh-CN"/>
                    </w:rPr>
                  </w:pPr>
                  <w:r>
                    <w:rPr>
                      <w:rFonts w:hint="eastAsia"/>
                      <w:lang w:eastAsia="zh-CN"/>
                    </w:rPr>
                    <w:t>项目所在地</w:t>
                  </w:r>
                </w:p>
              </w:txbxContent>
            </v:textbox>
          </v:shape>
        </w:pict>
      </w:r>
      <w:r>
        <w:rPr>
          <w:rFonts w:hint="default" w:ascii="Times New Roman" w:hAnsi="Times New Roman" w:eastAsia="宋体" w:cs="Times New Roman"/>
          <w:b/>
          <w:bCs/>
          <w:kern w:val="2"/>
          <w:sz w:val="24"/>
          <w:szCs w:val="24"/>
          <w:lang w:val="en-US" w:eastAsia="zh-CN" w:bidi="ar-SA"/>
        </w:rPr>
        <w:pict>
          <v:shape id="文本框 144" o:spid="_x0000_s1047" type="#_x0000_t202" style="position:absolute;left:0;margin-left:395.65pt;margin-top:16.5pt;height:36pt;width:29.4pt;rotation:0f;z-index:251662336;" o:ole="f" fillcolor="#FFFFFF" filled="f" o:preferrelative="t" stroked="f" coordorigin="0,0" coordsize="21600,21600">
            <v:fill on="f" color2="#FFFFFF" focus="0%"/>
            <v:imagedata gain="65536f" blacklevel="0f" gamma="0"/>
            <o:lock v:ext="edit" position="f" selection="f" grouping="f" rotation="f" cropping="f" text="f" aspectratio="f"/>
            <v:textbox>
              <w:txbxContent>
                <w:p>
                  <w:pPr>
                    <w:rPr>
                      <w:rFonts w:hint="eastAsia" w:eastAsia="宋体"/>
                      <w:lang w:val="en-US" w:eastAsia="zh-CN"/>
                    </w:rPr>
                  </w:pPr>
                  <w:r>
                    <w:rPr>
                      <w:rFonts w:hint="eastAsia"/>
                      <w:lang w:val="en-US" w:eastAsia="zh-CN"/>
                    </w:rPr>
                    <w:t>N</w:t>
                  </w:r>
                </w:p>
              </w:txbxContent>
            </v:textbox>
          </v:shape>
        </w:pict>
      </w:r>
      <w:r>
        <w:rPr>
          <w:rFonts w:hint="default" w:ascii="Times New Roman" w:hAnsi="Times New Roman" w:eastAsia="宋体" w:cs="Times New Roman"/>
          <w:b/>
          <w:bCs/>
          <w:kern w:val="2"/>
          <w:sz w:val="24"/>
          <w:szCs w:val="24"/>
          <w:lang w:val="en-US" w:eastAsia="zh-CN" w:bidi="ar-SA"/>
        </w:rPr>
        <w:pict>
          <v:shape id="自选图形 143" o:spid="_x0000_s1048" type="#_x0000_t187" style="position:absolute;left:0;margin-left:399.1pt;margin-top:45.1pt;height:33.65pt;width:20.35pt;rotation:0f;z-index:251661312;" o:ole="f" fillcolor="#000000" filled="t" o:preferrelative="t" stroked="f" coordorigin="0,0" coordsize="21600,21600" adj="8100">
            <v:imagedata gain="65536f" blacklevel="0f" gamma="0"/>
            <o:lock v:ext="edit" position="f" selection="f" grouping="f" rotation="f" cropping="f" text="f" aspectratio="f"/>
          </v:shape>
        </w:pict>
      </w:r>
      <w:r>
        <w:rPr>
          <w:rFonts w:hint="default" w:ascii="Times New Roman" w:hAnsi="Times New Roman" w:eastAsia="宋体" w:cs="Times New Roman"/>
          <w:b/>
          <w:bCs/>
          <w:color w:val="auto"/>
          <w:sz w:val="24"/>
          <w:szCs w:val="24"/>
          <w:lang w:val="en-US" w:eastAsia="zh-CN"/>
        </w:rPr>
        <w:t>图2-1-1</w:t>
      </w:r>
      <w:r>
        <w:rPr>
          <w:rFonts w:hint="default" w:ascii="Times New Roman" w:hAnsi="Times New Roman" w:eastAsia="宋体" w:cs="Times New Roman"/>
          <w:b/>
          <w:bCs/>
          <w:kern w:val="2"/>
          <w:sz w:val="24"/>
          <w:szCs w:val="24"/>
          <w:lang w:val="en-US" w:eastAsia="zh-CN" w:bidi="ar-SA"/>
        </w:rPr>
        <w:pict>
          <v:shape id="图片 141" o:spid="_x0000_s1049" type="#_x0000_t75" style="position:absolute;left:0;margin-left:-5.6pt;margin-top:19.8pt;height:310.45pt;width:436.5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27"/>
            <o:lock v:ext="edit" position="f" selection="f" grouping="f" rotation="f" cropping="f" text="f" aspectratio="t"/>
            <w10:wrap type="square"/>
          </v:shape>
        </w:pict>
      </w:r>
      <w:r>
        <w:rPr>
          <w:rFonts w:hint="default" w:ascii="Times New Roman" w:hAnsi="Times New Roman" w:eastAsia="宋体" w:cs="Times New Roman"/>
          <w:b/>
          <w:bCs/>
          <w:color w:val="auto"/>
          <w:sz w:val="24"/>
          <w:szCs w:val="24"/>
          <w:lang w:val="en-US" w:eastAsia="zh-CN"/>
        </w:rPr>
        <w:t xml:space="preserve"> 项目区地理位置图</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30"/>
          <w:szCs w:val="30"/>
        </w:rPr>
        <w:t>2.</w:t>
      </w:r>
      <w:bookmarkStart w:id="20" w:name="_Toc132806826"/>
      <w:bookmarkStart w:id="21" w:name="_Toc86487039"/>
      <w:bookmarkStart w:id="22" w:name="_Toc114572484"/>
      <w:bookmarkStart w:id="23" w:name="_Toc116872645"/>
      <w:bookmarkStart w:id="24" w:name="_Toc111000884"/>
      <w:bookmarkStart w:id="25" w:name="_Toc237859831"/>
      <w:bookmarkStart w:id="26" w:name="_Toc132807309"/>
      <w:bookmarkStart w:id="27" w:name="_Toc111961198"/>
      <w:bookmarkStart w:id="28" w:name="_Toc372377376"/>
      <w:bookmarkStart w:id="29" w:name="_Toc309323498"/>
      <w:bookmarkStart w:id="30" w:name="_Toc392605223"/>
      <w:bookmarkStart w:id="31" w:name="_Toc91559107"/>
      <w:bookmarkStart w:id="32" w:name="_Toc392522570"/>
      <w:bookmarkStart w:id="33" w:name="_Toc86487240"/>
      <w:bookmarkStart w:id="34" w:name="_Toc116703951"/>
      <w:bookmarkStart w:id="35" w:name="_Toc87415613"/>
      <w:bookmarkStart w:id="36" w:name="_Toc132806742"/>
      <w:r>
        <w:rPr>
          <w:rFonts w:hint="default" w:ascii="Times New Roman" w:hAnsi="Times New Roman" w:eastAsia="宋体" w:cs="Times New Roman"/>
          <w:b/>
          <w:color w:val="auto"/>
          <w:sz w:val="30"/>
          <w:szCs w:val="30"/>
        </w:rPr>
        <w:t xml:space="preserve">1.2 </w:t>
      </w:r>
      <w:r>
        <w:rPr>
          <w:rFonts w:hint="default" w:ascii="Times New Roman" w:hAnsi="Times New Roman" w:eastAsia="宋体" w:cs="Times New Roman"/>
          <w:b/>
          <w:color w:val="auto"/>
          <w:sz w:val="30"/>
          <w:szCs w:val="30"/>
          <w:lang w:val="en-US" w:eastAsia="zh-CN"/>
        </w:rPr>
        <w:t>建设</w:t>
      </w:r>
      <w:r>
        <w:rPr>
          <w:rFonts w:hint="default" w:ascii="Times New Roman" w:hAnsi="Times New Roman" w:eastAsia="宋体" w:cs="Times New Roman"/>
          <w:b/>
          <w:color w:val="auto"/>
          <w:sz w:val="30"/>
          <w:szCs w:val="30"/>
        </w:rPr>
        <w:t>规模</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新疆哈密风电基地二期三塘湖第三风电场B区200MW风电场工程</w:t>
      </w:r>
      <w:r>
        <w:rPr>
          <w:rFonts w:hint="eastAsia"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以下简称“三塘湖第三B区风电场”</w:t>
      </w:r>
      <w:r>
        <w:rPr>
          <w:rFonts w:hint="eastAsia" w:ascii="Times New Roman" w:hAnsi="Times New Roman" w:eastAsia="宋体" w:cs="Times New Roman"/>
          <w:color w:val="auto"/>
          <w:sz w:val="28"/>
          <w:szCs w:val="28"/>
          <w:lang w:eastAsia="zh-CN"/>
        </w:rPr>
        <w:t>）建成</w:t>
      </w:r>
      <w:r>
        <w:rPr>
          <w:rFonts w:hint="eastAsia" w:ascii="Times New Roman" w:hAnsi="Times New Roman" w:eastAsia="宋体" w:cs="Times New Roman"/>
          <w:color w:val="auto"/>
          <w:sz w:val="28"/>
          <w:szCs w:val="28"/>
          <w:lang w:val="en-US" w:eastAsia="zh-CN"/>
        </w:rPr>
        <w:t>80</w:t>
      </w:r>
      <w:r>
        <w:rPr>
          <w:rFonts w:hint="default" w:ascii="Times New Roman" w:hAnsi="Times New Roman" w:eastAsia="宋体" w:cs="Times New Roman"/>
          <w:color w:val="auto"/>
          <w:sz w:val="28"/>
          <w:szCs w:val="28"/>
        </w:rPr>
        <w:t>台单机容量</w:t>
      </w:r>
      <w:r>
        <w:rPr>
          <w:rFonts w:hint="eastAsia" w:ascii="Times New Roman" w:hAnsi="Times New Roman" w:eastAsia="宋体" w:cs="Times New Roman"/>
          <w:color w:val="auto"/>
          <w:sz w:val="28"/>
          <w:szCs w:val="28"/>
          <w:lang w:val="en-US" w:eastAsia="zh-CN"/>
        </w:rPr>
        <w:t>25</w:t>
      </w:r>
      <w:r>
        <w:rPr>
          <w:rFonts w:hint="default" w:ascii="Times New Roman" w:hAnsi="Times New Roman" w:eastAsia="宋体" w:cs="Times New Roman"/>
          <w:color w:val="auto"/>
          <w:sz w:val="28"/>
          <w:szCs w:val="28"/>
        </w:rPr>
        <w:t>00kW的风力发电机组</w:t>
      </w: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80台台式变电站基础、配套电气设备及监控中心，35kV架空线路约92.5km，直埋电缆4.1km，场内检修道路70.5km，路面宽3.5m；与华能新疆三塘湖风力发电有限责任公司合用一座220kV升压站，与第一风电场共建一条66km的公用道路。</w:t>
      </w:r>
      <w:r>
        <w:rPr>
          <w:rFonts w:hint="default" w:ascii="Times New Roman" w:hAnsi="Times New Roman" w:eastAsia="宋体" w:cs="Times New Roman"/>
          <w:color w:val="auto"/>
          <w:sz w:val="28"/>
          <w:szCs w:val="28"/>
        </w:rPr>
        <w:t>年上网电量为48775.8万kW</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rPr>
        <w:t>h，年利用小时数为2427h，容量系数为0.28。</w:t>
      </w:r>
    </w:p>
    <w:p>
      <w:pPr>
        <w:widowControl w:val="0"/>
        <w:wordWrap/>
        <w:adjustRightInd/>
        <w:snapToGrid/>
        <w:spacing w:before="157" w:beforeLines="50" w:after="157" w:afterLines="50" w:line="520" w:lineRule="exact"/>
        <w:ind w:left="0" w:leftChars="0" w:right="0" w:firstLine="560" w:firstLineChars="200"/>
        <w:jc w:val="both"/>
        <w:textAlignment w:val="auto"/>
        <w:outlineLvl w:val="2"/>
        <w:rPr>
          <w:rFonts w:hint="default" w:ascii="Times New Roman" w:hAnsi="Times New Roman" w:eastAsia="宋体" w:cs="Times New Roman"/>
          <w:b/>
          <w:sz w:val="30"/>
          <w:szCs w:val="30"/>
        </w:rPr>
      </w:pP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b/>
          <w:bCs/>
          <w:color w:val="auto"/>
          <w:sz w:val="30"/>
          <w:szCs w:val="30"/>
        </w:rPr>
        <w:t xml:space="preserve">2.1.3 </w:t>
      </w:r>
      <w:r>
        <w:rPr>
          <w:rFonts w:hint="default" w:ascii="Times New Roman" w:hAnsi="Times New Roman" w:eastAsia="宋体" w:cs="Times New Roman"/>
          <w:b/>
          <w:bCs/>
          <w:color w:val="auto"/>
          <w:sz w:val="30"/>
          <w:szCs w:val="30"/>
          <w:lang w:val="en-US" w:eastAsia="zh-CN"/>
        </w:rPr>
        <w:t>项目投资及资金来源</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本工程</w:t>
      </w:r>
      <w:r>
        <w:rPr>
          <w:rFonts w:hint="default" w:ascii="Times New Roman" w:hAnsi="Times New Roman" w:eastAsia="宋体" w:cs="Times New Roman"/>
          <w:color w:val="auto"/>
          <w:sz w:val="28"/>
          <w:szCs w:val="28"/>
          <w:lang w:eastAsia="zh-CN"/>
        </w:rPr>
        <w:t>总投资为</w:t>
      </w:r>
      <w:r>
        <w:rPr>
          <w:rFonts w:hint="eastAsia" w:ascii="Times New Roman" w:hAnsi="Times New Roman" w:eastAsia="宋体" w:cs="Times New Roman"/>
          <w:color w:val="auto"/>
          <w:sz w:val="28"/>
          <w:szCs w:val="28"/>
          <w:lang w:val="en-US" w:eastAsia="zh-CN"/>
        </w:rPr>
        <w:t>134000</w:t>
      </w:r>
      <w:r>
        <w:rPr>
          <w:rFonts w:hint="default" w:ascii="Times New Roman" w:hAnsi="Times New Roman" w:eastAsia="宋体" w:cs="Times New Roman"/>
          <w:color w:val="auto"/>
          <w:sz w:val="28"/>
          <w:szCs w:val="28"/>
          <w:lang w:val="en-US" w:eastAsia="zh-CN"/>
        </w:rPr>
        <w:t>万元</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资金由公司自筹</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其中，环保投资228.4万元，见表2-1-1。</w:t>
      </w:r>
    </w:p>
    <w:p>
      <w:pPr>
        <w:widowControl w:val="0"/>
        <w:tabs>
          <w:tab w:val="left" w:pos="1033"/>
        </w:tabs>
        <w:wordWrap/>
        <w:adjustRightInd/>
        <w:snapToGrid/>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2-1-1</w:t>
      </w:r>
      <w:r>
        <w:rPr>
          <w:rFonts w:hint="default" w:ascii="Times New Roman" w:hAnsi="Times New Roman" w:eastAsia="宋体" w:cs="Times New Roman"/>
          <w:b/>
          <w:bCs/>
          <w:color w:val="auto"/>
          <w:sz w:val="24"/>
        </w:rPr>
        <w:t xml:space="preserve">   环保投资落实情况</w:t>
      </w:r>
    </w:p>
    <w:tbl>
      <w:tblPr>
        <w:tblStyle w:val="28"/>
        <w:tblW w:w="8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991"/>
        <w:gridCol w:w="2940"/>
        <w:gridCol w:w="1215"/>
        <w:gridCol w:w="178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55" w:type="dxa"/>
            <w:gridSpan w:val="2"/>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污染物类别</w:t>
            </w:r>
          </w:p>
        </w:tc>
        <w:tc>
          <w:tcPr>
            <w:tcW w:w="2940"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环评治理设施</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环评投资</w:t>
            </w:r>
          </w:p>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（万元）</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实际治理设施</w:t>
            </w: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实际投资</w:t>
            </w:r>
          </w:p>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64" w:type="dxa"/>
            <w:vMerge w:val="restart"/>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电磁</w:t>
            </w:r>
          </w:p>
        </w:tc>
        <w:tc>
          <w:tcPr>
            <w:tcW w:w="991"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电场</w:t>
            </w:r>
          </w:p>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强度</w:t>
            </w:r>
          </w:p>
        </w:tc>
        <w:tc>
          <w:tcPr>
            <w:tcW w:w="2940" w:type="dxa"/>
            <w:vMerge w:val="restart"/>
            <w:vAlign w:val="center"/>
          </w:tcPr>
          <w:p>
            <w:pPr>
              <w:pStyle w:val="2"/>
              <w:widowControl w:val="0"/>
              <w:wordWrap/>
              <w:spacing w:line="36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rPr>
              <w:t>增大高压构架与地面的距离</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减小母线的相间距、加长母线与外界之间的距离</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保持绝缘子表面的光洁度</w:t>
            </w:r>
            <w:r>
              <w:rPr>
                <w:rFonts w:hint="default" w:ascii="Times New Roman" w:hAnsi="Times New Roman" w:eastAsia="宋体" w:cs="Times New Roman"/>
                <w:sz w:val="24"/>
                <w:szCs w:val="24"/>
                <w:lang w:eastAsia="zh-CN"/>
              </w:rPr>
              <w:t>，减少接触</w:t>
            </w:r>
            <w:r>
              <w:rPr>
                <w:rFonts w:hint="default" w:ascii="Times New Roman" w:hAnsi="Times New Roman" w:eastAsia="宋体" w:cs="Times New Roman"/>
                <w:sz w:val="24"/>
                <w:szCs w:val="24"/>
              </w:rPr>
              <w:t>引起火花放电产生的高频电场</w:t>
            </w:r>
            <w:r>
              <w:rPr>
                <w:rFonts w:hint="eastAsia" w:ascii="Times New Roman" w:hAnsi="Times New Roman" w:eastAsia="宋体" w:cs="Times New Roman"/>
                <w:sz w:val="24"/>
                <w:szCs w:val="24"/>
                <w:lang w:eastAsia="zh-CN"/>
              </w:rPr>
              <w:t>。</w:t>
            </w:r>
          </w:p>
        </w:tc>
        <w:tc>
          <w:tcPr>
            <w:tcW w:w="1215" w:type="dxa"/>
            <w:vMerge w:val="restart"/>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785" w:type="dxa"/>
            <w:vMerge w:val="restart"/>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rPr>
              <w:t>增大高压构架与地面的距离</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减小母线的相间距、加长母线与外界之间的距离</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保持绝缘子表面的光洁度</w:t>
            </w:r>
            <w:r>
              <w:rPr>
                <w:rFonts w:hint="default" w:ascii="Times New Roman" w:hAnsi="Times New Roman" w:eastAsia="宋体" w:cs="Times New Roman"/>
                <w:sz w:val="24"/>
                <w:szCs w:val="24"/>
                <w:lang w:eastAsia="zh-CN"/>
              </w:rPr>
              <w:t>，减少接触</w:t>
            </w:r>
            <w:r>
              <w:rPr>
                <w:rFonts w:hint="default" w:ascii="Times New Roman" w:hAnsi="Times New Roman" w:eastAsia="宋体" w:cs="Times New Roman"/>
                <w:sz w:val="24"/>
                <w:szCs w:val="24"/>
              </w:rPr>
              <w:t>引起火花放电产生的高频电场</w:t>
            </w:r>
            <w:r>
              <w:rPr>
                <w:rFonts w:hint="eastAsia" w:ascii="Times New Roman" w:hAnsi="Times New Roman" w:eastAsia="宋体" w:cs="Times New Roman"/>
                <w:sz w:val="24"/>
                <w:szCs w:val="24"/>
                <w:lang w:eastAsia="zh-CN"/>
              </w:rPr>
              <w:t>。</w:t>
            </w:r>
          </w:p>
        </w:tc>
        <w:tc>
          <w:tcPr>
            <w:tcW w:w="1245" w:type="dxa"/>
            <w:vMerge w:val="restart"/>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p>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64" w:type="dxa"/>
            <w:vMerge w:val="continue"/>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991"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磁感应</w:t>
            </w:r>
          </w:p>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强度</w:t>
            </w:r>
          </w:p>
        </w:tc>
        <w:tc>
          <w:tcPr>
            <w:tcW w:w="2940" w:type="dxa"/>
            <w:vMerge w:val="continue"/>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215" w:type="dxa"/>
            <w:vMerge w:val="continue"/>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p>
        </w:tc>
        <w:tc>
          <w:tcPr>
            <w:tcW w:w="1785" w:type="dxa"/>
            <w:vMerge w:val="continue"/>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245" w:type="dxa"/>
            <w:vMerge w:val="continue"/>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64"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w:t>
            </w:r>
          </w:p>
        </w:tc>
        <w:tc>
          <w:tcPr>
            <w:tcW w:w="991"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p>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生活</w:t>
            </w:r>
          </w:p>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污水</w:t>
            </w:r>
          </w:p>
        </w:tc>
        <w:tc>
          <w:tcPr>
            <w:tcW w:w="2940"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地埋式污水处理设施</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40</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地埋式污水处理设施</w:t>
            </w: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55" w:type="dxa"/>
            <w:gridSpan w:val="2"/>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噪声</w:t>
            </w:r>
          </w:p>
        </w:tc>
        <w:tc>
          <w:tcPr>
            <w:tcW w:w="2940"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合理布局、围墙、门窗隔声处理</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围墙、门窗隔声处理</w:t>
            </w: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55" w:type="dxa"/>
            <w:gridSpan w:val="2"/>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绿化</w:t>
            </w:r>
          </w:p>
        </w:tc>
        <w:tc>
          <w:tcPr>
            <w:tcW w:w="2940"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厂区绿化美化</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厂区绿化美化</w:t>
            </w: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495" w:type="dxa"/>
            <w:gridSpan w:val="3"/>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环评费用</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495" w:type="dxa"/>
            <w:gridSpan w:val="3"/>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施工期环境监理</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495" w:type="dxa"/>
            <w:gridSpan w:val="3"/>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环境保护设施竣工验收测试费</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495" w:type="dxa"/>
            <w:gridSpan w:val="3"/>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4"/>
                <w:sz w:val="24"/>
                <w:szCs w:val="24"/>
              </w:rPr>
              <w:t>环保投资（万元）</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194</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495" w:type="dxa"/>
            <w:gridSpan w:val="3"/>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4"/>
                <w:sz w:val="24"/>
                <w:szCs w:val="24"/>
              </w:rPr>
              <w:t>总投资（万元）</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 xml:space="preserve">149030.3 </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495" w:type="dxa"/>
            <w:gridSpan w:val="3"/>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4"/>
                <w:sz w:val="24"/>
                <w:szCs w:val="24"/>
              </w:rPr>
              <w:t>占总投资百分比（%）</w:t>
            </w:r>
          </w:p>
        </w:tc>
        <w:tc>
          <w:tcPr>
            <w:tcW w:w="121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0.13%</w:t>
            </w:r>
          </w:p>
        </w:tc>
        <w:tc>
          <w:tcPr>
            <w:tcW w:w="178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1245" w:type="dxa"/>
            <w:vAlign w:val="center"/>
          </w:tcPr>
          <w:p>
            <w:pPr>
              <w:pStyle w:val="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lang w:val="en-US" w:eastAsia="zh-CN"/>
              </w:rPr>
              <w:t>%</w:t>
            </w:r>
          </w:p>
        </w:tc>
      </w:tr>
    </w:tbl>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sz w:val="30"/>
          <w:szCs w:val="30"/>
        </w:rPr>
      </w:pPr>
      <w:r>
        <w:rPr>
          <w:rFonts w:hint="default" w:ascii="Times New Roman" w:hAnsi="Times New Roman" w:eastAsia="宋体" w:cs="Times New Roman"/>
          <w:b/>
          <w:bCs/>
          <w:color w:val="auto"/>
          <w:sz w:val="30"/>
          <w:szCs w:val="30"/>
        </w:rPr>
        <w:t>2.1.</w:t>
      </w:r>
      <w:r>
        <w:rPr>
          <w:rFonts w:hint="default" w:ascii="Times New Roman" w:hAnsi="Times New Roman" w:eastAsia="宋体" w:cs="Times New Roman"/>
          <w:b/>
          <w:bCs/>
          <w:color w:val="auto"/>
          <w:sz w:val="30"/>
          <w:szCs w:val="30"/>
          <w:lang w:val="en-US" w:eastAsia="zh-CN"/>
        </w:rPr>
        <w:t>4</w:t>
      </w:r>
      <w:r>
        <w:rPr>
          <w:rFonts w:hint="default" w:ascii="Times New Roman" w:hAnsi="Times New Roman" w:eastAsia="宋体" w:cs="Times New Roman"/>
          <w:b/>
          <w:bCs/>
          <w:color w:val="auto"/>
          <w:sz w:val="30"/>
          <w:szCs w:val="30"/>
          <w:lang w:eastAsia="zh-CN"/>
        </w:rPr>
        <w:t xml:space="preserve"> 项目</w:t>
      </w:r>
      <w:r>
        <w:rPr>
          <w:rFonts w:hint="default" w:ascii="Times New Roman" w:hAnsi="Times New Roman" w:eastAsia="宋体" w:cs="Times New Roman"/>
          <w:b/>
          <w:bCs/>
          <w:color w:val="auto"/>
          <w:sz w:val="30"/>
          <w:szCs w:val="30"/>
          <w:lang w:val="en-US" w:eastAsia="zh-CN"/>
        </w:rPr>
        <w:t>主要经济技术指标</w:t>
      </w:r>
    </w:p>
    <w:p>
      <w:pPr>
        <w:pStyle w:val="2"/>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 w:val="0"/>
          <w:bCs w:val="0"/>
          <w:color w:val="auto"/>
          <w:kern w:val="2"/>
          <w:sz w:val="28"/>
          <w:szCs w:val="28"/>
          <w:lang w:val="en-US" w:eastAsia="zh-CN" w:bidi="ar-SA"/>
        </w:rPr>
      </w:pPr>
      <w:r>
        <w:rPr>
          <w:rFonts w:hint="default" w:ascii="Times New Roman" w:hAnsi="Times New Roman" w:eastAsia="宋体" w:cs="Times New Roman"/>
          <w:b w:val="0"/>
          <w:bCs w:val="0"/>
          <w:color w:val="auto"/>
          <w:kern w:val="2"/>
          <w:sz w:val="28"/>
          <w:szCs w:val="28"/>
          <w:lang w:val="en-US" w:eastAsia="zh-CN" w:bidi="ar-SA"/>
        </w:rPr>
        <w:t>本工程主要经济技术指标见表 2-1-2。</w:t>
      </w:r>
    </w:p>
    <w:p>
      <w:pPr>
        <w:widowControl w:val="0"/>
        <w:wordWrap/>
        <w:adjustRightInd/>
        <w:snapToGrid/>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lang w:val="en-US" w:eastAsia="zh-CN"/>
        </w:rPr>
        <w:t>表 2-1-2          本工程主要经济技术指标</w:t>
      </w:r>
    </w:p>
    <w:tbl>
      <w:tblPr>
        <w:tblStyle w:val="27"/>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2852"/>
        <w:gridCol w:w="3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类型</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环评指标</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实际</w:t>
            </w:r>
            <w:r>
              <w:rPr>
                <w:rFonts w:hint="eastAsia" w:ascii="Times New Roman" w:hAnsi="Times New Roman" w:eastAsia="宋体" w:cs="Times New Roman"/>
                <w:b/>
                <w:bCs/>
                <w:color w:val="auto"/>
                <w:sz w:val="24"/>
                <w:szCs w:val="24"/>
                <w:lang w:eastAsia="zh-CN"/>
              </w:rPr>
              <w:t>建设</w:t>
            </w:r>
            <w:r>
              <w:rPr>
                <w:rFonts w:hint="default" w:ascii="Times New Roman" w:hAnsi="Times New Roman" w:eastAsia="宋体" w:cs="Times New Roman"/>
                <w:b/>
                <w:bCs/>
                <w:color w:val="auto"/>
                <w:sz w:val="24"/>
                <w:szCs w:val="24"/>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风电场名称</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新疆哈密风电基地二期三塘湖第三风电场 B 区200MW 项目</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新疆哈密风电基地二期三塘湖第三风电场 B 区200MW 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风电机组单位造价</w:t>
            </w:r>
          </w:p>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（元/kW）</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4100</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哈密巴里坤三塘湖乡</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哈密巴里坤三塘湖乡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塔筒单位造价（元/t）</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11000</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装机规模（MW）</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200</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风电机组基础造价（万元/座）</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65.44</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单机容量（kW）</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1500</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25</w:t>
            </w:r>
            <w:r>
              <w:rPr>
                <w:rFonts w:hint="default" w:ascii="Times New Roman" w:hAnsi="Times New Roman" w:eastAsia="宋体" w:cs="Times New Roman"/>
                <w:b w:val="0"/>
                <w:bCs w:val="0"/>
                <w:color w:val="auto"/>
                <w:sz w:val="24"/>
                <w:szCs w:val="24"/>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风机（台）</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134</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年发电量（万 kWh）</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48775.8</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48775.8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年利用小时数（h）</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2427</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总投资（万元）</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155629.7</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环保投资（万元）</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194</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永久用地（m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391157</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391157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生产单位定员（人）</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30</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环保投资占总投资（%）</w:t>
            </w:r>
          </w:p>
        </w:tc>
        <w:tc>
          <w:tcPr>
            <w:tcW w:w="285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0.13</w:t>
            </w:r>
            <w:r>
              <w:rPr>
                <w:rFonts w:hint="default" w:ascii="Times New Roman" w:hAnsi="Times New Roman" w:eastAsia="宋体" w:cs="Times New Roman"/>
                <w:color w:val="auto"/>
                <w:sz w:val="24"/>
                <w:szCs w:val="24"/>
              </w:rPr>
              <w:t>%</w:t>
            </w:r>
          </w:p>
        </w:tc>
        <w:tc>
          <w:tcPr>
            <w:tcW w:w="3138"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color w:val="auto"/>
                <w:sz w:val="24"/>
                <w:szCs w:val="24"/>
                <w:lang w:val="en-US" w:eastAsia="zh-CN"/>
              </w:rPr>
              <w:t>0.17</w:t>
            </w:r>
            <w:r>
              <w:rPr>
                <w:rFonts w:hint="default" w:ascii="Times New Roman" w:hAnsi="Times New Roman" w:eastAsia="宋体" w:cs="Times New Roman"/>
                <w:color w:val="auto"/>
                <w:sz w:val="24"/>
                <w:szCs w:val="24"/>
              </w:rPr>
              <w:t>%</w:t>
            </w:r>
          </w:p>
        </w:tc>
      </w:tr>
      <w:bookmarkEnd w:id="2"/>
      <w:bookmarkEnd w:id="3"/>
    </w:tbl>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eastAsia="zh-CN"/>
        </w:rPr>
      </w:pP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eastAsia="zh-CN"/>
        </w:rPr>
      </w:pPr>
      <w:r>
        <w:rPr>
          <w:rFonts w:hint="default" w:ascii="Times New Roman" w:hAnsi="Times New Roman" w:eastAsia="宋体" w:cs="Times New Roman"/>
          <w:b/>
          <w:bCs/>
          <w:color w:val="auto"/>
          <w:sz w:val="30"/>
          <w:szCs w:val="30"/>
          <w:lang w:eastAsia="zh-CN"/>
        </w:rPr>
        <w:t>2.1.</w:t>
      </w:r>
      <w:r>
        <w:rPr>
          <w:rFonts w:hint="default" w:ascii="Times New Roman" w:hAnsi="Times New Roman" w:eastAsia="宋体" w:cs="Times New Roman"/>
          <w:b/>
          <w:bCs/>
          <w:color w:val="auto"/>
          <w:sz w:val="30"/>
          <w:szCs w:val="30"/>
          <w:lang w:val="en-US" w:eastAsia="zh-CN"/>
        </w:rPr>
        <w:t>5</w:t>
      </w:r>
      <w:r>
        <w:rPr>
          <w:rFonts w:hint="default" w:ascii="Times New Roman" w:hAnsi="Times New Roman" w:eastAsia="宋体" w:cs="Times New Roman"/>
          <w:b/>
          <w:bCs/>
          <w:color w:val="auto"/>
          <w:sz w:val="30"/>
          <w:szCs w:val="30"/>
          <w:lang w:eastAsia="zh-CN"/>
        </w:rPr>
        <w:t xml:space="preserve"> 建设内容</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本工程组成情况，见表 2-1-3。</w:t>
      </w:r>
    </w:p>
    <w:p>
      <w:pPr>
        <w:widowControl w:val="0"/>
        <w:wordWrap/>
        <w:adjustRightInd/>
        <w:snapToGrid/>
        <w:spacing w:line="520" w:lineRule="exact"/>
        <w:ind w:right="0"/>
        <w:jc w:val="center"/>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b/>
          <w:bCs/>
          <w:color w:val="auto"/>
          <w:sz w:val="24"/>
          <w:lang w:val="en-US" w:eastAsia="zh-CN"/>
        </w:rPr>
        <w:t>表2-1-3  本工程组成情况</w:t>
      </w:r>
    </w:p>
    <w:tbl>
      <w:tblPr>
        <w:tblStyle w:val="28"/>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465"/>
        <w:gridCol w:w="1290"/>
        <w:gridCol w:w="1917"/>
        <w:gridCol w:w="1980"/>
        <w:gridCol w:w="2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44" w:type="dxa"/>
            <w:gridSpan w:val="3"/>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工程组成</w:t>
            </w:r>
          </w:p>
        </w:tc>
        <w:tc>
          <w:tcPr>
            <w:tcW w:w="3897"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环评指标</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实际</w:t>
            </w:r>
            <w:r>
              <w:rPr>
                <w:rFonts w:hint="eastAsia" w:ascii="Times New Roman" w:hAnsi="Times New Roman" w:eastAsia="宋体" w:cs="Times New Roman"/>
                <w:b/>
                <w:bCs/>
                <w:color w:val="auto"/>
                <w:sz w:val="24"/>
                <w:szCs w:val="24"/>
                <w:lang w:eastAsia="zh-CN"/>
              </w:rPr>
              <w:t>建设</w:t>
            </w:r>
            <w:r>
              <w:rPr>
                <w:rFonts w:hint="default" w:ascii="Times New Roman" w:hAnsi="Times New Roman" w:eastAsia="宋体" w:cs="Times New Roman"/>
                <w:b/>
                <w:bCs/>
                <w:color w:val="auto"/>
                <w:sz w:val="24"/>
                <w:szCs w:val="24"/>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44" w:type="dxa"/>
            <w:gridSpan w:val="3"/>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规模(规格)</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备注</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restart"/>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主</w:t>
            </w:r>
          </w:p>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体</w:t>
            </w:r>
          </w:p>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工</w:t>
            </w:r>
          </w:p>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程</w:t>
            </w: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风力发电机组</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134 台</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单机1500</w:t>
            </w:r>
            <w:r>
              <w:rPr>
                <w:rFonts w:hint="eastAsia" w:ascii="Times New Roman" w:hAnsi="Times New Roman" w:eastAsia="宋体" w:cs="Times New Roman"/>
                <w:sz w:val="24"/>
                <w:szCs w:val="24"/>
                <w:lang w:val="en-US" w:eastAsia="zh-CN"/>
              </w:rPr>
              <w:t>kW</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80</w:t>
            </w:r>
            <w:r>
              <w:rPr>
                <w:rFonts w:hint="default" w:ascii="Times New Roman" w:hAnsi="Times New Roman" w:eastAsia="宋体" w:cs="Times New Roman"/>
                <w:sz w:val="24"/>
                <w:szCs w:val="24"/>
              </w:rPr>
              <w:t>台</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单机</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rPr>
              <w:t>00</w:t>
            </w:r>
            <w:r>
              <w:rPr>
                <w:rFonts w:hint="eastAsia" w:ascii="Times New Roman" w:hAnsi="Times New Roman" w:eastAsia="宋体" w:cs="Times New Roman"/>
                <w:sz w:val="24"/>
                <w:szCs w:val="24"/>
                <w:lang w:val="en-US" w:eastAsia="zh-CN"/>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箱式变压器</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“一机一变”</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80台台式变电站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集电线路</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92.5km；4.1km</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35kV 架空线路和直埋电缆</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92.5km；4.1km</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35kV 架空线路和直埋电缆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220kV 升压站</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 座(合建共用)</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位于三塘湖第三 B 区、C 区风电场区外西侧(由国电公司牵头承建)。</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与华能新疆三塘湖风力发电有限责任公司合用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监控中心</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 座</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临近升压站，位于升压站外的北部东端</w:t>
            </w:r>
            <w:r>
              <w:rPr>
                <w:rFonts w:hint="default" w:ascii="Times New Roman" w:hAnsi="Times New Roman" w:eastAsia="宋体" w:cs="Times New Roman"/>
                <w:sz w:val="24"/>
                <w:szCs w:val="24"/>
                <w:lang w:eastAsia="zh-CN"/>
              </w:rPr>
              <w:t>。</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位于升压站外的北部东端</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 座</w:t>
            </w:r>
            <w:r>
              <w:rPr>
                <w:rFonts w:hint="default" w:ascii="Times New Roman" w:hAnsi="Times New Roman" w:eastAsia="宋体"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用水</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污水：地埋式一体化污水装置</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运营期建一座 100m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 xml:space="preserve"> 集水池。</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地埋式一体化污水</w:t>
            </w:r>
            <w:r>
              <w:rPr>
                <w:rFonts w:hint="eastAsia" w:ascii="Times New Roman" w:hAnsi="Times New Roman" w:eastAsia="宋体" w:cs="Times New Roman"/>
                <w:sz w:val="24"/>
                <w:szCs w:val="24"/>
                <w:lang w:eastAsia="zh-CN"/>
              </w:rPr>
              <w:t>处理</w:t>
            </w:r>
            <w:r>
              <w:rPr>
                <w:rFonts w:hint="default" w:ascii="Times New Roman" w:hAnsi="Times New Roman" w:eastAsia="宋体" w:cs="Times New Roman"/>
                <w:sz w:val="24"/>
                <w:szCs w:val="24"/>
              </w:rPr>
              <w:t>装置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集水</w:t>
            </w:r>
            <w:r>
              <w:rPr>
                <w:rFonts w:hint="default" w:ascii="Times New Roman" w:hAnsi="Times New Roman" w:eastAsia="宋体" w:cs="Times New Roman"/>
                <w:sz w:val="24"/>
                <w:szCs w:val="24"/>
                <w:lang w:eastAsia="zh-CN"/>
              </w:rPr>
              <w:t>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采暖与</w:t>
            </w:r>
          </w:p>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通风系统</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电采暖</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465" w:type="dxa"/>
            <w:vMerge w:val="restart"/>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道路</w:t>
            </w:r>
          </w:p>
        </w:tc>
        <w:tc>
          <w:tcPr>
            <w:tcW w:w="129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公用道路</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8.8km</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总长 66km，按装机容量分摊</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总长 66km，按装机容量分摊</w:t>
            </w:r>
            <w:r>
              <w:rPr>
                <w:rFonts w:hint="default" w:ascii="Times New Roman" w:hAnsi="Times New Roman" w:eastAsia="宋体" w:cs="Times New Roman"/>
                <w:sz w:val="24"/>
                <w:szCs w:val="24"/>
                <w:lang w:val="en-US" w:eastAsia="zh-CN"/>
              </w:rPr>
              <w:t>8.8km</w:t>
            </w:r>
            <w:r>
              <w:rPr>
                <w:rFonts w:hint="default" w:ascii="Times New Roman" w:hAnsi="Times New Roman" w:eastAsia="宋体"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465"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29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场内道路</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70.5km</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电气</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发电部分和监控中心一次电气</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发电部分和监控中心一次电气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消防</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150m</w:t>
            </w:r>
            <w:r>
              <w:rPr>
                <w:rFonts w:hint="default" w:ascii="Times New Roman" w:hAnsi="Times New Roman" w:eastAsia="宋体" w:cs="Times New Roman"/>
                <w:sz w:val="24"/>
                <w:szCs w:val="24"/>
                <w:vertAlign w:val="superscript"/>
              </w:rPr>
              <w:t>3</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消防水池和消防泵房</w:t>
            </w: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150m</w:t>
            </w:r>
            <w:r>
              <w:rPr>
                <w:rFonts w:hint="default" w:ascii="Times New Roman" w:hAnsi="Times New Roman" w:eastAsia="宋体" w:cs="Times New Roman"/>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89" w:type="dxa"/>
            <w:vMerge w:val="continue"/>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1755" w:type="dxa"/>
            <w:gridSpan w:val="2"/>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事故油池</w:t>
            </w:r>
          </w:p>
        </w:tc>
        <w:tc>
          <w:tcPr>
            <w:tcW w:w="1917"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40m</w:t>
            </w:r>
            <w:r>
              <w:rPr>
                <w:rFonts w:hint="default" w:ascii="Times New Roman" w:hAnsi="Times New Roman" w:eastAsia="宋体" w:cs="Times New Roman"/>
                <w:sz w:val="24"/>
                <w:szCs w:val="24"/>
                <w:vertAlign w:val="superscript"/>
              </w:rPr>
              <w:t>3</w:t>
            </w:r>
          </w:p>
        </w:tc>
        <w:tc>
          <w:tcPr>
            <w:tcW w:w="1980"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p>
        </w:tc>
        <w:tc>
          <w:tcPr>
            <w:tcW w:w="2224" w:type="dxa"/>
            <w:vAlign w:val="center"/>
          </w:tcPr>
          <w:p>
            <w:pPr>
              <w:pStyle w:val="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0m</w:t>
            </w:r>
            <w:r>
              <w:rPr>
                <w:rFonts w:hint="default" w:ascii="Times New Roman" w:hAnsi="Times New Roman" w:eastAsia="宋体" w:cs="Times New Roman"/>
                <w:sz w:val="24"/>
                <w:szCs w:val="24"/>
                <w:vertAlign w:val="superscript"/>
              </w:rPr>
              <w:t>3</w:t>
            </w:r>
          </w:p>
        </w:tc>
      </w:tr>
    </w:tbl>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2.1.6 主体工程</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本工程主体工程主要包括：</w:t>
      </w:r>
      <w:r>
        <w:rPr>
          <w:rFonts w:hint="eastAsia" w:ascii="Times New Roman" w:hAnsi="Times New Roman" w:eastAsia="宋体" w:cs="Times New Roman"/>
          <w:color w:val="auto"/>
          <w:sz w:val="28"/>
          <w:szCs w:val="28"/>
          <w:lang w:val="en-US" w:eastAsia="zh-CN"/>
        </w:rPr>
        <w:t>80</w:t>
      </w:r>
      <w:r>
        <w:rPr>
          <w:rFonts w:hint="default" w:ascii="Times New Roman" w:hAnsi="Times New Roman" w:eastAsia="宋体" w:cs="Times New Roman"/>
          <w:color w:val="auto"/>
          <w:sz w:val="28"/>
          <w:szCs w:val="28"/>
          <w:lang w:val="en-US" w:eastAsia="zh-CN"/>
        </w:rPr>
        <w:t>台风力发电机组、</w:t>
      </w:r>
      <w:r>
        <w:rPr>
          <w:rFonts w:hint="eastAsia" w:ascii="Times New Roman" w:hAnsi="Times New Roman" w:eastAsia="宋体" w:cs="Times New Roman"/>
          <w:color w:val="auto"/>
          <w:sz w:val="28"/>
          <w:szCs w:val="28"/>
          <w:lang w:val="en-US" w:eastAsia="zh-CN"/>
        </w:rPr>
        <w:t>80台台式变电站基础、</w:t>
      </w:r>
      <w:r>
        <w:rPr>
          <w:rFonts w:hint="default" w:ascii="Times New Roman" w:hAnsi="Times New Roman" w:eastAsia="宋体" w:cs="Times New Roman"/>
          <w:color w:val="auto"/>
          <w:sz w:val="28"/>
          <w:szCs w:val="28"/>
          <w:lang w:val="en-US" w:eastAsia="zh-CN"/>
        </w:rPr>
        <w:t>道路工程、35kV集电线路</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电缆及架空线路</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、一座监控中心、一座220kV升压站</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与</w:t>
      </w:r>
      <w:r>
        <w:rPr>
          <w:rFonts w:hint="eastAsia" w:ascii="Times New Roman" w:hAnsi="Times New Roman" w:eastAsia="宋体" w:cs="Times New Roman"/>
          <w:color w:val="auto"/>
          <w:sz w:val="28"/>
          <w:szCs w:val="28"/>
          <w:lang w:val="en-US" w:eastAsia="zh-CN"/>
        </w:rPr>
        <w:t>华能新疆三塘湖风力发电有限责任公司</w:t>
      </w:r>
      <w:r>
        <w:rPr>
          <w:rFonts w:hint="default" w:ascii="Times New Roman" w:hAnsi="Times New Roman" w:eastAsia="宋体" w:cs="Times New Roman"/>
          <w:color w:val="auto"/>
          <w:sz w:val="28"/>
          <w:szCs w:val="28"/>
          <w:lang w:val="en-US" w:eastAsia="zh-CN"/>
        </w:rPr>
        <w:t>合用</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。容积</w:t>
      </w:r>
      <w:r>
        <w:rPr>
          <w:rFonts w:hint="eastAsia" w:ascii="Times New Roman" w:hAnsi="Times New Roman" w:eastAsia="宋体" w:cs="Times New Roman"/>
          <w:color w:val="auto"/>
          <w:sz w:val="28"/>
          <w:szCs w:val="28"/>
          <w:lang w:val="en-US" w:eastAsia="zh-CN"/>
        </w:rPr>
        <w:t>为</w:t>
      </w:r>
      <w:r>
        <w:rPr>
          <w:rFonts w:hint="default" w:ascii="Times New Roman" w:hAnsi="Times New Roman" w:eastAsia="宋体" w:cs="Times New Roman"/>
          <w:color w:val="auto"/>
          <w:sz w:val="28"/>
          <w:szCs w:val="28"/>
          <w:lang w:val="en-US" w:eastAsia="zh-CN"/>
        </w:rPr>
        <w:t>60m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钢筋混凝土结构</w:t>
      </w:r>
      <w:r>
        <w:rPr>
          <w:rFonts w:hint="eastAsia" w:ascii="Times New Roman" w:hAnsi="Times New Roman" w:eastAsia="宋体" w:cs="Times New Roman"/>
          <w:color w:val="auto"/>
          <w:sz w:val="28"/>
          <w:szCs w:val="28"/>
          <w:lang w:val="en-US" w:eastAsia="zh-CN"/>
        </w:rPr>
        <w:t>的</w:t>
      </w:r>
      <w:r>
        <w:rPr>
          <w:rFonts w:hint="default" w:ascii="Times New Roman" w:hAnsi="Times New Roman" w:eastAsia="宋体" w:cs="Times New Roman"/>
          <w:color w:val="auto"/>
          <w:sz w:val="28"/>
          <w:szCs w:val="28"/>
          <w:lang w:val="en-US" w:eastAsia="zh-CN"/>
        </w:rPr>
        <w:t>事故油池。</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b/>
          <w:bCs/>
          <w:color w:val="auto"/>
          <w:kern w:val="2"/>
          <w:sz w:val="30"/>
          <w:szCs w:val="30"/>
          <w:lang w:val="en-US" w:eastAsia="zh-CN" w:bidi="ar-SA"/>
        </w:rPr>
        <w:t>2.1.7 主要电气设备</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本工程安装</w:t>
      </w:r>
      <w:r>
        <w:rPr>
          <w:rFonts w:hint="eastAsia" w:ascii="Times New Roman" w:hAnsi="Times New Roman" w:eastAsia="宋体" w:cs="Times New Roman"/>
          <w:color w:val="auto"/>
          <w:sz w:val="28"/>
          <w:szCs w:val="28"/>
          <w:lang w:val="en-US" w:eastAsia="zh-CN"/>
        </w:rPr>
        <w:t>80</w:t>
      </w:r>
      <w:r>
        <w:rPr>
          <w:rFonts w:hint="default" w:ascii="Times New Roman" w:hAnsi="Times New Roman" w:eastAsia="宋体" w:cs="Times New Roman"/>
          <w:color w:val="auto"/>
          <w:sz w:val="28"/>
          <w:szCs w:val="28"/>
          <w:lang w:val="en-US" w:eastAsia="zh-CN"/>
        </w:rPr>
        <w:t>台单机容量</w:t>
      </w:r>
      <w:r>
        <w:rPr>
          <w:rFonts w:hint="eastAsia"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lang w:val="en-US" w:eastAsia="zh-CN"/>
        </w:rPr>
        <w:t>500kW的风力发电机组，机组出口电压为690V，经附近的</w:t>
      </w:r>
      <w:r>
        <w:rPr>
          <w:rFonts w:hint="eastAsia" w:ascii="Times New Roman" w:hAnsi="Times New Roman" w:eastAsia="宋体" w:cs="Times New Roman"/>
          <w:color w:val="auto"/>
          <w:sz w:val="28"/>
          <w:szCs w:val="28"/>
          <w:lang w:val="en-US" w:eastAsia="zh-CN"/>
        </w:rPr>
        <w:t>台式变电站</w:t>
      </w:r>
      <w:r>
        <w:rPr>
          <w:rFonts w:hint="default" w:ascii="Times New Roman" w:hAnsi="Times New Roman" w:eastAsia="宋体" w:cs="Times New Roman"/>
          <w:color w:val="auto"/>
          <w:sz w:val="28"/>
          <w:szCs w:val="28"/>
          <w:lang w:val="en-US" w:eastAsia="zh-CN"/>
        </w:rPr>
        <w:t>升压至35kV后通过场内架空线路接至升压站，风机与</w:t>
      </w:r>
      <w:r>
        <w:rPr>
          <w:rFonts w:hint="eastAsia" w:ascii="Times New Roman" w:hAnsi="Times New Roman" w:eastAsia="宋体" w:cs="Times New Roman"/>
          <w:color w:val="auto"/>
          <w:sz w:val="28"/>
          <w:szCs w:val="28"/>
          <w:lang w:val="en-US" w:eastAsia="zh-CN"/>
        </w:rPr>
        <w:t>台式变电站</w:t>
      </w:r>
      <w:r>
        <w:rPr>
          <w:rFonts w:hint="default" w:ascii="Times New Roman" w:hAnsi="Times New Roman" w:eastAsia="宋体" w:cs="Times New Roman"/>
          <w:color w:val="auto"/>
          <w:sz w:val="28"/>
          <w:szCs w:val="28"/>
          <w:lang w:val="en-US" w:eastAsia="zh-CN"/>
        </w:rPr>
        <w:t>采用“一机一变”单元接线方式。该升压站以1回220kV线路送出至就近汇集站，再集中升压后接入哈密南±800kV换流站，通过哈密南～郑州±800kV高压输电工程送出。</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FF0000"/>
          <w:sz w:val="28"/>
          <w:szCs w:val="28"/>
          <w:lang w:val="en-US" w:eastAsia="zh-CN"/>
        </w:rPr>
      </w:pPr>
      <w:r>
        <w:rPr>
          <w:rFonts w:hint="default" w:ascii="Times New Roman" w:hAnsi="Times New Roman" w:eastAsia="宋体" w:cs="Times New Roman"/>
          <w:color w:val="auto"/>
          <w:sz w:val="28"/>
          <w:szCs w:val="28"/>
          <w:lang w:val="en-US" w:eastAsia="zh-CN"/>
        </w:rPr>
        <w:t>本工程部分主要电气设备材料清单，见表 2-1-</w:t>
      </w:r>
      <w:r>
        <w:rPr>
          <w:rFonts w:hint="eastAsia"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w:t>
      </w:r>
    </w:p>
    <w:p>
      <w:pPr>
        <w:pStyle w:val="2"/>
        <w:widowControl w:val="0"/>
        <w:wordWrap/>
        <w:adjustRightInd w:val="0"/>
        <w:snapToGrid w:val="0"/>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b/>
          <w:color w:val="000000"/>
          <w:sz w:val="24"/>
        </w:rPr>
        <w:t xml:space="preserve">表 </w:t>
      </w:r>
      <w:r>
        <w:rPr>
          <w:rFonts w:hint="default" w:ascii="Times New Roman" w:hAnsi="Times New Roman" w:eastAsia="宋体" w:cs="Times New Roman"/>
          <w:b/>
          <w:color w:val="000000"/>
          <w:sz w:val="24"/>
          <w:lang w:val="en-US" w:eastAsia="zh-CN"/>
        </w:rPr>
        <w:t>2</w:t>
      </w:r>
      <w:r>
        <w:rPr>
          <w:rFonts w:hint="default" w:ascii="Times New Roman" w:hAnsi="Times New Roman" w:eastAsia="宋体" w:cs="Times New Roman"/>
          <w:b/>
          <w:color w:val="000000"/>
          <w:sz w:val="24"/>
        </w:rPr>
        <w:t>-1-</w:t>
      </w:r>
      <w:r>
        <w:rPr>
          <w:rFonts w:hint="eastAsia" w:ascii="Times New Roman" w:hAnsi="Times New Roman" w:eastAsia="宋体" w:cs="Times New Roman"/>
          <w:b/>
          <w:color w:val="000000"/>
          <w:sz w:val="24"/>
          <w:lang w:val="en-US" w:eastAsia="zh-CN"/>
        </w:rPr>
        <w:t>4</w:t>
      </w:r>
      <w:r>
        <w:rPr>
          <w:rFonts w:hint="default" w:ascii="Times New Roman" w:hAnsi="Times New Roman" w:eastAsia="宋体" w:cs="Times New Roman"/>
          <w:b/>
          <w:color w:val="000000"/>
          <w:sz w:val="24"/>
          <w:lang w:val="en-US" w:eastAsia="zh-CN"/>
        </w:rPr>
        <w:t xml:space="preserve">       </w:t>
      </w:r>
      <w:r>
        <w:rPr>
          <w:rFonts w:hint="default" w:ascii="Times New Roman" w:hAnsi="Times New Roman" w:eastAsia="宋体" w:cs="Times New Roman"/>
          <w:b/>
          <w:sz w:val="24"/>
        </w:rPr>
        <w:t>风力场部分主要电气设备材料清单</w:t>
      </w:r>
    </w:p>
    <w:tbl>
      <w:tblPr>
        <w:tblStyle w:val="27"/>
        <w:tblW w:w="8286" w:type="dxa"/>
        <w:jc w:val="center"/>
        <w:tblInd w:w="8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585"/>
        <w:gridCol w:w="592"/>
        <w:gridCol w:w="2535"/>
        <w:gridCol w:w="705"/>
        <w:gridCol w:w="1050"/>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59" w:type="dxa"/>
            <w:gridSpan w:val="6"/>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环评指标</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序号</w:t>
            </w:r>
          </w:p>
        </w:tc>
        <w:tc>
          <w:tcPr>
            <w:tcW w:w="158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名称</w:t>
            </w:r>
          </w:p>
        </w:tc>
        <w:tc>
          <w:tcPr>
            <w:tcW w:w="312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型号及规格</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单位</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数量</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6" w:type="dxa"/>
            <w:gridSpan w:val="7"/>
            <w:vAlign w:val="center"/>
          </w:tcPr>
          <w:p>
            <w:pPr>
              <w:widowControl w:val="0"/>
              <w:wordWrap/>
              <w:adjustRightInd/>
              <w:snapToGrid/>
              <w:spacing w:line="240" w:lineRule="auto"/>
              <w:ind w:left="0" w:leftChars="0" w:right="0" w:firstLine="0" w:firstLineChars="0"/>
              <w:jc w:val="left"/>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b/>
                <w:sz w:val="24"/>
                <w:szCs w:val="24"/>
              </w:rPr>
              <w:t>一、发电部分电气一次主要设备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风力发电机组</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PN=1500kW</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台</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134</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2</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箱式变电站</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35kV，1600kVA 台</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台</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134</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80台台式变电站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电力电缆</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ZRB-YJV23-0.6/1kV- 3×240</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m</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18800</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电力电缆</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ZRB-YJY-0.6/1kV- 1×240</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m</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9400</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9400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冷缩型电缆终端</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LST-3/3</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套</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1072</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6</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冷缩型电缆终端</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LST-3/1</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套</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536</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6" w:type="dxa"/>
            <w:gridSpan w:val="7"/>
            <w:vAlign w:val="center"/>
          </w:tcPr>
          <w:p>
            <w:pPr>
              <w:widowControl w:val="0"/>
              <w:wordWrap/>
              <w:adjustRightInd/>
              <w:snapToGrid/>
              <w:spacing w:line="240" w:lineRule="auto"/>
              <w:ind w:left="0" w:leftChars="0" w:right="0" w:firstLine="0" w:firstLineChars="0"/>
              <w:jc w:val="left"/>
              <w:textAlignment w:val="auto"/>
              <w:outlineLvl w:val="9"/>
              <w:rPr>
                <w:rFonts w:hint="default" w:ascii="Times New Roman" w:hAnsi="Times New Roman" w:eastAsia="宋体" w:cs="Times New Roman"/>
                <w:w w:val="94"/>
                <w:sz w:val="24"/>
                <w:szCs w:val="24"/>
              </w:rPr>
            </w:pPr>
            <w:r>
              <w:rPr>
                <w:rFonts w:hint="default" w:ascii="Times New Roman" w:hAnsi="Times New Roman" w:eastAsia="宋体" w:cs="Times New Roman"/>
                <w:b/>
                <w:sz w:val="24"/>
                <w:szCs w:val="24"/>
              </w:rPr>
              <w:t>二、监控中心电气一次主要设备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0.4kV 开关柜</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GCS-0.4</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面</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2</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动力配电箱</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XL-0.4</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个</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35</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电缆支架</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角钢制作</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t</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2</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电缆</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ZRB-YJY-0.6/1kV</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m</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4100</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导线</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BV-500-2.5mm</w:t>
            </w:r>
            <w:r>
              <w:rPr>
                <w:rFonts w:hint="default" w:ascii="Times New Roman" w:hAnsi="Times New Roman" w:eastAsia="宋体" w:cs="Times New Roman"/>
                <w:kern w:val="0"/>
                <w:sz w:val="24"/>
                <w:szCs w:val="24"/>
                <w:vertAlign w:val="superscript"/>
                <w:lang w:val="en-US" w:eastAsia="zh-CN" w:bidi="ar-SA"/>
              </w:rPr>
              <w:t>2</w:t>
            </w:r>
            <w:r>
              <w:rPr>
                <w:rFonts w:hint="default" w:ascii="Times New Roman" w:hAnsi="Times New Roman" w:eastAsia="宋体" w:cs="Times New Roman"/>
                <w:kern w:val="0"/>
                <w:sz w:val="24"/>
                <w:szCs w:val="24"/>
                <w:lang w:val="en-US" w:eastAsia="zh-CN" w:bidi="ar-SA"/>
              </w:rPr>
              <w:t>、4mm</w:t>
            </w:r>
            <w:r>
              <w:rPr>
                <w:rFonts w:hint="default" w:ascii="Times New Roman" w:hAnsi="Times New Roman" w:eastAsia="宋体" w:cs="Times New Roman"/>
                <w:kern w:val="0"/>
                <w:sz w:val="24"/>
                <w:szCs w:val="24"/>
                <w:vertAlign w:val="superscript"/>
                <w:lang w:val="en-US" w:eastAsia="zh-CN" w:bidi="ar-SA"/>
              </w:rPr>
              <w:t>2</w:t>
            </w:r>
            <w:r>
              <w:rPr>
                <w:rFonts w:hint="default" w:ascii="Times New Roman" w:hAnsi="Times New Roman" w:eastAsia="宋体" w:cs="Times New Roman"/>
                <w:kern w:val="0"/>
                <w:sz w:val="24"/>
                <w:szCs w:val="24"/>
                <w:lang w:val="en-US" w:eastAsia="zh-CN" w:bidi="ar-SA"/>
              </w:rPr>
              <w:t>、6mm</w:t>
            </w:r>
            <w:r>
              <w:rPr>
                <w:rFonts w:hint="default" w:ascii="Times New Roman" w:hAnsi="Times New Roman" w:eastAsia="宋体" w:cs="Times New Roman"/>
                <w:kern w:val="0"/>
                <w:sz w:val="24"/>
                <w:szCs w:val="24"/>
                <w:vertAlign w:val="superscript"/>
                <w:lang w:val="en-US" w:eastAsia="zh-CN" w:bidi="ar-SA"/>
              </w:rPr>
              <w:t>2</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km</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15</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6</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开关及插座</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0.4kV</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套</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500</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7</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灯具</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各型灯具</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套</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400</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8</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热镀锌扁钢</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60mm×6mm</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m</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3000</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9</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热镀锌扁钢</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50mm×5mm</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m</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300</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10</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复合接地单元</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TT-FD-A</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块</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70</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11</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离子缓释剂</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TT-HS-A</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t</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92"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12</w:t>
            </w:r>
          </w:p>
        </w:tc>
        <w:tc>
          <w:tcPr>
            <w:tcW w:w="2177" w:type="dxa"/>
            <w:gridSpan w:val="2"/>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防火封堵材料</w:t>
            </w:r>
          </w:p>
        </w:tc>
        <w:tc>
          <w:tcPr>
            <w:tcW w:w="253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有机堵料、无机堵料、防火涂料</w:t>
            </w:r>
          </w:p>
        </w:tc>
        <w:tc>
          <w:tcPr>
            <w:tcW w:w="705"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项</w:t>
            </w:r>
          </w:p>
        </w:tc>
        <w:tc>
          <w:tcPr>
            <w:tcW w:w="1050"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w:t>
            </w:r>
          </w:p>
        </w:tc>
        <w:tc>
          <w:tcPr>
            <w:tcW w:w="1327" w:type="dxa"/>
            <w:vAlign w:val="center"/>
          </w:tcPr>
          <w:p>
            <w:pPr>
              <w:widowControl w:val="0"/>
              <w:wordWrap/>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w:t>
            </w:r>
          </w:p>
        </w:tc>
      </w:tr>
    </w:tbl>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2.1.8 事故油池</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主变压器底部设地下钢筋混凝土贮油坑，容积为主变压器油量的 20%，贮油坑的四周设挡油坎，高出地面100mm。坑内铺设厚度为 250mm 的卵石，卵石粒径为 50～80mm，坑底设有排油管，能将事故油及消防废水排至事故油池中。事故油池容积约为60m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。事故排油经储油池贮存后由有资质单位回收处理。</w:t>
      </w:r>
    </w:p>
    <w:p>
      <w:pPr>
        <w:pStyle w:val="33"/>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color w:val="auto"/>
          <w:sz w:val="32"/>
          <w:szCs w:val="32"/>
        </w:rPr>
      </w:pPr>
      <w:bookmarkStart w:id="37" w:name="_Toc1583"/>
      <w:r>
        <w:rPr>
          <w:rFonts w:hint="default" w:ascii="Times New Roman" w:hAnsi="Times New Roman" w:eastAsia="宋体" w:cs="Times New Roman"/>
          <w:b/>
          <w:color w:val="auto"/>
          <w:sz w:val="32"/>
          <w:szCs w:val="32"/>
        </w:rPr>
        <w:t>2.2 公用工程</w:t>
      </w:r>
      <w:bookmarkEnd w:id="37"/>
    </w:p>
    <w:p>
      <w:pPr>
        <w:widowControl w:val="0"/>
        <w:wordWrap/>
        <w:adjustRightInd/>
        <w:snapToGrid/>
        <w:spacing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2.2.1 供排水</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经调查，本项目不产生生产废水，生活设施依托已建成的110kV升压站。</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2.2.2 供电</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本项目用电是从200MW主变上引线至一35KV开关柜变压为220V电压，用于升压站用电。</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2.2.3 供热</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本工程中控室、值班室等采用中温辐射式电辐射板进行辐射采暖。</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2.2.4 劳动定员及工作制度</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本项目</w:t>
      </w:r>
      <w:r>
        <w:rPr>
          <w:rFonts w:hint="eastAsia" w:ascii="Times New Roman" w:hAnsi="Times New Roman" w:eastAsia="宋体" w:cs="Times New Roman"/>
          <w:color w:val="auto"/>
          <w:sz w:val="28"/>
          <w:szCs w:val="28"/>
          <w:lang w:val="en-US" w:eastAsia="zh-CN"/>
        </w:rPr>
        <w:t>工作人员为15人，其中仅有2人在220kV升压站</w:t>
      </w:r>
      <w:r>
        <w:rPr>
          <w:rFonts w:hint="default" w:ascii="Times New Roman" w:hAnsi="Times New Roman" w:eastAsia="宋体" w:cs="Times New Roman"/>
          <w:color w:val="auto"/>
          <w:sz w:val="28"/>
          <w:szCs w:val="28"/>
          <w:lang w:val="en-US" w:eastAsia="zh-CN"/>
        </w:rPr>
        <w:t>值班</w:t>
      </w:r>
      <w:r>
        <w:rPr>
          <w:rFonts w:hint="eastAsia" w:ascii="Times New Roman" w:hAnsi="Times New Roman" w:eastAsia="宋体" w:cs="Times New Roman"/>
          <w:color w:val="auto"/>
          <w:sz w:val="28"/>
          <w:szCs w:val="28"/>
          <w:lang w:val="en-US" w:eastAsia="zh-CN"/>
        </w:rPr>
        <w:t>（与华能新疆三塘湖风力发电有限责任公司轮班）</w:t>
      </w:r>
      <w:r>
        <w:rPr>
          <w:rFonts w:hint="default" w:ascii="Times New Roman" w:hAnsi="Times New Roman" w:eastAsia="宋体" w:cs="Times New Roman"/>
          <w:color w:val="auto"/>
          <w:sz w:val="28"/>
          <w:szCs w:val="28"/>
          <w:lang w:val="en-US" w:eastAsia="zh-CN"/>
        </w:rPr>
        <w:t>，</w:t>
      </w:r>
      <w:r>
        <w:rPr>
          <w:rFonts w:hint="eastAsia" w:ascii="Times New Roman" w:hAnsi="Times New Roman" w:eastAsia="宋体" w:cs="Times New Roman"/>
          <w:color w:val="auto"/>
          <w:sz w:val="28"/>
          <w:szCs w:val="28"/>
          <w:lang w:val="en-US" w:eastAsia="zh-CN"/>
        </w:rPr>
        <w:t>其他人员</w:t>
      </w:r>
      <w:r>
        <w:rPr>
          <w:rFonts w:hint="default" w:ascii="Times New Roman" w:hAnsi="Times New Roman" w:eastAsia="宋体" w:cs="Times New Roman"/>
          <w:color w:val="auto"/>
          <w:sz w:val="28"/>
          <w:szCs w:val="28"/>
          <w:lang w:val="en-US" w:eastAsia="zh-CN"/>
        </w:rPr>
        <w:t>采用一班三倒制，一年（365天）工作制。</w:t>
      </w:r>
    </w:p>
    <w:p>
      <w:pPr>
        <w:pStyle w:val="2"/>
        <w:widowControl w:val="0"/>
        <w:wordWrap/>
        <w:adjustRightInd w:val="0"/>
        <w:snapToGrid w:val="0"/>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38" w:name="_Toc5014"/>
      <w:r>
        <w:rPr>
          <w:rFonts w:hint="default" w:ascii="Times New Roman" w:hAnsi="Times New Roman" w:eastAsia="宋体" w:cs="Times New Roman"/>
          <w:b/>
          <w:color w:val="auto"/>
          <w:sz w:val="32"/>
          <w:szCs w:val="32"/>
        </w:rPr>
        <w:t>2.</w:t>
      </w:r>
      <w:r>
        <w:rPr>
          <w:rFonts w:hint="default" w:ascii="Times New Roman" w:hAnsi="Times New Roman" w:eastAsia="宋体" w:cs="Times New Roman"/>
          <w:b/>
          <w:color w:val="auto"/>
          <w:sz w:val="32"/>
          <w:szCs w:val="32"/>
          <w:lang w:val="en-US" w:eastAsia="zh-CN"/>
        </w:rPr>
        <w:t xml:space="preserve">3 </w:t>
      </w:r>
      <w:r>
        <w:rPr>
          <w:rFonts w:hint="default" w:ascii="Times New Roman" w:hAnsi="Times New Roman" w:eastAsia="宋体" w:cs="Times New Roman"/>
          <w:b/>
          <w:bCs/>
          <w:color w:val="auto"/>
          <w:sz w:val="32"/>
          <w:szCs w:val="32"/>
        </w:rPr>
        <w:t>工艺流程简述</w:t>
      </w:r>
      <w:bookmarkEnd w:id="38"/>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生产工艺流程及产污节点如图2-3-1所示。</w:t>
      </w:r>
    </w:p>
    <w:p>
      <w:pPr>
        <w:pStyle w:val="2"/>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kern w:val="2"/>
          <w:sz w:val="21"/>
          <w:szCs w:val="24"/>
          <w:lang w:val="en-US" w:eastAsia="zh-CN" w:bidi="ar-SA"/>
        </w:rPr>
        <w:pict>
          <v:group id="组合 145" o:spid="_x0000_s1050" style="position:absolute;left:0;margin-left:62.3pt;margin-top:8.15pt;height:539.1pt;width:346.05pt;rotation:0f;z-index:251663360;" coordorigin="0,0" coordsize="5464,9563">
            <o:lock v:ext="edit" position="f" selection="f" grouping="f" rotation="f" cropping="f" text="f" aspectratio="f"/>
            <v:shape id="文本框 12" o:spid="_x0000_s1051" type="#_x0000_t202" style="position:absolute;left:39;top:7174;height:919;width:3345;rotation:0f;" o:ole="f" fillcolor="#FFFFFF" filled="t" o:preferrelative="t" stroked="t" coordorigin="0,0" coordsize="21600,21600">
              <v:stroke weight="0.5pt" color="#000000" color2="#FFFFFF" miterlimit="2"/>
              <v:imagedata gain="65536f" blacklevel="0f" gamma="0"/>
              <o:lock v:ext="edit" position="f" selection="f" grouping="f" rotation="f" cropping="f" text="f" aspectratio="f"/>
              <v:textbox>
                <w:txbxContent>
                  <w:p>
                    <w:pPr>
                      <w:spacing w:line="600" w:lineRule="auto"/>
                      <w:jc w:val="center"/>
                      <w:rPr>
                        <w:rFonts w:hint="eastAsia"/>
                        <w:sz w:val="24"/>
                        <w:szCs w:val="24"/>
                        <w:lang w:val="en-US" w:eastAsia="zh-CN"/>
                      </w:rPr>
                    </w:pPr>
                    <w:r>
                      <w:rPr>
                        <w:rFonts w:hint="eastAsia"/>
                        <w:sz w:val="24"/>
                        <w:szCs w:val="24"/>
                        <w:lang w:val="en-US" w:eastAsia="zh-CN"/>
                      </w:rPr>
                      <w:t>升 压 器</w:t>
                    </w:r>
                  </w:p>
                </w:txbxContent>
              </v:textbox>
            </v:shape>
            <v:shape id="文本框 14" o:spid="_x0000_s1052" type="#_x0000_t202" style="position:absolute;left:0;top:8699;height:864;width:3420;rotation:0f;" o:ole="f" fillcolor="#FFFFFF" filled="t" o:preferrelative="t" stroked="t" coordorigin="0,0" coordsize="21600,21600">
              <v:stroke weight="0.5pt" color="#000000" color2="#FFFFFF" miterlimit="2"/>
              <v:imagedata gain="65536f" blacklevel="0f" gamma="0"/>
              <o:lock v:ext="edit" position="f" selection="f" grouping="f" rotation="f" cropping="f" text="f" aspectratio="f"/>
              <v:textbox>
                <w:txbxContent>
                  <w:p>
                    <w:pPr>
                      <w:spacing w:line="600" w:lineRule="auto"/>
                      <w:jc w:val="center"/>
                      <w:rPr>
                        <w:rFonts w:hint="eastAsia"/>
                        <w:sz w:val="24"/>
                        <w:szCs w:val="24"/>
                        <w:lang w:val="en-US" w:eastAsia="zh-CN"/>
                      </w:rPr>
                    </w:pPr>
                    <w:r>
                      <w:rPr>
                        <w:rFonts w:hint="eastAsia"/>
                        <w:sz w:val="24"/>
                        <w:szCs w:val="24"/>
                        <w:lang w:val="en-US" w:eastAsia="zh-CN"/>
                      </w:rPr>
                      <w:t>电    网</w:t>
                    </w:r>
                  </w:p>
                </w:txbxContent>
              </v:textbox>
            </v:shape>
            <v:shape id="文本框 148" o:spid="_x0000_s1053" type="#_x0000_t202" style="position:absolute;left:4083;top:8859;height:495;width:1235;rotation:0f;" o:ole="f" fillcolor="#FFFFFF" filled="f" o:preferrelative="t" stroked="t" coordorigin="0,0" coordsize="21600,21600">
              <v:fill on="f" color2="#FFFFFF" focus="0%"/>
              <v:stroke color="#FFFFFF" color2="#FFFFFF" miterlimit="2"/>
              <v:imagedata gain="65536f" blacklevel="0f" gamma="0"/>
              <o:lock v:ext="edit" position="f" selection="f" grouping="f" rotation="f" cropping="f" text="f" aspectratio="f"/>
              <v:textbox>
                <w:txbxContent>
                  <w:p>
                    <w:pPr>
                      <w:rPr>
                        <w:rFonts w:hint="eastAsia"/>
                        <w:sz w:val="21"/>
                        <w:szCs w:val="21"/>
                        <w:lang w:eastAsia="zh-CN"/>
                      </w:rPr>
                    </w:pPr>
                    <w:r>
                      <w:rPr>
                        <w:rFonts w:hint="eastAsia"/>
                        <w:sz w:val="21"/>
                        <w:szCs w:val="21"/>
                        <w:lang w:eastAsia="zh-CN"/>
                      </w:rPr>
                      <w:t>电磁环境</w:t>
                    </w:r>
                  </w:p>
                  <w:p>
                    <w:pPr>
                      <w:rPr>
                        <w:rFonts w:hint="eastAsia" w:eastAsia="宋体"/>
                        <w:lang w:eastAsia="zh-CN"/>
                      </w:rPr>
                    </w:pPr>
                    <w:r>
                      <w:rPr>
                        <w:rFonts w:hint="eastAsia"/>
                        <w:lang w:eastAsia="zh-CN"/>
                      </w:rPr>
                      <w:t>噪声</w:t>
                    </w:r>
                  </w:p>
                </w:txbxContent>
              </v:textbox>
            </v:shape>
            <v:line id="直线 149" o:spid="_x0000_s1054" style="position:absolute;left:1710;top:8078;height:615;width:1;rotation:0f;" o:ole="f" fillcolor="#FFFFFF" filled="f" o:preferrelative="t" stroked="t" coordsize="21600,21600">
              <v:fill on="f" color2="#FFFFFF" focus="0%"/>
              <v:stroke color="#000000" color2="#FFFFFF" miterlimit="2" endarrow="block"/>
              <v:imagedata gain="65536f" blacklevel="0f" gamma="0"/>
              <o:lock v:ext="edit" position="f" selection="f" grouping="f" rotation="f" cropping="f" text="f" aspectratio="f"/>
            </v:line>
            <v:line id="直线 150" o:spid="_x0000_s1055" style="position:absolute;left:3390;top:7619;height:1;width:630;rotation:0f;" o:ole="f" fillcolor="#FFFFFF" filled="f" o:preferrelative="t" stroked="t" coordsize="21600,21600">
              <v:fill on="f" color2="#FFFFFF" focus="0%"/>
              <v:stroke color="#000000" color2="#FFFFFF" miterlimit="2" dashstyle="dashDot" endarrow="block"/>
              <v:imagedata gain="65536f" blacklevel="0f" gamma="0"/>
              <o:lock v:ext="edit" position="f" selection="f" grouping="f" rotation="f" cropping="f" text="f" aspectratio="f"/>
            </v:line>
            <v:group id="组合 151" o:spid="_x0000_s1056" style="position:absolute;left:30;top:0;height:7162;width:5434;rotation:0f;" coordorigin="0,0" coordsize="5434,7162">
              <o:lock v:ext="edit" position="f" selection="f" grouping="f" rotation="f" cropping="f" text="f" aspectratio="f"/>
              <v:shape id="文本框 10" o:spid="_x0000_s1057" type="#_x0000_t202" style="position:absolute;left:0;top:5660;height:881;width:3375;rotation:0f;" o:ole="f" fillcolor="#FFFFFF" filled="t" o:preferrelative="t" stroked="t" coordorigin="0,0" coordsize="21600,21600">
                <v:stroke weight="0.5pt" color="#000000" color2="#FFFFFF" miterlimit="2"/>
                <v:imagedata gain="65536f" blacklevel="0f" gamma="0"/>
                <o:lock v:ext="edit" position="f" selection="f" grouping="f" rotation="f" cropping="f" text="f" aspectratio="f"/>
                <v:textbox>
                  <w:txbxContent>
                    <w:p>
                      <w:pPr>
                        <w:spacing w:line="600" w:lineRule="auto"/>
                        <w:jc w:val="center"/>
                        <w:rPr>
                          <w:rFonts w:hint="eastAsia"/>
                          <w:sz w:val="28"/>
                          <w:szCs w:val="28"/>
                          <w:lang w:val="en-US" w:eastAsia="zh-CN"/>
                        </w:rPr>
                      </w:pPr>
                      <w:r>
                        <w:rPr>
                          <w:rFonts w:hint="eastAsia"/>
                          <w:sz w:val="24"/>
                          <w:szCs w:val="24"/>
                          <w:lang w:val="en-US" w:eastAsia="zh-CN"/>
                        </w:rPr>
                        <w:t>变 压 器</w:t>
                      </w:r>
                    </w:p>
                  </w:txbxContent>
                </v:textbox>
              </v:shape>
              <v:line id="直线 153" o:spid="_x0000_s1058" style="position:absolute;left:1680;top:5048;height:615;width:1;rotation:0f;" o:ole="f" fillcolor="#FFFFFF" filled="f" o:preferrelative="t" stroked="t" coordsize="21600,21600">
                <v:fill on="f" color2="#FFFFFF" focus="0%"/>
                <v:stroke color="#000000" color2="#FFFFFF" miterlimit="2" endarrow="block"/>
                <v:imagedata gain="65536f" blacklevel="0f" gamma="0"/>
                <o:lock v:ext="edit" position="f" selection="f" grouping="f" rotation="f" cropping="f" text="f" aspectratio="f"/>
              </v:line>
              <v:line id="直线 154" o:spid="_x0000_s1059" style="position:absolute;left:1680;top:6548;height:615;width:1;rotation:0f;" o:ole="f" fillcolor="#FFFFFF" filled="f" o:preferrelative="t" stroked="t" coordsize="21600,21600">
                <v:fill on="f" color2="#FFFFFF" focus="0%"/>
                <v:stroke color="#000000" color2="#FFFFFF" miterlimit="2" endarrow="block"/>
                <v:imagedata gain="65536f" blacklevel="0f" gamma="0"/>
                <o:lock v:ext="edit" position="f" selection="f" grouping="f" rotation="f" cropping="f" text="f" aspectratio="f"/>
              </v:line>
              <v:line id="直线 155" o:spid="_x0000_s1060" style="position:absolute;left:3375;top:6074;height:1;width:630;rotation:0f;" o:ole="f" fillcolor="#FFFFFF" filled="f" o:preferrelative="t" stroked="t" coordsize="21600,21600">
                <v:fill on="f" color2="#FFFFFF" focus="0%"/>
                <v:stroke color="#000000" color2="#FFFFFF" miterlimit="2" dashstyle="dashDot" endarrow="block"/>
                <v:imagedata gain="65536f" blacklevel="0f" gamma="0"/>
                <o:lock v:ext="edit" position="f" selection="f" grouping="f" rotation="f" cropping="f" text="f" aspectratio="f"/>
              </v:line>
              <v:group id="组合 156" o:spid="_x0000_s1061" style="position:absolute;left:17;top:0;height:5365;width:5372;rotation:0f;" coordorigin="0,0" coordsize="5372,5365">
                <o:lock v:ext="edit" position="f" selection="f" grouping="f" rotation="f" cropping="f" text="f" aspectratio="f"/>
                <v:shape id="文本框 2" o:spid="_x0000_s1062" type="#_x0000_t202" style="position:absolute;left:76;top:0;height:764;width:3193;rotation:0f;" o:ole="f" fillcolor="#FFFFFF" filled="t" o:preferrelative="t" stroked="t" coordorigin="0,0" coordsize="21600,21600">
                  <v:stroke weight="0.5pt" color="#000000" color2="#FFFFFF" miterlimit="2"/>
                  <v:imagedata gain="65536f" blacklevel="0f" gamma="0"/>
                  <o:lock v:ext="edit" position="f" selection="f" grouping="f" rotation="f" cropping="f" text="f" aspectratio="f"/>
                  <v:textbox>
                    <w:txbxContent>
                      <w:p>
                        <w:pPr>
                          <w:spacing w:line="480" w:lineRule="auto"/>
                          <w:jc w:val="center"/>
                          <w:rPr>
                            <w:rFonts w:hint="eastAsia" w:eastAsia="宋体"/>
                            <w:sz w:val="24"/>
                            <w:szCs w:val="24"/>
                            <w:lang w:val="en-US" w:eastAsia="zh-CN"/>
                          </w:rPr>
                        </w:pPr>
                        <w:r>
                          <w:rPr>
                            <w:rFonts w:hint="eastAsia"/>
                            <w:sz w:val="24"/>
                            <w:szCs w:val="24"/>
                            <w:lang w:val="en-US" w:eastAsia="zh-CN"/>
                          </w:rPr>
                          <w:t>风力（风能）</w:t>
                        </w:r>
                      </w:p>
                    </w:txbxContent>
                  </v:textbox>
                </v:shape>
                <v:shape id="文本框 8" o:spid="_x0000_s1063" type="#_x0000_t202" style="position:absolute;left:0;top:4278;height:787;width:3328;rotation:0f;" o:ole="f" fillcolor="#FFFFFF" filled="t" o:preferrelative="t" stroked="t" coordorigin="0,0" coordsize="21600,21600">
                  <v:stroke weight="0.5pt" color="#000000" color2="#FFFFFF" miterlimit="2"/>
                  <v:imagedata gain="65536f" blacklevel="0f" gamma="0"/>
                  <o:lock v:ext="edit" position="f" selection="f" grouping="f" rotation="f" cropping="f" text="f" aspectratio="f"/>
                  <v:textbox>
                    <w:txbxContent>
                      <w:p>
                        <w:pPr>
                          <w:spacing w:line="480" w:lineRule="auto"/>
                          <w:jc w:val="center"/>
                          <w:rPr>
                            <w:rFonts w:hint="eastAsia"/>
                            <w:sz w:val="24"/>
                            <w:szCs w:val="24"/>
                            <w:lang w:val="en-US" w:eastAsia="zh-CN"/>
                          </w:rPr>
                        </w:pPr>
                        <w:r>
                          <w:rPr>
                            <w:rFonts w:hint="eastAsia"/>
                            <w:sz w:val="24"/>
                            <w:szCs w:val="24"/>
                            <w:lang w:val="en-US" w:eastAsia="zh-CN"/>
                          </w:rPr>
                          <w:t>发 电 机</w:t>
                        </w:r>
                      </w:p>
                    </w:txbxContent>
                  </v:textbox>
                </v:shape>
                <v:shape id="文本框 2" o:spid="_x0000_s1064" type="#_x0000_t202" style="position:absolute;left:46;top:1380;height:809;width:3193;rotation:0f;" o:ole="f" fillcolor="#FFFFFF" filled="t" o:preferrelative="t" stroked="t" coordorigin="0,0" coordsize="21600,21600">
                  <v:stroke weight="0.5pt" color="#000000" color2="#FFFFFF" miterlimit="2"/>
                  <v:imagedata gain="65536f" blacklevel="0f" gamma="0"/>
                  <o:lock v:ext="edit" position="f" selection="f" grouping="f" rotation="f" cropping="f" text="f" aspectratio="f"/>
                  <v:textbox>
                    <w:txbxContent>
                      <w:p>
                        <w:pPr>
                          <w:spacing w:line="600" w:lineRule="auto"/>
                          <w:jc w:val="center"/>
                          <w:rPr>
                            <w:rFonts w:hint="eastAsia"/>
                            <w:sz w:val="24"/>
                            <w:szCs w:val="24"/>
                            <w:lang w:val="en-US" w:eastAsia="zh-CN"/>
                          </w:rPr>
                        </w:pPr>
                        <w:r>
                          <w:rPr>
                            <w:rFonts w:hint="eastAsia"/>
                            <w:sz w:val="24"/>
                            <w:szCs w:val="24"/>
                            <w:lang w:val="en-US" w:eastAsia="zh-CN"/>
                          </w:rPr>
                          <w:t>叶    轮</w:t>
                        </w:r>
                      </w:p>
                      <w:p>
                        <w:pPr>
                          <w:spacing w:line="480" w:lineRule="auto"/>
                          <w:jc w:val="center"/>
                          <w:rPr>
                            <w:rFonts w:hint="eastAsia" w:eastAsia="宋体"/>
                            <w:sz w:val="24"/>
                            <w:szCs w:val="24"/>
                            <w:lang w:val="en-US" w:eastAsia="zh-CN"/>
                          </w:rPr>
                        </w:pPr>
                      </w:p>
                    </w:txbxContent>
                  </v:textbox>
                </v:shape>
                <v:shape id="文本框 2" o:spid="_x0000_s1065" type="#_x0000_t202" style="position:absolute;left:61;top:2805;height:838;width:3193;rotation:0f;" o:ole="f" fillcolor="#FFFFFF" filled="t" o:preferrelative="t" stroked="t" coordorigin="0,0" coordsize="21600,21600">
                  <v:stroke weight="0.5pt" color="#000000" color2="#FFFFFF" miterlimit="2"/>
                  <v:imagedata gain="65536f" blacklevel="0f" gamma="0"/>
                  <o:lock v:ext="edit" position="f" selection="f" grouping="f" rotation="f" cropping="f" text="f" aspectratio="f"/>
                  <v:textbox>
                    <w:txbxContent>
                      <w:p>
                        <w:pPr>
                          <w:spacing w:line="600" w:lineRule="auto"/>
                          <w:jc w:val="center"/>
                          <w:rPr>
                            <w:rFonts w:hint="eastAsia"/>
                            <w:sz w:val="24"/>
                            <w:szCs w:val="24"/>
                            <w:lang w:val="en-US" w:eastAsia="zh-CN"/>
                          </w:rPr>
                        </w:pPr>
                        <w:r>
                          <w:rPr>
                            <w:rFonts w:hint="eastAsia"/>
                            <w:sz w:val="24"/>
                            <w:szCs w:val="24"/>
                            <w:lang w:val="en-US" w:eastAsia="zh-CN"/>
                          </w:rPr>
                          <w:t>传动系统</w:t>
                        </w:r>
                      </w:p>
                      <w:p>
                        <w:pPr>
                          <w:spacing w:line="480" w:lineRule="auto"/>
                          <w:jc w:val="center"/>
                          <w:rPr>
                            <w:rFonts w:hint="eastAsia" w:eastAsia="宋体"/>
                            <w:sz w:val="24"/>
                            <w:szCs w:val="24"/>
                            <w:lang w:val="en-US" w:eastAsia="zh-CN"/>
                          </w:rPr>
                        </w:pPr>
                      </w:p>
                    </w:txbxContent>
                  </v:textbox>
                </v:shape>
                <v:line id="直线 161" o:spid="_x0000_s1066" style="position:absolute;left:1663;top:758;height:615;width:1;rotation:0f;" o:ole="f" fillcolor="#FFFFFF" filled="f" o:preferrelative="t" stroked="t" coordsize="21600,21600">
                  <v:fill on="f" color2="#FFFFFF" focus="0%"/>
                  <v:stroke color="#000000" color2="#FFFFFF" miterlimit="2" endarrow="block"/>
                  <v:imagedata gain="65536f" blacklevel="0f" gamma="0"/>
                  <o:lock v:ext="edit" position="f" selection="f" grouping="f" rotation="f" cropping="f" text="f" aspectratio="f"/>
                </v:line>
                <v:line id="直线 162" o:spid="_x0000_s1067" style="position:absolute;left:1663;top:2183;height:615;width:1;rotation:0f;" o:ole="f" fillcolor="#FFFFFF" filled="f" o:preferrelative="t" stroked="t" coordsize="21600,21600">
                  <v:fill on="f" color2="#FFFFFF" focus="0%"/>
                  <v:stroke color="#000000" color2="#FFFFFF" miterlimit="2" endarrow="block"/>
                  <v:imagedata gain="65536f" blacklevel="0f" gamma="0"/>
                  <o:lock v:ext="edit" position="f" selection="f" grouping="f" rotation="f" cropping="f" text="f" aspectratio="f"/>
                </v:line>
                <v:line id="直线 163" o:spid="_x0000_s1068" style="position:absolute;left:1663;top:3653;height:615;width:1;rotation:0f;" o:ole="f" fillcolor="#FFFFFF" filled="f" o:preferrelative="t" stroked="t" coordsize="21600,21600">
                  <v:fill on="f" color2="#FFFFFF" focus="0%"/>
                  <v:stroke color="#000000" color2="#FFFFFF" miterlimit="2" endarrow="block"/>
                  <v:imagedata gain="65536f" blacklevel="0f" gamma="0"/>
                  <o:lock v:ext="edit" position="f" selection="f" grouping="f" rotation="f" cropping="f" text="f" aspectratio="f"/>
                </v:line>
                <v:line id="直线 164" o:spid="_x0000_s1069" style="position:absolute;left:3328;top:4664;height:1;width:630;rotation:0f;" o:ole="f" fillcolor="#FFFFFF" filled="f" o:preferrelative="t" stroked="t" coordsize="21600,21600">
                  <v:fill on="f" color2="#FFFFFF" focus="0%"/>
                  <v:stroke color="#000000" color2="#FFFFFF" miterlimit="2" dashstyle="dashDot" endarrow="block"/>
                  <v:imagedata gain="65536f" blacklevel="0f" gamma="0"/>
                  <o:lock v:ext="edit" position="f" selection="f" grouping="f" rotation="f" cropping="f" text="f" aspectratio="f"/>
                </v:line>
                <v:group id="组合 165" o:spid="_x0000_s1070" style="position:absolute;left:3968;top:4017;height:1349;width:1404;rotation:0f;" coordorigin="0,0" coordsize="1404,1349">
                  <o:lock v:ext="edit" position="f" selection="f" grouping="f" rotation="f" cropping="f" text="f" aspectratio="f"/>
                  <v:shape id="文本框 166" o:spid="_x0000_s1071" type="#_x0000_t202" style="position:absolute;left:33;top:807;height:542;width:1356;rotation:0f;" o:ole="f" fillcolor="#FFFFFF" filled="f" o:preferrelative="t" stroked="f" coordorigin="0,0" coordsize="21600,21600">
                    <v:fill on="f" color2="#FFFFFF" focus="0%"/>
                    <v:imagedata gain="65536f" blacklevel="0f" gamma="0"/>
                    <o:lock v:ext="edit" position="f" selection="f" grouping="f" rotation="f" cropping="f" text="f" aspectratio="f"/>
                    <v:textbox>
                      <w:txbxContent>
                        <w:p>
                          <w:pPr>
                            <w:rPr>
                              <w:rFonts w:hint="eastAsia" w:eastAsia="宋体"/>
                              <w:sz w:val="24"/>
                              <w:szCs w:val="24"/>
                              <w:lang w:eastAsia="zh-CN"/>
                            </w:rPr>
                          </w:pPr>
                          <w:r>
                            <w:rPr>
                              <w:rFonts w:hint="eastAsia"/>
                              <w:sz w:val="24"/>
                              <w:szCs w:val="24"/>
                              <w:lang w:eastAsia="zh-CN"/>
                            </w:rPr>
                            <w:t>固体废物</w:t>
                          </w:r>
                        </w:p>
                        <w:p/>
                      </w:txbxContent>
                    </v:textbox>
                  </v:shape>
                  <v:shape id="文本框 167" o:spid="_x0000_s1072" type="#_x0000_t202" style="position:absolute;left:51;top:0;height:492;width:792;rotation:0f;" o:ole="f" fillcolor="#FFFFFF" filled="f" o:preferrelative="t" stroked="t" coordorigin="0,0" coordsize="21600,21600">
                    <v:fill on="f" color2="#FFFFFF" focus="0%"/>
                    <v:stroke color="#FFFFFF" color2="#FFFFFF" miterlimit="2"/>
                    <v:imagedata gain="65536f" blacklevel="0f" gamma="0"/>
                    <o:lock v:ext="edit" position="f" selection="f" grouping="f" rotation="f" cropping="f" text="f" aspectratio="f"/>
                    <v:textbox>
                      <w:txbxContent>
                        <w:p>
                          <w:r>
                            <w:rPr>
                              <w:rFonts w:hint="eastAsia"/>
                              <w:sz w:val="24"/>
                              <w:szCs w:val="24"/>
                              <w:lang w:eastAsia="zh-CN"/>
                            </w:rPr>
                            <w:t>噪声</w:t>
                          </w:r>
                        </w:p>
                      </w:txbxContent>
                    </v:textbox>
                  </v:shape>
                  <v:shape id="文本框 168" o:spid="_x0000_s1073" type="#_x0000_t202" style="position:absolute;left:0;top:366;height:541;width:1405;rotation:0f;" o:ole="f" fillcolor="#FFFFFF" filled="f" o:preferrelative="t" stroked="t" coordorigin="0,0" coordsize="21600,21600">
                    <v:fill on="f" color2="#FFFFFF" focus="0%"/>
                    <v:stroke color="#FFFFFF"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sz w:val="24"/>
                              <w:szCs w:val="24"/>
                              <w:lang w:eastAsia="zh-CN"/>
                            </w:rPr>
                            <w:t>电磁环境</w:t>
                          </w:r>
                        </w:p>
                        <w:p/>
                      </w:txbxContent>
                    </v:textbox>
                  </v:shape>
                </v:group>
              </v:group>
              <v:group id="组合 169" o:spid="_x0000_s1074" style="position:absolute;left:4030;top:5397;height:1349;width:1404;rotation:0f;" coordorigin="0,0" coordsize="1404,1349">
                <o:lock v:ext="edit" position="f" selection="f" grouping="f" rotation="f" cropping="f" text="f" aspectratio="f"/>
                <v:shape id="文本框 170" o:spid="_x0000_s1075" type="#_x0000_t202" style="position:absolute;left:33;top:807;height:542;width:1356;rotation:0f;" o:ole="f" fillcolor="#FFFFFF" filled="f" o:preferrelative="t" stroked="f" coordorigin="0,0" coordsize="21600,21600">
                  <v:fill on="f" color2="#FFFFFF" focus="0%"/>
                  <v:imagedata gain="65536f" blacklevel="0f" gamma="0"/>
                  <o:lock v:ext="edit" position="f" selection="f" grouping="f" rotation="f" cropping="f" text="f" aspectratio="f"/>
                  <v:textbox>
                    <w:txbxContent>
                      <w:p>
                        <w:pPr>
                          <w:rPr>
                            <w:rFonts w:hint="eastAsia" w:eastAsia="宋体"/>
                            <w:sz w:val="24"/>
                            <w:szCs w:val="24"/>
                            <w:lang w:eastAsia="zh-CN"/>
                          </w:rPr>
                        </w:pPr>
                        <w:r>
                          <w:rPr>
                            <w:rFonts w:hint="eastAsia"/>
                            <w:sz w:val="24"/>
                            <w:szCs w:val="24"/>
                            <w:lang w:eastAsia="zh-CN"/>
                          </w:rPr>
                          <w:t>固体废物</w:t>
                        </w:r>
                      </w:p>
                      <w:p/>
                    </w:txbxContent>
                  </v:textbox>
                </v:shape>
                <v:shape id="文本框 171" o:spid="_x0000_s1076" type="#_x0000_t202" style="position:absolute;left:51;top:0;height:492;width:792;rotation:0f;" o:ole="f" fillcolor="#FFFFFF" filled="f" o:preferrelative="t" stroked="t" coordorigin="0,0" coordsize="21600,21600">
                  <v:fill on="f" color2="#FFFFFF" focus="0%"/>
                  <v:stroke color="#FFFFFF" color2="#FFFFFF" miterlimit="2"/>
                  <v:imagedata gain="65536f" blacklevel="0f" gamma="0"/>
                  <o:lock v:ext="edit" position="f" selection="f" grouping="f" rotation="f" cropping="f" text="f" aspectratio="f"/>
                  <v:textbox>
                    <w:txbxContent>
                      <w:p>
                        <w:r>
                          <w:rPr>
                            <w:rFonts w:hint="eastAsia"/>
                            <w:sz w:val="24"/>
                            <w:szCs w:val="24"/>
                            <w:lang w:eastAsia="zh-CN"/>
                          </w:rPr>
                          <w:t>噪声</w:t>
                        </w:r>
                      </w:p>
                    </w:txbxContent>
                  </v:textbox>
                </v:shape>
                <v:shape id="文本框 172" o:spid="_x0000_s1077" type="#_x0000_t202" style="position:absolute;left:0;top:366;height:541;width:1405;rotation:0f;" o:ole="f" fillcolor="#FFFFFF" filled="f" o:preferrelative="t" stroked="t" coordorigin="0,0" coordsize="21600,21600">
                  <v:fill on="f" color2="#FFFFFF" focus="0%"/>
                  <v:stroke color="#FFFFFF"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sz w:val="24"/>
                            <w:szCs w:val="24"/>
                            <w:lang w:eastAsia="zh-CN"/>
                          </w:rPr>
                          <w:t>电磁环境</w:t>
                        </w:r>
                      </w:p>
                      <w:p/>
                    </w:txbxContent>
                  </v:textbox>
                </v:shape>
              </v:group>
            </v:group>
            <v:group id="组合 173" o:spid="_x0000_s1078" style="position:absolute;left:4030;top:6942;height:1349;width:1404;rotation:0f;" coordorigin="0,0" coordsize="1404,1349">
              <o:lock v:ext="edit" position="f" selection="f" grouping="f" rotation="f" cropping="f" text="f" aspectratio="f"/>
              <v:shape id="文本框 174" o:spid="_x0000_s1079" type="#_x0000_t202" style="position:absolute;left:33;top:807;height:542;width:1356;rotation:0f;" o:ole="f" fillcolor="#FFFFFF" filled="f" o:preferrelative="t" stroked="f" coordorigin="0,0" coordsize="21600,21600">
                <v:fill on="f" color2="#FFFFFF" focus="0%"/>
                <v:imagedata gain="65536f" blacklevel="0f" gamma="0"/>
                <o:lock v:ext="edit" position="f" selection="f" grouping="f" rotation="f" cropping="f" text="f" aspectratio="f"/>
                <v:textbox>
                  <w:txbxContent>
                    <w:p>
                      <w:pPr>
                        <w:rPr>
                          <w:rFonts w:hint="eastAsia" w:eastAsia="宋体"/>
                          <w:sz w:val="24"/>
                          <w:szCs w:val="24"/>
                          <w:lang w:eastAsia="zh-CN"/>
                        </w:rPr>
                      </w:pPr>
                      <w:r>
                        <w:rPr>
                          <w:rFonts w:hint="eastAsia"/>
                          <w:sz w:val="24"/>
                          <w:szCs w:val="24"/>
                          <w:lang w:eastAsia="zh-CN"/>
                        </w:rPr>
                        <w:t>固体废物</w:t>
                      </w:r>
                    </w:p>
                    <w:p/>
                  </w:txbxContent>
                </v:textbox>
              </v:shape>
              <v:shape id="文本框 175" o:spid="_x0000_s1080" type="#_x0000_t202" style="position:absolute;left:51;top:0;height:492;width:792;rotation:0f;" o:ole="f" fillcolor="#FFFFFF" filled="f" o:preferrelative="t" stroked="t" coordorigin="0,0" coordsize="21600,21600">
                <v:fill on="f" color2="#FFFFFF" focus="0%"/>
                <v:stroke color="#FFFFFF" color2="#FFFFFF" miterlimit="2"/>
                <v:imagedata gain="65536f" blacklevel="0f" gamma="0"/>
                <o:lock v:ext="edit" position="f" selection="f" grouping="f" rotation="f" cropping="f" text="f" aspectratio="f"/>
                <v:textbox>
                  <w:txbxContent>
                    <w:p>
                      <w:r>
                        <w:rPr>
                          <w:rFonts w:hint="eastAsia"/>
                          <w:sz w:val="24"/>
                          <w:szCs w:val="24"/>
                          <w:lang w:eastAsia="zh-CN"/>
                        </w:rPr>
                        <w:t>噪声</w:t>
                      </w:r>
                    </w:p>
                  </w:txbxContent>
                </v:textbox>
              </v:shape>
              <v:shape id="文本框 176" o:spid="_x0000_s1081" type="#_x0000_t202" style="position:absolute;left:0;top:366;height:541;width:1405;rotation:0f;" o:ole="f" fillcolor="#FFFFFF" filled="f" o:preferrelative="t" stroked="t" coordorigin="0,0" coordsize="21600,21600">
                <v:fill on="f" color2="#FFFFFF" focus="0%"/>
                <v:stroke color="#FFFFFF"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sz w:val="24"/>
                          <w:szCs w:val="24"/>
                          <w:lang w:eastAsia="zh-CN"/>
                        </w:rPr>
                        <w:t>电磁环境</w:t>
                      </w:r>
                    </w:p>
                    <w:p/>
                  </w:txbxContent>
                </v:textbox>
              </v:shape>
            </v:group>
            <v:line id="直线 177" o:spid="_x0000_s1082" style="position:absolute;left:3435;top:9104;height:1;width:630;rotation:0f;" o:ole="f" fillcolor="#FFFFFF" filled="f" o:preferrelative="t" stroked="t" coordsize="21600,21600">
              <v:fill on="f" color2="#FFFFFF" focus="0%"/>
              <v:stroke color="#000000" color2="#FFFFFF" miterlimit="2" dashstyle="dashDot" endarrow="block"/>
              <v:imagedata gain="65536f" blacklevel="0f" gamma="0"/>
              <o:lock v:ext="edit" position="f" selection="f" grouping="f" rotation="f" cropping="f" text="f" aspectratio="f"/>
            </v:line>
          </v:group>
        </w:pict>
      </w:r>
    </w:p>
    <w:p>
      <w:pPr>
        <w:pStyle w:val="2"/>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bCs/>
          <w:color w:val="auto"/>
          <w:szCs w:val="28"/>
          <w:lang w:val="en-US" w:eastAsia="zh-CN"/>
        </w:rPr>
      </w:pPr>
    </w:p>
    <w:p>
      <w:pPr>
        <w:pStyle w:val="2"/>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lang w:val="en-US" w:eastAsia="zh-CN"/>
        </w:rPr>
      </w:pPr>
    </w:p>
    <w:p>
      <w:pPr>
        <w:pStyle w:val="2"/>
        <w:ind w:right="0"/>
        <w:outlineLvl w:val="9"/>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bCs/>
          <w:color w:val="auto"/>
          <w:szCs w:val="28"/>
          <w:lang w:val="en-US" w:eastAsia="zh-CN"/>
        </w:rPr>
      </w:pPr>
    </w:p>
    <w:p>
      <w:pPr>
        <w:pStyle w:val="2"/>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bCs/>
          <w:color w:val="auto"/>
          <w:szCs w:val="28"/>
          <w:lang w:val="en-US" w:eastAsia="zh-CN"/>
        </w:rPr>
      </w:pPr>
    </w:p>
    <w:p>
      <w:pPr>
        <w:pStyle w:val="2"/>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bCs/>
          <w:color w:val="auto"/>
          <w:szCs w:val="28"/>
          <w:lang w:val="en-US" w:eastAsia="zh-CN"/>
        </w:rPr>
      </w:pPr>
    </w:p>
    <w:p>
      <w:pPr>
        <w:pStyle w:val="2"/>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bCs/>
          <w:color w:val="auto"/>
          <w:szCs w:val="28"/>
          <w:lang w:val="en-US" w:eastAsia="zh-CN"/>
        </w:rPr>
      </w:pPr>
    </w:p>
    <w:p>
      <w:pPr>
        <w:pStyle w:val="2"/>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bCs/>
          <w:color w:val="auto"/>
          <w:szCs w:val="28"/>
          <w:lang w:val="en-US" w:eastAsia="zh-CN"/>
        </w:rPr>
      </w:pPr>
    </w:p>
    <w:p>
      <w:pPr>
        <w:pStyle w:val="2"/>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bCs/>
          <w:color w:val="auto"/>
          <w:szCs w:val="28"/>
          <w:lang w:val="en-US" w:eastAsia="zh-CN"/>
        </w:rPr>
      </w:pPr>
    </w:p>
    <w:p>
      <w:pPr>
        <w:pStyle w:val="2"/>
        <w:rPr>
          <w:rFonts w:hint="default" w:ascii="Times New Roman" w:hAnsi="Times New Roman" w:eastAsia="宋体" w:cs="Times New Roman"/>
          <w:bCs/>
          <w:color w:val="auto"/>
          <w:szCs w:val="28"/>
          <w:lang w:val="en-US" w:eastAsia="zh-CN"/>
        </w:rPr>
      </w:pPr>
    </w:p>
    <w:p>
      <w:pPr>
        <w:rPr>
          <w:rFonts w:hint="default" w:ascii="Times New Roman" w:hAnsi="Times New Roman" w:eastAsia="宋体" w:cs="Times New Roman"/>
          <w:bCs/>
          <w:color w:val="auto"/>
          <w:szCs w:val="28"/>
          <w:lang w:val="en-US" w:eastAsia="zh-CN"/>
        </w:rPr>
      </w:pPr>
    </w:p>
    <w:p>
      <w:pPr>
        <w:pStyle w:val="2"/>
        <w:rPr>
          <w:rFonts w:hint="default" w:ascii="Times New Roman" w:hAnsi="Times New Roman" w:eastAsia="宋体" w:cs="Times New Roman"/>
          <w:bCs/>
          <w:color w:val="auto"/>
          <w:szCs w:val="28"/>
          <w:lang w:val="en-US" w:eastAsia="zh-CN"/>
        </w:rPr>
      </w:pPr>
    </w:p>
    <w:p>
      <w:pPr>
        <w:rPr>
          <w:rFonts w:hint="default"/>
          <w:lang w:val="en-US" w:eastAsia="zh-CN"/>
        </w:rPr>
      </w:pPr>
    </w:p>
    <w:p>
      <w:pPr>
        <w:pStyle w:val="2"/>
        <w:rPr>
          <w:rFonts w:hint="default" w:ascii="Times New Roman" w:hAnsi="Times New Roman" w:eastAsia="宋体" w:cs="Times New Roman"/>
          <w:lang w:val="en-US" w:eastAsia="zh-CN"/>
        </w:rPr>
      </w:pPr>
    </w:p>
    <w:p>
      <w:pPr>
        <w:pStyle w:val="2"/>
        <w:widowControl w:val="0"/>
        <w:wordWrap/>
        <w:adjustRightInd w:val="0"/>
        <w:snapToGrid w:val="0"/>
        <w:spacing w:before="157" w:beforeLines="50" w:after="157" w:afterLines="50" w:line="240" w:lineRule="auto"/>
        <w:ind w:left="0" w:leftChars="0" w:right="0" w:firstLine="0" w:firstLineChars="0"/>
        <w:jc w:val="center"/>
        <w:textAlignment w:val="auto"/>
        <w:outlineLvl w:val="9"/>
        <w:rPr>
          <w:rFonts w:hint="default" w:ascii="Times New Roman" w:hAnsi="Times New Roman" w:eastAsia="宋体" w:cs="Times New Roman"/>
          <w:b/>
          <w:bCs w:val="0"/>
          <w:color w:val="auto"/>
          <w:szCs w:val="28"/>
          <w:lang w:val="en-US" w:eastAsia="zh-CN"/>
        </w:rPr>
      </w:pPr>
      <w:r>
        <w:rPr>
          <w:rFonts w:hint="default" w:ascii="Times New Roman" w:hAnsi="Times New Roman" w:eastAsia="宋体" w:cs="Times New Roman"/>
          <w:b/>
          <w:bCs w:val="0"/>
          <w:color w:val="auto"/>
          <w:szCs w:val="28"/>
          <w:lang w:val="en-US" w:eastAsia="zh-CN"/>
        </w:rPr>
        <w:t>图2-3-1 工艺流程及产污节点图</w:t>
      </w: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工艺流程简述：</w:t>
      </w:r>
    </w:p>
    <w:p>
      <w:pPr>
        <w:pStyle w:val="2"/>
        <w:widowControl w:val="0"/>
        <w:numPr>
          <w:ilvl w:val="0"/>
          <w:numId w:val="2"/>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sz w:val="28"/>
          <w:szCs w:val="28"/>
          <w:lang w:val="en-US" w:eastAsia="zh-CN"/>
        </w:rPr>
        <w:t>风力（风能）</w:t>
      </w: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大气由于温差而具有的动能。</w:t>
      </w:r>
    </w:p>
    <w:p>
      <w:pPr>
        <w:pStyle w:val="2"/>
        <w:widowControl w:val="0"/>
        <w:numPr>
          <w:ilvl w:val="0"/>
          <w:numId w:val="2"/>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叶轮</w:t>
      </w:r>
    </w:p>
    <w:p>
      <w:pPr>
        <w:pStyle w:val="2"/>
        <w:widowControl w:val="0"/>
        <w:numPr>
          <w:numId w:val="0"/>
        </w:numPr>
        <w:wordWrap/>
        <w:spacing w:line="520" w:lineRule="exact"/>
        <w:ind w:left="0" w:leftChars="0" w:right="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sz w:val="28"/>
          <w:szCs w:val="28"/>
          <w:lang w:val="en-US" w:eastAsia="zh-CN"/>
        </w:rPr>
        <w:t>风吹动</w:t>
      </w:r>
      <w:r>
        <w:rPr>
          <w:rFonts w:hint="default" w:ascii="Times New Roman" w:hAnsi="Times New Roman" w:eastAsia="宋体" w:cs="Times New Roman"/>
          <w:color w:val="auto"/>
          <w:sz w:val="28"/>
          <w:szCs w:val="28"/>
          <w:lang w:val="en-US" w:eastAsia="zh-CN"/>
        </w:rPr>
        <w:t>叶轮，传送到传动系统</w:t>
      </w:r>
      <w:r>
        <w:rPr>
          <w:rFonts w:hint="default" w:ascii="Times New Roman" w:hAnsi="Times New Roman" w:eastAsia="宋体" w:cs="Times New Roman"/>
          <w:bCs/>
          <w:color w:val="auto"/>
          <w:sz w:val="28"/>
          <w:szCs w:val="28"/>
          <w:lang w:val="en-US" w:eastAsia="zh-CN"/>
        </w:rPr>
        <w:t>。</w:t>
      </w:r>
    </w:p>
    <w:p>
      <w:pPr>
        <w:pStyle w:val="2"/>
        <w:widowControl w:val="0"/>
        <w:numPr>
          <w:ilvl w:val="0"/>
          <w:numId w:val="2"/>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传动系统</w:t>
      </w:r>
    </w:p>
    <w:p>
      <w:pPr>
        <w:pStyle w:val="2"/>
        <w:widowControl w:val="0"/>
        <w:numPr>
          <w:numId w:val="0"/>
        </w:numPr>
        <w:wordWrap/>
        <w:spacing w:line="520" w:lineRule="exact"/>
        <w:ind w:left="0" w:leftChars="0" w:right="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与</w:t>
      </w:r>
      <w:r>
        <w:rPr>
          <w:rFonts w:hint="default" w:ascii="Times New Roman" w:hAnsi="Times New Roman" w:eastAsia="宋体" w:cs="Times New Roman"/>
          <w:color w:val="auto"/>
          <w:sz w:val="28"/>
          <w:szCs w:val="28"/>
          <w:lang w:val="en-US" w:eastAsia="zh-CN"/>
        </w:rPr>
        <w:t>发电机转子相连接，带动转子旋转。</w:t>
      </w:r>
    </w:p>
    <w:p>
      <w:pPr>
        <w:pStyle w:val="2"/>
        <w:widowControl w:val="0"/>
        <w:numPr>
          <w:ilvl w:val="0"/>
          <w:numId w:val="2"/>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发电机</w:t>
      </w: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通过物理过程将其他形式的能量转化为另一种形式的能量。</w:t>
      </w:r>
    </w:p>
    <w:p>
      <w:pPr>
        <w:pStyle w:val="2"/>
        <w:widowControl w:val="0"/>
        <w:numPr>
          <w:ilvl w:val="0"/>
          <w:numId w:val="2"/>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变压器</w:t>
      </w: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改变交流电压的装置。</w:t>
      </w:r>
    </w:p>
    <w:p>
      <w:pPr>
        <w:pStyle w:val="2"/>
        <w:widowControl w:val="0"/>
        <w:numPr>
          <w:ilvl w:val="0"/>
          <w:numId w:val="2"/>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电网</w:t>
      </w: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
          <w:bCs/>
          <w:color w:val="auto"/>
          <w:kern w:val="2"/>
          <w:sz w:val="28"/>
          <w:szCs w:val="28"/>
          <w:lang w:val="en-US" w:eastAsia="zh-CN"/>
        </w:rPr>
      </w:pPr>
      <w:r>
        <w:rPr>
          <w:rFonts w:hint="default" w:ascii="Times New Roman" w:hAnsi="Times New Roman" w:eastAsia="宋体" w:cs="Times New Roman"/>
          <w:color w:val="auto"/>
          <w:sz w:val="28"/>
          <w:szCs w:val="28"/>
          <w:lang w:val="en-US" w:eastAsia="zh-CN"/>
        </w:rPr>
        <w:t>输送线路。</w:t>
      </w:r>
    </w:p>
    <w:p>
      <w:pPr>
        <w:pStyle w:val="2"/>
        <w:widowControl w:val="0"/>
        <w:wordWrap/>
        <w:adjustRightInd w:val="0"/>
        <w:snapToGrid w:val="0"/>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kern w:val="2"/>
          <w:sz w:val="32"/>
          <w:szCs w:val="32"/>
        </w:rPr>
      </w:pPr>
      <w:bookmarkStart w:id="39" w:name="_Toc7723"/>
      <w:r>
        <w:rPr>
          <w:rFonts w:hint="default" w:ascii="Times New Roman" w:hAnsi="Times New Roman" w:eastAsia="宋体" w:cs="Times New Roman"/>
          <w:b/>
          <w:bCs/>
          <w:color w:val="auto"/>
          <w:kern w:val="2"/>
          <w:sz w:val="32"/>
          <w:szCs w:val="32"/>
          <w:lang w:val="en-US" w:eastAsia="zh-CN"/>
        </w:rPr>
        <w:t xml:space="preserve">2.4 </w:t>
      </w:r>
      <w:r>
        <w:rPr>
          <w:rFonts w:hint="default" w:ascii="Times New Roman" w:hAnsi="Times New Roman" w:eastAsia="宋体" w:cs="Times New Roman"/>
          <w:b/>
          <w:bCs/>
          <w:color w:val="auto"/>
          <w:kern w:val="2"/>
          <w:sz w:val="32"/>
          <w:szCs w:val="32"/>
        </w:rPr>
        <w:t>主要污染物及治理措施</w:t>
      </w:r>
      <w:bookmarkEnd w:id="39"/>
      <w:bookmarkStart w:id="40" w:name="_Toc162332055"/>
    </w:p>
    <w:bookmarkEnd w:id="40"/>
    <w:p>
      <w:pPr>
        <w:widowControl w:val="0"/>
        <w:wordWrap/>
        <w:adjustRightInd/>
        <w:snapToGrid/>
        <w:spacing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2.4.1 电磁环境影响及防治措施</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产生的电磁辐射主要为220kV升压站。升压站内高压设备的上层有互相交叉的带电导线，下层有各种形状的高压设备以及连接导线，电极形状复杂、数量较多，在其周围空间形成一个比较复杂的高压交流变工频电磁场，从而对周围区域产生静电感应。升压站电磁感应来源有变压器、高压断路器、隔离开关、电压互感器、电抗器、耦合电容器以及母线等；当升压站内绝缘子污秽或损坏个数过多，使分配到每个绝缘子的电位差过高，可产生绝缘子放电，从而产生无线电干扰。按照《电磁辐射环境保护管理办法》要求，为避免升压站及输电线路电磁辐射对周围环境的影响，升压站附近</w:t>
      </w:r>
      <w:r>
        <w:rPr>
          <w:rFonts w:hint="eastAsia" w:ascii="Times New Roman" w:hAnsi="Times New Roman" w:eastAsia="宋体" w:cs="Times New Roman"/>
          <w:color w:val="auto"/>
          <w:sz w:val="28"/>
          <w:szCs w:val="28"/>
          <w:lang w:val="en-US" w:eastAsia="zh-CN"/>
        </w:rPr>
        <w:t>设置大于</w:t>
      </w:r>
      <w:r>
        <w:rPr>
          <w:rFonts w:hint="default" w:ascii="Times New Roman" w:hAnsi="Times New Roman" w:eastAsia="宋体" w:cs="Times New Roman"/>
          <w:color w:val="auto"/>
          <w:sz w:val="28"/>
          <w:szCs w:val="28"/>
          <w:lang w:val="en-US" w:eastAsia="zh-CN"/>
        </w:rPr>
        <w:t>50m安全防护距离。</w:t>
      </w:r>
    </w:p>
    <w:p>
      <w:pPr>
        <w:widowControl w:val="0"/>
        <w:numPr>
          <w:ilvl w:val="0"/>
          <w:numId w:val="3"/>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严格按照设计规范的要求，进行设备招标和施工</w:t>
      </w:r>
      <w:r>
        <w:rPr>
          <w:rFonts w:hint="eastAsia" w:ascii="Times New Roman" w:hAnsi="Times New Roman" w:eastAsia="宋体" w:cs="Times New Roman"/>
          <w:color w:val="auto"/>
          <w:sz w:val="28"/>
          <w:szCs w:val="28"/>
          <w:lang w:val="en-US" w:eastAsia="zh-CN"/>
        </w:rPr>
        <w:t>；</w:t>
      </w:r>
    </w:p>
    <w:p>
      <w:pPr>
        <w:widowControl w:val="0"/>
        <w:numPr>
          <w:ilvl w:val="0"/>
          <w:numId w:val="3"/>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保证变电站内高压构架的架设高度，在不影响变电设施安全运行的前提下，通过增大高压构架与地面的距离，降低地面感应电磁强度</w:t>
      </w:r>
      <w:r>
        <w:rPr>
          <w:rFonts w:hint="eastAsia" w:ascii="Times New Roman" w:hAnsi="Times New Roman" w:eastAsia="宋体" w:cs="Times New Roman"/>
          <w:color w:val="auto"/>
          <w:sz w:val="28"/>
          <w:szCs w:val="28"/>
          <w:lang w:val="en-US" w:eastAsia="zh-CN"/>
        </w:rPr>
        <w:t>；</w:t>
      </w:r>
    </w:p>
    <w:p>
      <w:pPr>
        <w:widowControl w:val="0"/>
        <w:numPr>
          <w:ilvl w:val="0"/>
          <w:numId w:val="3"/>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变电站的母线设计中，在技术条件和经济条件允许的情况下减小母线的相间距、加长母线与外界之间的距离，可以迅速地衰减其产生的工频电磁场</w:t>
      </w:r>
      <w:r>
        <w:rPr>
          <w:rFonts w:hint="eastAsia" w:ascii="Times New Roman" w:hAnsi="Times New Roman" w:eastAsia="宋体" w:cs="Times New Roman"/>
          <w:color w:val="auto"/>
          <w:sz w:val="28"/>
          <w:szCs w:val="28"/>
          <w:lang w:val="en-US" w:eastAsia="zh-CN"/>
        </w:rPr>
        <w:t>；</w:t>
      </w:r>
    </w:p>
    <w:p>
      <w:pPr>
        <w:widowControl w:val="0"/>
        <w:numPr>
          <w:ilvl w:val="0"/>
          <w:numId w:val="3"/>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使用设计合理的绝缘子，保持绝缘子表面的光洁度，减少因金具接触不良引起火花放电产生的高频电场</w:t>
      </w:r>
      <w:r>
        <w:rPr>
          <w:rFonts w:hint="eastAsia" w:ascii="Times New Roman" w:hAnsi="Times New Roman" w:eastAsia="宋体" w:cs="Times New Roman"/>
          <w:color w:val="auto"/>
          <w:sz w:val="28"/>
          <w:szCs w:val="28"/>
          <w:lang w:val="en-US" w:eastAsia="zh-CN"/>
        </w:rPr>
        <w:t>；</w:t>
      </w:r>
    </w:p>
    <w:p>
      <w:pPr>
        <w:widowControl w:val="0"/>
        <w:numPr>
          <w:ilvl w:val="0"/>
          <w:numId w:val="3"/>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制定安全操作规程，加强职工电磁辐射安全教育，加强电磁水平监测</w:t>
      </w:r>
      <w:r>
        <w:rPr>
          <w:rFonts w:hint="eastAsia" w:ascii="Times New Roman" w:hAnsi="Times New Roman" w:eastAsia="宋体" w:cs="Times New Roman"/>
          <w:color w:val="auto"/>
          <w:sz w:val="28"/>
          <w:szCs w:val="28"/>
          <w:lang w:val="en-US" w:eastAsia="zh-CN"/>
        </w:rPr>
        <w:t>；</w:t>
      </w:r>
    </w:p>
    <w:p>
      <w:pPr>
        <w:widowControl w:val="0"/>
        <w:numPr>
          <w:ilvl w:val="0"/>
          <w:numId w:val="3"/>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设立警示标志，禁止无关人员进入变电站或靠近带电架构。</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2.4.2 生态环境影响及防治措施</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所在区域为天然牧草地，该区域附近无沼泽湖泊等鸟类栖息地的存在，不是候鸟迁徙通道，不会对候鸟迁徙产生影响。风电场对鸟类的影响主要是风机转动及转动时产生的噪声影响。鸟类在正常飞行时，飞行高度较高，如不下降捕食，不会受到风机的危胁。在风机的叶轮上安装有警示颜色的标识，提醒鸟类避让风机。</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风机运行和检修车辆产生的噪声、振动、以及人员活动会对工程区野生动物造成回避，对在其影响范围内营巢的啮齿动物、两栖及爬行动物的交配、繁殖及觅食、育幼等日常活动造成干扰。升压站及监控中心生活照明则可能对一些夜行性食肉动物造成影响。此外，由于可能存在部分工人缺乏野生动物保护意识，哄赶、捕捉、伤害野生动物，或处于好奇追赶和接近动物，对其造成心理和身体上的损害。由于区域野生动物数量较小，本工程的建设对动物的影响较小。</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根据当地用地文件，风电场道路占地类型为国有天然牧草地，本工程运行后，将占地39.12hm，并导致一定程度的水土流失。被破坏或影响的植物均为广布种和常见种，且分布也较均匀。因此，工程占地会使原有植被遭到局部损失，不会使评价区植物群落的种类组成发生变化，也不会造成某一植物种的消失。</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通过现场踏勘，项目区临时占地已进行平整和恢复，减少了水土流失；监控中心和升压站已进行了地面硬化。</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2.4.3 大气环境影响及防治措施</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本工程为清洁能源发电项目，无工艺废气产生；管理区采用电热设施取暖，不设置锅炉等热源，不会对周围大气环境产生影响。</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本项目区内不设生活区，生活设施依托已建成的110kV升压站。项目区不产生饮食油烟。</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2.4.4 水环境影响及防治措施</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本项目</w:t>
      </w:r>
      <w:r>
        <w:rPr>
          <w:rFonts w:hint="eastAsia" w:ascii="Times New Roman" w:hAnsi="Times New Roman" w:eastAsia="宋体" w:cs="Times New Roman"/>
          <w:color w:val="auto"/>
          <w:sz w:val="28"/>
          <w:szCs w:val="28"/>
          <w:lang w:val="en-US" w:eastAsia="zh-CN"/>
        </w:rPr>
        <w:t>不产生生产废水，项目区内不设生活区，生活设施依托已建成的110kV升压站。</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2.4.5 噪声环境影响及防治措施</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噪声较单一，主要为风力机运行时叶片转动、风力机机舱内传动系统及升压站</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主变风扇</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发出的噪声和设备区的电磁噪声, 该噪音属低频噪音。另外，还有少量车辆及人为活动产生的噪音。升压站产生的噪声不超过65dB(A)。为减轻噪声对声环境的影响，本项目采取了如下降噪措施：</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（1）选用低噪声设备</w:t>
      </w:r>
      <w:r>
        <w:rPr>
          <w:rFonts w:hint="eastAsia" w:ascii="Times New Roman" w:hAnsi="Times New Roman" w:eastAsia="宋体" w:cs="Times New Roman"/>
          <w:color w:val="auto"/>
          <w:sz w:val="28"/>
          <w:szCs w:val="28"/>
          <w:lang w:val="en-US" w:eastAsia="zh-CN"/>
        </w:rPr>
        <w:t>；</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（2）定期检修设备，减少因零部件磨损产生的噪声，保持机械良好的运行状态；</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（3）合理设置和管理强噪声设备（变压器等）</w:t>
      </w:r>
      <w:r>
        <w:rPr>
          <w:rFonts w:hint="eastAsia" w:ascii="Times New Roman" w:hAnsi="Times New Roman" w:eastAsia="宋体" w:cs="Times New Roman"/>
          <w:color w:val="auto"/>
          <w:sz w:val="28"/>
          <w:szCs w:val="28"/>
          <w:lang w:val="en-US" w:eastAsia="zh-CN"/>
        </w:rPr>
        <w:t>；</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（4）运输车辆按照规定的时间和路线行驶。</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kern w:val="2"/>
          <w:sz w:val="30"/>
          <w:szCs w:val="30"/>
          <w:lang w:val="en-US" w:eastAsia="zh-CN" w:bidi="ar-SA"/>
        </w:rPr>
      </w:pPr>
      <w:r>
        <w:rPr>
          <w:rFonts w:hint="default" w:ascii="Times New Roman" w:hAnsi="Times New Roman" w:eastAsia="宋体" w:cs="Times New Roman"/>
          <w:b/>
          <w:bCs/>
          <w:color w:val="auto"/>
          <w:kern w:val="2"/>
          <w:sz w:val="30"/>
          <w:szCs w:val="30"/>
          <w:lang w:val="en-US" w:eastAsia="zh-CN" w:bidi="ar-SA"/>
        </w:rPr>
        <w:t>2.4.6 固体废物</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bookmarkStart w:id="41" w:name="_Toc162332059"/>
      <w:bookmarkStart w:id="42" w:name="_Toc263845866"/>
      <w:r>
        <w:rPr>
          <w:rFonts w:hint="default" w:ascii="Times New Roman" w:hAnsi="Times New Roman" w:eastAsia="宋体" w:cs="Times New Roman"/>
          <w:color w:val="auto"/>
          <w:sz w:val="28"/>
          <w:szCs w:val="28"/>
          <w:lang w:val="en-US" w:eastAsia="zh-CN"/>
        </w:rPr>
        <w:t>本项目运营时有工作人员</w:t>
      </w:r>
      <w:r>
        <w:rPr>
          <w:rFonts w:hint="eastAsia" w:ascii="Times New Roman" w:hAnsi="Times New Roman" w:eastAsia="宋体" w:cs="Times New Roman"/>
          <w:color w:val="auto"/>
          <w:sz w:val="28"/>
          <w:szCs w:val="28"/>
          <w:lang w:val="en-US" w:eastAsia="zh-CN"/>
        </w:rPr>
        <w:t>15</w:t>
      </w:r>
      <w:r>
        <w:rPr>
          <w:rFonts w:hint="default" w:ascii="Times New Roman" w:hAnsi="Times New Roman" w:eastAsia="宋体" w:cs="Times New Roman"/>
          <w:color w:val="auto"/>
          <w:sz w:val="28"/>
          <w:szCs w:val="28"/>
          <w:lang w:val="en-US" w:eastAsia="zh-CN"/>
        </w:rPr>
        <w:t>人，</w:t>
      </w:r>
      <w:r>
        <w:rPr>
          <w:rFonts w:hint="eastAsia" w:ascii="Times New Roman" w:hAnsi="Times New Roman" w:eastAsia="宋体" w:cs="Times New Roman"/>
          <w:color w:val="auto"/>
          <w:sz w:val="28"/>
          <w:szCs w:val="28"/>
          <w:lang w:val="en-US" w:eastAsia="zh-CN"/>
        </w:rPr>
        <w:t>项目区内不设生活区，生活设施依托已建成的110kV升压站。产生的生活垃圾集中收集后定期清运至三塘湖生活垃圾填埋场。</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本工程风力发电机设备为直驱型风力发电机组</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无齿轮箱</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，零部件数量相对传统风力发电机组少设计结构简单，变流设备、电控设备等易损件均设在筒底部，风电机组在运行过程中产生的废油很少，若发现机组漏油，用纱布清理，纱布回收。</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升压站在正常运行状态下，无变压器油外排；在变压器或电抗器出现故障或检修时会有少量含油废水产生，变压器一般情况下 2～3 年检修一次，变压器在进行检修时，变压器油由专用工具收集，存放在事先准备好的容器内，在检修工作完毕后，再将变压器油放回变压器内，无变压器油外排；在事故状态下，会有部分变压器油外泄，进入事故集油池内，油水分离后危险废物由有资质的危废部门处理。</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经调查，验收期间未产生设备维修的废油、事故废油，在今后运行过程中，若有废油产生，产生的废油须</w:t>
      </w:r>
      <w:r>
        <w:rPr>
          <w:rFonts w:hint="default" w:ascii="Times New Roman" w:hAnsi="Times New Roman" w:eastAsia="宋体" w:cs="Times New Roman"/>
          <w:color w:val="auto"/>
          <w:sz w:val="28"/>
          <w:szCs w:val="28"/>
          <w:lang w:val="en-US" w:eastAsia="zh-CN"/>
        </w:rPr>
        <w:t>交由有资质的危废</w:t>
      </w:r>
      <w:r>
        <w:rPr>
          <w:rFonts w:hint="eastAsia" w:ascii="Times New Roman" w:hAnsi="Times New Roman" w:eastAsia="宋体" w:cs="Times New Roman"/>
          <w:color w:val="auto"/>
          <w:sz w:val="28"/>
          <w:szCs w:val="28"/>
          <w:lang w:val="en-US" w:eastAsia="zh-CN"/>
        </w:rPr>
        <w:t>处置</w:t>
      </w:r>
      <w:r>
        <w:rPr>
          <w:rFonts w:hint="default" w:ascii="Times New Roman" w:hAnsi="Times New Roman" w:eastAsia="宋体" w:cs="Times New Roman"/>
          <w:color w:val="auto"/>
          <w:sz w:val="28"/>
          <w:szCs w:val="28"/>
          <w:lang w:val="en-US" w:eastAsia="zh-CN"/>
        </w:rPr>
        <w:t>部门处理。</w:t>
      </w:r>
    </w:p>
    <w:p>
      <w:pPr>
        <w:pStyle w:val="2"/>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eastAsia="zh-CN"/>
        </w:rPr>
      </w:pP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p>
    <w:p>
      <w:pPr>
        <w:pStyle w:val="2"/>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p>
    <w:p>
      <w:pPr>
        <w:pStyle w:val="2"/>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pStyle w:val="2"/>
        <w:rPr>
          <w:rFonts w:hint="default"/>
        </w:rPr>
      </w:pP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sz w:val="28"/>
          <w:szCs w:val="28"/>
        </w:rPr>
      </w:pPr>
    </w:p>
    <w:p>
      <w:pPr>
        <w:widowControl w:val="0"/>
        <w:wordWrap/>
        <w:adjustRightInd/>
        <w:snapToGrid/>
        <w:spacing w:before="313" w:beforeLines="100" w:after="313" w:afterLines="100" w:line="510" w:lineRule="exact"/>
        <w:ind w:left="0" w:leftChars="0" w:right="0" w:firstLine="0" w:firstLineChars="0"/>
        <w:jc w:val="center"/>
        <w:textAlignment w:val="auto"/>
        <w:outlineLvl w:val="0"/>
        <w:rPr>
          <w:rFonts w:hint="eastAsia" w:ascii="黑体" w:hAnsi="黑体" w:eastAsia="黑体" w:cs="黑体"/>
          <w:color w:val="auto"/>
          <w:sz w:val="36"/>
          <w:szCs w:val="36"/>
        </w:rPr>
      </w:pPr>
      <w:bookmarkStart w:id="43" w:name="_Toc24319"/>
      <w:r>
        <w:rPr>
          <w:rFonts w:hint="eastAsia" w:ascii="黑体" w:hAnsi="黑体" w:eastAsia="黑体" w:cs="黑体"/>
          <w:color w:val="auto"/>
          <w:sz w:val="36"/>
          <w:szCs w:val="36"/>
        </w:rPr>
        <w:t>第三章  环境影响报告书结论及批复</w:t>
      </w:r>
      <w:bookmarkEnd w:id="41"/>
      <w:bookmarkEnd w:id="42"/>
      <w:bookmarkEnd w:id="43"/>
    </w:p>
    <w:p>
      <w:pPr>
        <w:widowControl w:val="0"/>
        <w:wordWrap/>
        <w:adjustRightInd/>
        <w:snapToGrid/>
        <w:spacing w:before="157" w:beforeLines="50" w:after="157" w:afterLines="50" w:line="51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44" w:name="_Toc263845867"/>
      <w:bookmarkStart w:id="45" w:name="_Toc162332060"/>
      <w:bookmarkStart w:id="46" w:name="_Toc20472"/>
      <w:r>
        <w:rPr>
          <w:rFonts w:hint="default" w:ascii="Times New Roman" w:hAnsi="Times New Roman" w:eastAsia="宋体" w:cs="Times New Roman"/>
          <w:b/>
          <w:bCs/>
          <w:color w:val="auto"/>
          <w:sz w:val="32"/>
          <w:szCs w:val="32"/>
        </w:rPr>
        <w:t>3.1 环境影响报告书主要结论</w:t>
      </w:r>
      <w:bookmarkEnd w:id="44"/>
      <w:bookmarkEnd w:id="45"/>
      <w:bookmarkEnd w:id="46"/>
    </w:p>
    <w:p>
      <w:pPr>
        <w:widowControl w:val="0"/>
        <w:wordWrap/>
        <w:adjustRightInd/>
        <w:snapToGrid/>
        <w:spacing w:after="157" w:afterLines="50" w:line="51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 xml:space="preserve">3.1.1 </w:t>
      </w:r>
      <w:r>
        <w:rPr>
          <w:rFonts w:hint="default" w:ascii="Times New Roman" w:hAnsi="Times New Roman" w:eastAsia="宋体" w:cs="Times New Roman"/>
          <w:b/>
          <w:sz w:val="30"/>
          <w:szCs w:val="30"/>
        </w:rPr>
        <w:t>工程概况及内容</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本工程建设主要由134台单机容量1500kW的WTG1/1500型风力发电机组、134台箱式变电站、35kV集电线路</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电缆及架空线路</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、一座共用220kV升压站、一座监控中心、公用道路及场内道路组成，装机规模为200MW。施工总工期为15个月，年上网电量为48775.8万kW</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h，年利用小时数为2427h。本工程主要建设内容：土建工程、机电设备和安装工程。其中机电设备及安装工程包括：风力发电机组、箱式变压器、升压站、集电线路、监控中心。土建工程主要为设备基础、电缆、接地的敷设及场内外交通工程等。</w:t>
      </w:r>
    </w:p>
    <w:p>
      <w:pPr>
        <w:widowControl w:val="0"/>
        <w:wordWrap/>
        <w:adjustRightInd/>
        <w:snapToGrid/>
        <w:spacing w:before="157" w:beforeLines="50" w:after="157" w:afterLines="50" w:line="51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3.1.2 工程概况及内容</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本工程安装134台1500kW的风机发电机组，机组出口电压为0.69kV，经附近的箱变升压至35kV后通过场内架空线路接至升压站，风机与箱变采用“一机一变”单元接线方式。该升压站以1回220kV线路送出至就近汇集站</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不在本次评价范围内</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，再集中升压后接入哈密南±800kV换流站，通过哈密南～郑州±800kV高压输电工程送出。</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的环境影响主要集中在工程施工期，主要表现在设备运输、安装过程中动用大量机械设备修建运输道路、风机和箱变基础、架空线路、升压站、监控中心，土建施工阶段开挖土石方、场地平整、混凝土搅拌过程等产生的扬尘、噪声、废水、垃圾、弃土等对区域环境的影响，尤其是施工临时占地，地表土壤扰动、植被破坏，将对区域生态环境造成不良影响，加重当地的水土流失。风电场建成投运后，污染物排放种类单一，且排放量少，主要为风电场升压站和监控中心工作人员日常生活中排放的生活污水、生活垃圾和一般固体废物及风机在发电过程中产生的噪声和升压站产生的电磁环境影响。</w:t>
      </w:r>
    </w:p>
    <w:p>
      <w:pPr>
        <w:widowControl w:val="0"/>
        <w:wordWrap/>
        <w:adjustRightInd/>
        <w:snapToGrid/>
        <w:spacing w:before="157" w:beforeLines="50" w:after="157" w:afterLines="50" w:line="51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3.1.3 工程概况及内容</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监测期工程所在区域环境空气中 SO</w:t>
      </w:r>
      <w:r>
        <w:rPr>
          <w:rFonts w:hint="default" w:ascii="Times New Roman" w:hAnsi="Times New Roman" w:eastAsia="宋体" w:cs="Times New Roman"/>
          <w:color w:val="auto"/>
          <w:sz w:val="28"/>
          <w:szCs w:val="28"/>
          <w:vertAlign w:val="subscript"/>
          <w:lang w:val="en-US" w:eastAsia="zh-CN"/>
        </w:rPr>
        <w:t>2</w:t>
      </w:r>
      <w:r>
        <w:rPr>
          <w:rFonts w:hint="default" w:ascii="Times New Roman" w:hAnsi="Times New Roman" w:eastAsia="宋体" w:cs="Times New Roman"/>
          <w:color w:val="auto"/>
          <w:sz w:val="28"/>
          <w:szCs w:val="28"/>
          <w:lang w:val="en-US" w:eastAsia="zh-CN"/>
        </w:rPr>
        <w:t>和NO</w:t>
      </w:r>
      <w:r>
        <w:rPr>
          <w:rFonts w:hint="default" w:ascii="Times New Roman" w:hAnsi="Times New Roman" w:eastAsia="宋体" w:cs="Times New Roman"/>
          <w:color w:val="auto"/>
          <w:sz w:val="28"/>
          <w:szCs w:val="28"/>
          <w:vertAlign w:val="subscript"/>
          <w:lang w:val="en-US" w:eastAsia="zh-CN"/>
        </w:rPr>
        <w:t>2</w:t>
      </w:r>
      <w:r>
        <w:rPr>
          <w:rFonts w:hint="default" w:ascii="Times New Roman" w:hAnsi="Times New Roman" w:eastAsia="宋体" w:cs="Times New Roman"/>
          <w:color w:val="auto"/>
          <w:sz w:val="28"/>
          <w:szCs w:val="28"/>
          <w:lang w:val="en-US" w:eastAsia="zh-CN"/>
        </w:rPr>
        <w:t>的日均浓度均较低，部分未检出；PM</w:t>
      </w:r>
      <w:r>
        <w:rPr>
          <w:rFonts w:hint="default" w:ascii="Times New Roman" w:hAnsi="Times New Roman" w:eastAsia="宋体" w:cs="Times New Roman"/>
          <w:color w:val="auto"/>
          <w:sz w:val="28"/>
          <w:szCs w:val="28"/>
          <w:vertAlign w:val="subscript"/>
          <w:lang w:val="en-US" w:eastAsia="zh-CN"/>
        </w:rPr>
        <w:t>10</w:t>
      </w:r>
      <w:r>
        <w:rPr>
          <w:rFonts w:hint="default" w:ascii="Times New Roman" w:hAnsi="Times New Roman" w:eastAsia="宋体" w:cs="Times New Roman"/>
          <w:color w:val="auto"/>
          <w:sz w:val="28"/>
          <w:szCs w:val="28"/>
          <w:lang w:val="en-US" w:eastAsia="zh-CN"/>
        </w:rPr>
        <w:t>最大日均浓度为0.140mg/m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，占二级标准限值</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0.15mg/m</w:t>
      </w:r>
      <w:r>
        <w:rPr>
          <w:rFonts w:hint="default" w:ascii="Times New Roman" w:hAnsi="Times New Roman" w:eastAsia="宋体" w:cs="Times New Roman"/>
          <w:color w:val="auto"/>
          <w:sz w:val="28"/>
          <w:szCs w:val="28"/>
          <w:vertAlign w:val="superscript"/>
          <w:lang w:val="en-US" w:eastAsia="zh-CN"/>
        </w:rPr>
        <w:t>3</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的93.33%，均满足《环境空气质量标准》</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GB3095-1996</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及其修改单中的二级标准。PM</w:t>
      </w:r>
      <w:r>
        <w:rPr>
          <w:rFonts w:hint="default" w:ascii="Times New Roman" w:hAnsi="Times New Roman" w:eastAsia="宋体" w:cs="Times New Roman"/>
          <w:color w:val="auto"/>
          <w:sz w:val="28"/>
          <w:szCs w:val="28"/>
          <w:vertAlign w:val="subscript"/>
          <w:lang w:val="en-US" w:eastAsia="zh-CN"/>
        </w:rPr>
        <w:t>10</w:t>
      </w:r>
      <w:r>
        <w:rPr>
          <w:rFonts w:hint="default" w:ascii="Times New Roman" w:hAnsi="Times New Roman" w:eastAsia="宋体" w:cs="Times New Roman"/>
          <w:color w:val="auto"/>
          <w:sz w:val="28"/>
          <w:szCs w:val="28"/>
          <w:lang w:val="en-US" w:eastAsia="zh-CN"/>
        </w:rPr>
        <w:t>浓度较高，主要是区域气候干燥、少雨、多扬尘天气所致。</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本工程场址附近评价范围内无地表河流，根据本工程地勘调查资料显示，初次勘探未揭露地下水，场址区属贫水区，地下水埋深大于 50m。场址周围无大型工业企业及人为活动，场区地下水属于自然状态。</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本工程厂界四周声环境监测点位昼、夜连续等效声级均没有超过声环境质量标准》</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GB3096-2008</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中3类区标准限值。工程所在场区声环境质量较好。工程区无耕地、无农田，属于未利用地，土壤基本未受人为活动污染，基本保持原始状态的地貌。</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本工程所在区域目前尚无变电站，周围5km范围内未见已运行的高压输变电工程、广播电视发射塔、无通信发射塔，电磁辐射强度属正常环境本底水平。</w:t>
      </w:r>
    </w:p>
    <w:p>
      <w:pPr>
        <w:widowControl w:val="0"/>
        <w:wordWrap/>
        <w:adjustRightInd/>
        <w:snapToGrid/>
        <w:spacing w:before="157" w:beforeLines="50" w:after="157" w:afterLines="50" w:line="510" w:lineRule="exact"/>
        <w:ind w:left="0" w:leftChars="0" w:right="0" w:firstLine="602" w:firstLineChars="200"/>
        <w:jc w:val="both"/>
        <w:textAlignment w:val="auto"/>
        <w:outlineLvl w:val="2"/>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b/>
          <w:bCs/>
          <w:color w:val="auto"/>
          <w:sz w:val="30"/>
          <w:szCs w:val="30"/>
          <w:lang w:val="en-US" w:eastAsia="zh-CN"/>
        </w:rPr>
        <w:t>3.1.4 环境影响分析结论</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val="en-US" w:eastAsia="zh-CN"/>
        </w:rPr>
        <w:t>施工期环境影响分析</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① 严格控制施工作业宽度，减少施工破坏面；施工期施工材料和及生活固体废物及时收集堆放，及时清理；多余的弃土石方就地平整，减少施工扬尘的产生，降低对环境产生的不利影响。</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② 施工期设简易旱厕，旱厕池底应采用混凝土防渗，防止污水下渗影响地下水。施工期生活污水排入提前建设的的集水池(前设隔油池)中，经处理后用于风电场周围道路浇洒和降尘用水。影响随着施工期结束而消失，不会对区域地下水产生明显影响。</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③ 由于风电场场址区域人烟烯少，施工、安装中产生的噪声，对场址所在区域不会产生不良影响</w:t>
      </w:r>
      <w:r>
        <w:rPr>
          <w:rFonts w:hint="eastAsia" w:ascii="Times New Roman" w:hAnsi="Times New Roman" w:eastAsia="宋体" w:cs="Times New Roman"/>
          <w:color w:val="auto"/>
          <w:sz w:val="28"/>
          <w:szCs w:val="28"/>
          <w:lang w:val="en-US" w:eastAsia="zh-CN"/>
        </w:rPr>
        <w:t>。</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④ 对施工场地设围挡设施</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如挡板</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、对施工区和施工生活区定期洒水降尘，避免大风下施工作业。</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lang w:val="en-US" w:eastAsia="zh-CN"/>
        </w:rPr>
        <w:t>施工期环境影响分析</w:t>
      </w:r>
    </w:p>
    <w:p>
      <w:pPr>
        <w:widowControl w:val="0"/>
        <w:wordWrap/>
        <w:adjustRightInd/>
        <w:snapToGrid/>
        <w:spacing w:line="510" w:lineRule="exact"/>
        <w:ind w:left="0" w:leftChars="0" w:right="0" w:firstLine="560" w:firstLineChars="200"/>
        <w:jc w:val="both"/>
        <w:textAlignment w:val="auto"/>
        <w:outlineLvl w:val="9"/>
        <w:rPr>
          <w:rFonts w:hint="eastAsia"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① 项目投产后，职工日常生活燃料采用洁净能源</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液化气或电</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，在产生油烟的地方设置油烟净化装置，处理后排入大气；冬季使用电采暖，不会对区域环境空气质量产生影响</w:t>
      </w:r>
      <w:r>
        <w:rPr>
          <w:rFonts w:hint="eastAsia" w:ascii="Times New Roman" w:hAnsi="Times New Roman" w:eastAsia="宋体" w:cs="Times New Roman"/>
          <w:color w:val="auto"/>
          <w:sz w:val="28"/>
          <w:szCs w:val="28"/>
          <w:lang w:val="en-US" w:eastAsia="zh-CN"/>
        </w:rPr>
        <w:t>。</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② 生活污水产生量为 350.4m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/a，生活污水经场内地埋式生活污水一体化处理设施处理后达到《污水综合排放标准》</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GB8978-2008</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中二级标准后夏季在监控中心道路浇洒、降尘，冬季污水经处理后贮存在100m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的集水池，翌年用于场区道路浇洒、降尘，不会对风电场区域地下水环境产生影响。</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③ 由于运行设备采用低噪音风机，风机运行时100m外基本属自然噪声</w:t>
      </w:r>
      <w:r>
        <w:rPr>
          <w:rFonts w:hint="eastAsia" w:ascii="Times New Roman" w:hAnsi="Times New Roman" w:eastAsia="宋体" w:cs="Times New Roman"/>
          <w:color w:val="auto"/>
          <w:sz w:val="28"/>
          <w:szCs w:val="28"/>
          <w:lang w:val="en-US" w:eastAsia="zh-CN"/>
        </w:rPr>
        <w:t>。</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④ 场区职工产生生活垃圾约3.29t/a，集中收集后定期随车拉至巴里坤县生活垃圾收集系统统一处理。主变发生事故时，检修产生的废油直接排入事故油池，由有资质单位回收处理。</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⑤ 本工程所在区域为天然牧草地，该区域附近无沼泽湖泊等鸟类栖息地的存在，不是候鸟迁徙通道，工程投运后不会对候鸟迁徙产生影响，场区附近偶有鼠、蜥蜴等小型动物出现。风电场对鸟类的影响主要是风机转动及转动时产生的噪声影响。鸟类在正常飞行时，飞行高度较高，如不下降捕食，不会受到风机的危胁，发生鸟类撞风机致死现象的可能性很小。因此，本工程的建设对动物的影响较小。本工程永久占地面积为39.12hm</w:t>
      </w:r>
      <w:r>
        <w:rPr>
          <w:rFonts w:hint="default" w:ascii="Times New Roman" w:hAnsi="Times New Roman" w:eastAsia="宋体" w:cs="Times New Roman"/>
          <w:color w:val="auto"/>
          <w:sz w:val="28"/>
          <w:szCs w:val="28"/>
          <w:vertAlign w:val="superscript"/>
          <w:lang w:val="en-US" w:eastAsia="zh-CN"/>
        </w:rPr>
        <w:t>2</w:t>
      </w:r>
      <w:r>
        <w:rPr>
          <w:rFonts w:hint="default" w:ascii="Times New Roman" w:hAnsi="Times New Roman" w:eastAsia="宋体" w:cs="Times New Roman"/>
          <w:color w:val="auto"/>
          <w:sz w:val="28"/>
          <w:szCs w:val="28"/>
          <w:lang w:val="en-US" w:eastAsia="zh-CN"/>
        </w:rPr>
        <w:t>，临时占地面积47.3hm</w:t>
      </w:r>
      <w:r>
        <w:rPr>
          <w:rFonts w:hint="default" w:ascii="Times New Roman" w:hAnsi="Times New Roman" w:eastAsia="宋体" w:cs="Times New Roman"/>
          <w:color w:val="auto"/>
          <w:sz w:val="28"/>
          <w:szCs w:val="28"/>
          <w:vertAlign w:val="superscript"/>
          <w:lang w:val="en-US" w:eastAsia="zh-CN"/>
        </w:rPr>
        <w:t>2</w:t>
      </w:r>
      <w:r>
        <w:rPr>
          <w:rFonts w:hint="default" w:ascii="Times New Roman" w:hAnsi="Times New Roman" w:eastAsia="宋体" w:cs="Times New Roman"/>
          <w:color w:val="auto"/>
          <w:sz w:val="28"/>
          <w:szCs w:val="28"/>
          <w:lang w:val="en-US" w:eastAsia="zh-CN"/>
        </w:rPr>
        <w:t>。由于拟建场区现有植被就十分稀疏，生物量较小，均为耐旱、耐恶劣环境的杂草类，且长势较差。因此，本工程建成后造成区域植被的生物损失量较小，不会改变所在区域植被分布，在采取必要的生态恢复和水土保持方案后，对区域生态环境质量和水土流失不会造成明显的不利影响。</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施工期环境影响分析</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施工期工地用油主要是机械用柴油、汽油和各种特种油，柴油采用2个10t油罐储备，汽油采用1个5t油罐储备，特种油采用油桶储备。施工期油库应布置在远离工程施工现场及人员日常活动区域，设置安全防护距离及防火间距，制定油库管理制度，妥善储存保管油品，加强日常检查，严格用火管理，制定应急预案并组织施工人员学习和实施演练，确保在工程施工期间不发生油品泄漏及火灾等环境风险事故。</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升压站的主变设有事故油池，变压器设备在正常运行情况下不会产生漏油；一般只有事故情况下(主要为主变发生故障时) 检修时才会产生废油，由有资质单位回收处理。</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施工期环境影响分析</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本工程总投资约149030.3万元，环保投资约194万元，环保投资占工程总投资的0.13%。</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公众参与结论</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公众参与调查采取多种形式，使工程所在区域相关部门、公众能够充分了解本工程建设对环境及个人的影响情况，并通过发放公众参与调查表的方式收取了相关部门及周围受影响人群及单位意见，避免在项目实施过程中对公众利益构成危害或威胁。本次调查范围较广，包括当地政府工作人员、受影响的居民、农民及各类从业者，涉及到不同区域、年龄、职业、民族，具有广泛的代表性，调查人员覆盖全面，调查结果真实可靠。结果表明，社会各界公众大多支持本工程的建设，认为工程的建设将会给当地带来有益影响。公众高度重视本工程建设及投运后产生的问题。在此项工作中，公众就本工程可能产生的环境问题提出了宝贵的意见和建议，要求本工程环境影响评价提出切实有效的污染防治措施，严格落实“三同时”制度，确保当地环境质量，做到环境与经济持续协调发展。</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lang w:val="en-US" w:eastAsia="zh-CN"/>
        </w:rPr>
        <w:t>选址合理及规划符合性分析</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位于新疆具有开发价值的九大风区之一的三塘湖～淖毛湖风区，属于《新疆哈密地区千万千瓦级风电基地二期项目开发建设方案》新增风电项目总装机规模6000MW中三塘湖风区开发建设项目之一。风电场的建设符合新疆“十二·五”电网规划，符合国家能源政策及“西部大开发”的战略要求，符合《新疆维吾尔自治区2020年风电发展规划》，符合《新疆哈密地区千万千瓦级风电基地二期项目开发建设方案》，也符合可再生能源发展规划和能源产业发展方向，这不仅是当地经济可持续发展、人民的物质文化生活水平提高的需要，也是新疆电力工业发展的需要。本工程建成投运后，可提高风力发电在能源结构中的比重，改善地方电网电源结构，促进地区经济可持续发展。因此，本工程的建设是必要的。</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本工程不属于国家发展和改革委员会发布的《产业结构调整指导目录</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2011 年本</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修正</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中的鼓励类、限制类和淘汰类，但是符合国家有关法律、法规和政策的规定，为允许类项目；拟建场址区风能密度、有效风速、平均风速等技术指标均满足风力资源丰富区的要求，符合建设大型风电场。从开发条件分析，交通运输和上网条件都比成熟，有利于风电场的建设。本工程选址合理，符合规划要求。</w:t>
      </w:r>
    </w:p>
    <w:p>
      <w:pPr>
        <w:widowControl w:val="0"/>
        <w:wordWrap/>
        <w:adjustRightInd/>
        <w:snapToGrid/>
        <w:spacing w:before="157" w:beforeLines="50" w:after="157" w:afterLines="50" w:line="510" w:lineRule="exact"/>
        <w:ind w:left="0" w:leftChars="0" w:right="0" w:firstLine="602" w:firstLineChars="200"/>
        <w:jc w:val="both"/>
        <w:textAlignment w:val="auto"/>
        <w:outlineLvl w:val="2"/>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b/>
          <w:bCs/>
          <w:color w:val="auto"/>
          <w:sz w:val="30"/>
          <w:szCs w:val="30"/>
          <w:lang w:val="en-US" w:eastAsia="zh-CN"/>
        </w:rPr>
        <w:t>3.1.5 综合结论</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位于新疆具有开发价值的九大风区之一的三塘湖～淖毛湖风区，属于《新疆哈密地区千万千瓦级风电基地二期项目开发建设方案》中三塘湖风区开发建设项目之一，在开发条件方面交通运输及上网条件都比较成熟，有利于风电场的建设。本工程项选址合理，符合国家产业政策和相关规划。本工程的建设对哈密地区的产业结构调整及电网供电能力也起到了十分积极的促进作用，具有良好的社会效益。本工程污染物排放量较小，完全在当地环境容纳范围之内，属清洁能源项目，将会带来一定的经济效益和社会效益，在采取必要的污染治理措施的前提下，从环保的角度考虑，本工程的建设是可行的。</w:t>
      </w:r>
    </w:p>
    <w:p>
      <w:pPr>
        <w:widowControl w:val="0"/>
        <w:wordWrap/>
        <w:adjustRightInd/>
        <w:snapToGrid/>
        <w:spacing w:before="157" w:beforeLines="50" w:after="157" w:afterLines="50" w:line="510" w:lineRule="exact"/>
        <w:ind w:left="0" w:leftChars="0" w:right="0" w:firstLine="602" w:firstLineChars="200"/>
        <w:jc w:val="both"/>
        <w:textAlignment w:val="auto"/>
        <w:outlineLvl w:val="2"/>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b/>
          <w:bCs/>
          <w:color w:val="auto"/>
          <w:sz w:val="30"/>
          <w:szCs w:val="30"/>
          <w:lang w:val="en-US" w:eastAsia="zh-CN"/>
        </w:rPr>
        <w:t>3.1.6 建议</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本工程的建设单位要加强对施工单位的监督，确保施工中的有关要求得到落实，避免因施工管理不严，造成局部生态破坏及水土流失。</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加强对生活污水设施运行的管理，确保生活污水经处理后用于场区道路浇洒、降尘，进行定额灌溉，避免因管理不善造成未经处理的生活污水下渗，污染区域地下水环境。</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产生的危险废物要严格执行《危险废物贮存污染控制标准》，同时危险废物贮存设施的建设应符合国家标准和规范。</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建设单位尽早办理占用草场与当地牧民签订的草场承包合同</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新疆维吾自治区草原承包合同书</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，作为生态补偿和异地补偿的基本经费，在实现有效防护和补偿等措施后，能够有效降低对区域植被的不利影响。</w:t>
      </w:r>
    </w:p>
    <w:p>
      <w:pPr>
        <w:widowControl w:val="0"/>
        <w:wordWrap/>
        <w:adjustRightInd/>
        <w:snapToGrid/>
        <w:spacing w:before="157" w:beforeLines="50" w:after="157" w:afterLines="50" w:line="51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lang w:val="en-US" w:eastAsia="zh-CN"/>
        </w:rPr>
      </w:pPr>
      <w:bookmarkStart w:id="47" w:name="_Toc8990"/>
      <w:r>
        <w:rPr>
          <w:rFonts w:hint="default" w:ascii="Times New Roman" w:hAnsi="Times New Roman" w:eastAsia="宋体" w:cs="Times New Roman"/>
          <w:b/>
          <w:bCs/>
          <w:color w:val="auto"/>
          <w:sz w:val="32"/>
          <w:szCs w:val="32"/>
          <w:lang w:val="en-US" w:eastAsia="zh-CN"/>
        </w:rPr>
        <w:t xml:space="preserve">3.2 </w:t>
      </w:r>
      <w:r>
        <w:rPr>
          <w:rFonts w:hint="default" w:ascii="Times New Roman" w:hAnsi="Times New Roman" w:eastAsia="宋体" w:cs="Times New Roman"/>
          <w:b/>
          <w:bCs/>
          <w:color w:val="auto"/>
          <w:sz w:val="32"/>
          <w:szCs w:val="32"/>
        </w:rPr>
        <w:t>环境影响报告书</w:t>
      </w:r>
      <w:r>
        <w:rPr>
          <w:rFonts w:hint="default" w:ascii="Times New Roman" w:hAnsi="Times New Roman" w:eastAsia="宋体" w:cs="Times New Roman"/>
          <w:b/>
          <w:bCs/>
          <w:color w:val="auto"/>
          <w:sz w:val="32"/>
          <w:szCs w:val="32"/>
          <w:lang w:val="en-US" w:eastAsia="zh-CN"/>
        </w:rPr>
        <w:t>批复要求</w:t>
      </w:r>
      <w:bookmarkEnd w:id="47"/>
    </w:p>
    <w:p>
      <w:pPr>
        <w:widowControl w:val="0"/>
        <w:numPr>
          <w:ilvl w:val="0"/>
          <w:numId w:val="4"/>
        </w:numPr>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新疆哈密风电基地二期三塘湖第三风电场B区200MW项目位于巴里坤县三塘湖乡西侧约64千米处，南距巴里坤县城约</w:t>
      </w:r>
      <w:r>
        <w:rPr>
          <w:rFonts w:hint="eastAsia" w:ascii="Times New Roman" w:hAnsi="Times New Roman" w:eastAsia="宋体" w:cs="Times New Roman"/>
          <w:color w:val="auto"/>
          <w:sz w:val="28"/>
          <w:szCs w:val="28"/>
          <w:lang w:val="en-US" w:eastAsia="zh-CN"/>
        </w:rPr>
        <w:t>88</w:t>
      </w:r>
      <w:r>
        <w:rPr>
          <w:rFonts w:hint="default" w:ascii="Times New Roman" w:hAnsi="Times New Roman" w:eastAsia="宋体" w:cs="Times New Roman"/>
          <w:color w:val="auto"/>
          <w:sz w:val="28"/>
          <w:szCs w:val="28"/>
          <w:lang w:val="en-US" w:eastAsia="zh-CN"/>
        </w:rPr>
        <w:t>千米，距哈密市区约</w:t>
      </w:r>
      <w:r>
        <w:rPr>
          <w:rFonts w:hint="eastAsia" w:ascii="Times New Roman" w:hAnsi="Times New Roman" w:eastAsia="宋体" w:cs="Times New Roman"/>
          <w:color w:val="auto"/>
          <w:sz w:val="28"/>
          <w:szCs w:val="28"/>
          <w:lang w:val="en-US" w:eastAsia="zh-CN"/>
        </w:rPr>
        <w:t>175</w:t>
      </w:r>
      <w:r>
        <w:rPr>
          <w:rFonts w:hint="default" w:ascii="Times New Roman" w:hAnsi="Times New Roman" w:eastAsia="宋体" w:cs="Times New Roman"/>
          <w:color w:val="auto"/>
          <w:sz w:val="28"/>
          <w:szCs w:val="28"/>
          <w:lang w:val="en-US" w:eastAsia="zh-CN"/>
        </w:rPr>
        <w:t>千米。工程总装机规模为200兆瓦，新建134台单机容量为1.5兆瓦风力发电机组、134台箱式变电站基础、配套电气设备及监控中心，35千伏架空线路约92.5千米，直埋电缆4.1千米，厂内检修道路70.5千米，路面宽4米；与三塘湖第三风电场C区合建一座220千伏升压站，与第一风电场共建一条66千米的公用道路</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起点接麻黄沟风电场已建公用道路，终点至风电场升压站，本工程按装机容量分摊8.8千米，宽6米</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。工程总投资149030.3万元，其中环保投资194万元，占总投资的0.13%。</w:t>
      </w:r>
    </w:p>
    <w:p>
      <w:pPr>
        <w:widowControl w:val="0"/>
        <w:numPr>
          <w:numId w:val="0"/>
        </w:numPr>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根据新疆鼎耀工程咨询有限公司编制的《新疆哈密风电基地二期三塘湖第三风电场B区200MW项目环境影响报告书》（以下简称《报告书》）的评价结论、自治区环境工程评估中心对《报告书》的技术评估意见（新环评估(2014) 072号）以及哈密地区环保局关于《报告书》的初审意见（哈地环监审发[2014]11号），从环境保护的角度，我厅原则同意本工程按照报告书所列内容，规模在拟定的地点建设。</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二、工程设计、建设和运行管理过程中，须严格落实工程环评报告书提出的环保措施和要求，重点做好以下工作：</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一）加强生态环境保护工作。旄工前要制定完善的施工期环保行动计划，合理规划工程占地和施工道路，严格控制施工作业带宽度；大风天气禁止施工；按照规范做好水土保持工作，最大限度的避免水土流失和生态破坏；施工结束后，及时平整各类施工迹地。</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（二）严格落实水污染防治措施。生活污水经地埋式一体化生活污水处理装置处理后，达到《污水综合排放标准》（GB8978-1996）二级标准后用于绿化。</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（三）减缓运营期噪声影响。对电机、变压器等主要噪声源采取隔声降噪处理，确保厂界噪声达到《风电场界噪声限值及监测规范》( DL/T1084 - 2008)中3类区域风电场噪声限值要求。</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四）升压站设计须满足相应规范，合理布置站内各种带电构架。按照《电磁辐射环境保护管理办法》要求，加强项目电磁辐射控制措施，避免升压站及输电线路电磁辐射对周围敏感目标影响，升压站附近及新建输电线路沿线电磁辐射的安全防护距离不得小于50米和20米。</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五）严格按照有关规定，对固体废物实施分类管理。风机和变压器检修产生的废油交有资质的单位回收处理，场区内主变压器检修或事故排油经足够容积的防渗事故油池收集后，定期由具备相关资质的厂家回收，防止泄露造成二次污染；生活垃圾集中收集，并及时清运，杜绝白色垃圾污染。</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（六）做好施工迹地的生态恢复工作。制定科学可行的植被恢复方案，施工结束后，人工恢复原来的植被或重新建立新的植物群落，以提高生态系统的稳定性。</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（七）做好环保信息公开。在工程施工和运营过程中，定期发布企业环保信息，主动接受社会监督，并建立畅通的公众参与交流平台，及时解决公众提出的环境问题，满足公众的合理环境诉求。</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 xml:space="preserve"> 三、工程施工期的环境监督管理由哈密地区环保局、巴里坤县环保局负责，自治区环境监察总队不定期进行抽查。工程建成后，应按规定程序申请试运行和竣工环境保护验收，经验收合格后，方可正式投入运行。</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四、如项目的性质、规模、地点、生产工艺、防治污染和防止生态破坏的措施发生重大变动，须报我厅重新审批。自环评批夏文件批准之日起。如工程超过5年来开工建设，环境影响评价文件应当报我厅重新审核。</w:t>
      </w:r>
    </w:p>
    <w:p>
      <w:pPr>
        <w:widowControl w:val="0"/>
        <w:wordWrap/>
        <w:adjustRightInd/>
        <w:snapToGrid/>
        <w:spacing w:line="51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五、你公司应在收到本批复后20个工作日内，将批准后的报告书分别送哈密地区环保局和巴里坤县环保局，并按规定接受各级环境保护行政主管部门的监督检查。</w:t>
      </w:r>
    </w:p>
    <w:p>
      <w:pPr>
        <w:pStyle w:val="2"/>
        <w:rPr>
          <w:rFonts w:hint="default"/>
        </w:rPr>
      </w:pPr>
    </w:p>
    <w:p>
      <w:pPr>
        <w:widowControl w:val="0"/>
        <w:wordWrap/>
        <w:adjustRightInd/>
        <w:snapToGrid/>
        <w:spacing w:before="313" w:beforeLines="100" w:after="313" w:afterLines="100" w:line="520" w:lineRule="exact"/>
        <w:ind w:left="0" w:leftChars="0" w:right="0" w:firstLine="0" w:firstLineChars="0"/>
        <w:jc w:val="center"/>
        <w:textAlignment w:val="auto"/>
        <w:outlineLvl w:val="0"/>
        <w:rPr>
          <w:rFonts w:hint="eastAsia" w:ascii="黑体" w:hAnsi="黑体" w:eastAsia="黑体" w:cs="黑体"/>
          <w:color w:val="auto"/>
          <w:sz w:val="36"/>
          <w:szCs w:val="36"/>
        </w:rPr>
      </w:pPr>
      <w:bookmarkStart w:id="48" w:name="_Toc13868"/>
      <w:r>
        <w:rPr>
          <w:rFonts w:hint="eastAsia" w:ascii="黑体" w:hAnsi="黑体" w:eastAsia="黑体" w:cs="黑体"/>
          <w:color w:val="auto"/>
          <w:sz w:val="36"/>
          <w:szCs w:val="36"/>
        </w:rPr>
        <w:t>第四章  验收执行标准</w:t>
      </w:r>
      <w:bookmarkEnd w:id="48"/>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根据新疆维吾尔自治区环境保护厅对本项目环境影响报告书及其批复的相应要求，本项目验收的主要污染物排放执行标准如下。</w:t>
      </w:r>
    </w:p>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49" w:name="_Toc263845872"/>
      <w:bookmarkStart w:id="50" w:name="_Toc162332065"/>
      <w:bookmarkStart w:id="51" w:name="_Toc7027"/>
      <w:r>
        <w:rPr>
          <w:rFonts w:hint="default" w:ascii="Times New Roman" w:hAnsi="Times New Roman" w:eastAsia="宋体" w:cs="Times New Roman"/>
          <w:b/>
          <w:bCs/>
          <w:color w:val="auto"/>
          <w:sz w:val="32"/>
          <w:szCs w:val="32"/>
        </w:rPr>
        <w:t>4.1</w:t>
      </w:r>
      <w:bookmarkEnd w:id="49"/>
      <w:bookmarkEnd w:id="50"/>
      <w:r>
        <w:rPr>
          <w:rFonts w:hint="default" w:ascii="Times New Roman" w:hAnsi="Times New Roman" w:eastAsia="宋体" w:cs="Times New Roman"/>
          <w:b/>
          <w:bCs/>
          <w:color w:val="auto"/>
          <w:sz w:val="32"/>
          <w:szCs w:val="32"/>
        </w:rPr>
        <w:t xml:space="preserve"> </w:t>
      </w:r>
      <w:r>
        <w:rPr>
          <w:rFonts w:hint="default" w:ascii="Times New Roman" w:hAnsi="Times New Roman" w:eastAsia="宋体" w:cs="Times New Roman"/>
          <w:b/>
          <w:bCs/>
          <w:color w:val="auto"/>
          <w:sz w:val="32"/>
          <w:szCs w:val="32"/>
          <w:lang w:eastAsia="zh-CN"/>
        </w:rPr>
        <w:t>电磁环境</w:t>
      </w:r>
      <w:r>
        <w:rPr>
          <w:rFonts w:hint="default" w:ascii="Times New Roman" w:hAnsi="Times New Roman" w:eastAsia="宋体" w:cs="Times New Roman"/>
          <w:b/>
          <w:bCs/>
          <w:color w:val="auto"/>
          <w:sz w:val="32"/>
          <w:szCs w:val="32"/>
        </w:rPr>
        <w:t>排放标准</w:t>
      </w:r>
      <w:bookmarkEnd w:id="51"/>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本项目电磁环境执行《电磁环境排放限值》（GB8702-2014）中规定的电磁环境限值要求，详见表4-1-1。</w:t>
      </w:r>
    </w:p>
    <w:p>
      <w:pPr>
        <w:pStyle w:val="44"/>
        <w:widowControl w:val="0"/>
        <w:wordWrap/>
        <w:adjustRightInd/>
        <w:snapToGrid/>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 xml:space="preserve">1-1    </w:t>
      </w:r>
      <w:r>
        <w:rPr>
          <w:rFonts w:hint="default" w:ascii="Times New Roman" w:hAnsi="Times New Roman" w:eastAsia="宋体" w:cs="Times New Roman"/>
          <w:b/>
          <w:bCs/>
          <w:sz w:val="24"/>
          <w:szCs w:val="24"/>
          <w:lang w:val="en-US" w:eastAsia="zh-CN"/>
        </w:rPr>
        <w:t xml:space="preserve">电磁环境控制限值  </w:t>
      </w:r>
      <w:r>
        <w:rPr>
          <w:rFonts w:hint="default" w:ascii="Times New Roman" w:hAnsi="Times New Roman" w:eastAsia="宋体" w:cs="Times New Roman"/>
          <w:color w:val="auto"/>
        </w:rPr>
        <w:t xml:space="preserve">      </w:t>
      </w:r>
      <w:r>
        <w:rPr>
          <w:rFonts w:hint="default" w:ascii="Times New Roman" w:hAnsi="Times New Roman" w:eastAsia="宋体" w:cs="Times New Roman"/>
          <w:b w:val="0"/>
          <w:bCs w:val="0"/>
          <w:color w:val="auto"/>
        </w:rPr>
        <w:t>单位：</w:t>
      </w:r>
      <w:r>
        <w:rPr>
          <w:rFonts w:hint="default" w:ascii="Times New Roman" w:hAnsi="Times New Roman" w:eastAsia="宋体" w:cs="Times New Roman"/>
          <w:b w:val="0"/>
          <w:bCs w:val="0"/>
          <w:sz w:val="24"/>
          <w:lang w:val="en-US" w:eastAsia="zh-CN"/>
        </w:rPr>
        <w:t>V/m；μT；A/m</w:t>
      </w:r>
    </w:p>
    <w:tbl>
      <w:tblPr>
        <w:tblStyle w:val="27"/>
        <w:tblW w:w="829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433"/>
        <w:gridCol w:w="1490"/>
        <w:gridCol w:w="2715"/>
        <w:gridCol w:w="26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75" w:hRule="atLeast"/>
        </w:trPr>
        <w:tc>
          <w:tcPr>
            <w:tcW w:w="1433" w:type="dxa"/>
            <w:tcBorders>
              <w:top w:val="single" w:color="auto" w:sz="4" w:space="0"/>
              <w:left w:val="single" w:color="auto" w:sz="4" w:space="0"/>
              <w:bottom w:val="single" w:color="auto" w:sz="6" w:space="0"/>
              <w:right w:val="single" w:color="auto" w:sz="6" w:space="0"/>
            </w:tcBorders>
            <w:vAlign w:val="center"/>
          </w:tcPr>
          <w:p>
            <w:pPr>
              <w:widowControl w:val="0"/>
              <w:tabs>
                <w:tab w:val="left" w:pos="5580"/>
              </w:tabs>
              <w:wordWrap/>
              <w:adjustRightInd w:val="0"/>
              <w:snapToGrid/>
              <w:spacing w:line="240" w:lineRule="auto"/>
              <w:ind w:left="0" w:leftChars="0" w:right="0"/>
              <w:jc w:val="center"/>
              <w:textAlignment w:val="center"/>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产生</w:t>
            </w:r>
            <w:r>
              <w:rPr>
                <w:rFonts w:hint="default" w:ascii="Times New Roman" w:hAnsi="Times New Roman" w:eastAsia="宋体" w:cs="Times New Roman"/>
                <w:b/>
                <w:sz w:val="24"/>
                <w:szCs w:val="24"/>
              </w:rPr>
              <w:t>源</w:t>
            </w:r>
          </w:p>
        </w:tc>
        <w:tc>
          <w:tcPr>
            <w:tcW w:w="1490" w:type="dxa"/>
            <w:tcBorders>
              <w:top w:val="single" w:color="auto" w:sz="4" w:space="0"/>
              <w:left w:val="single" w:color="auto" w:sz="6" w:space="0"/>
              <w:bottom w:val="single" w:color="auto" w:sz="6" w:space="0"/>
              <w:right w:val="single" w:color="auto" w:sz="6" w:space="0"/>
            </w:tcBorders>
            <w:vAlign w:val="center"/>
          </w:tcPr>
          <w:p>
            <w:pPr>
              <w:widowControl w:val="0"/>
              <w:tabs>
                <w:tab w:val="left" w:pos="5580"/>
              </w:tabs>
              <w:wordWrap/>
              <w:adjustRightInd w:val="0"/>
              <w:snapToGrid/>
              <w:spacing w:line="240" w:lineRule="auto"/>
              <w:ind w:left="0" w:leftChars="0" w:right="0"/>
              <w:jc w:val="center"/>
              <w:textAlignment w:val="center"/>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名称</w:t>
            </w:r>
          </w:p>
        </w:tc>
        <w:tc>
          <w:tcPr>
            <w:tcW w:w="2715" w:type="dxa"/>
            <w:tcBorders>
              <w:top w:val="single" w:color="auto" w:sz="4" w:space="0"/>
              <w:left w:val="single" w:color="auto" w:sz="6" w:space="0"/>
              <w:bottom w:val="single" w:color="auto" w:sz="6" w:space="0"/>
              <w:right w:val="single" w:color="auto" w:sz="6" w:space="0"/>
            </w:tcBorders>
            <w:vAlign w:val="center"/>
          </w:tcPr>
          <w:p>
            <w:pPr>
              <w:widowControl w:val="0"/>
              <w:tabs>
                <w:tab w:val="left" w:pos="5580"/>
              </w:tabs>
              <w:wordWrap/>
              <w:adjustRightInd w:val="0"/>
              <w:snapToGrid/>
              <w:spacing w:line="240" w:lineRule="auto"/>
              <w:ind w:left="0" w:leftChars="0" w:right="0"/>
              <w:jc w:val="center"/>
              <w:textAlignment w:val="center"/>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限值</w:t>
            </w:r>
          </w:p>
        </w:tc>
        <w:tc>
          <w:tcPr>
            <w:tcW w:w="2658" w:type="dxa"/>
            <w:tcBorders>
              <w:top w:val="single" w:color="auto" w:sz="4" w:space="0"/>
              <w:left w:val="single" w:color="auto" w:sz="6" w:space="0"/>
              <w:bottom w:val="single" w:color="auto" w:sz="6" w:space="0"/>
              <w:right w:val="single" w:color="auto" w:sz="4" w:space="0"/>
            </w:tcBorders>
            <w:vAlign w:val="center"/>
          </w:tcPr>
          <w:p>
            <w:pPr>
              <w:widowControl w:val="0"/>
              <w:tabs>
                <w:tab w:val="left" w:pos="5580"/>
              </w:tabs>
              <w:wordWrap/>
              <w:adjustRightInd w:val="0"/>
              <w:snapToGrid/>
              <w:spacing w:line="240" w:lineRule="auto"/>
              <w:ind w:left="0" w:leftChars="0" w:right="0"/>
              <w:jc w:val="center"/>
              <w:textAlignment w:val="center"/>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1157" w:hRule="atLeast"/>
        </w:trPr>
        <w:tc>
          <w:tcPr>
            <w:tcW w:w="1433" w:type="dxa"/>
            <w:tcBorders>
              <w:top w:val="single" w:color="auto" w:sz="6" w:space="0"/>
              <w:left w:val="single" w:color="auto" w:sz="4" w:space="0"/>
              <w:bottom w:val="single" w:color="auto" w:sz="6" w:space="0"/>
              <w:right w:val="single" w:color="auto" w:sz="6" w:space="0"/>
            </w:tcBorders>
            <w:vAlign w:val="center"/>
          </w:tcPr>
          <w:p>
            <w:pPr>
              <w:widowControl w:val="0"/>
              <w:tabs>
                <w:tab w:val="left" w:pos="5580"/>
              </w:tabs>
              <w:wordWrap/>
              <w:adjustRightInd w:val="0"/>
              <w:snapToGrid/>
              <w:spacing w:line="240" w:lineRule="auto"/>
              <w:ind w:left="0" w:leftChars="0" w:right="0"/>
              <w:jc w:val="center"/>
              <w:textAlignment w:val="center"/>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变电站、输电线路</w:t>
            </w:r>
          </w:p>
        </w:tc>
        <w:tc>
          <w:tcPr>
            <w:tcW w:w="1490" w:type="dxa"/>
            <w:tcBorders>
              <w:top w:val="single" w:color="auto" w:sz="6" w:space="0"/>
              <w:left w:val="single" w:color="auto" w:sz="6" w:space="0"/>
              <w:bottom w:val="single" w:color="auto" w:sz="6" w:space="0"/>
              <w:right w:val="single" w:color="auto" w:sz="6" w:space="0"/>
            </w:tcBorders>
            <w:vAlign w:val="center"/>
          </w:tcPr>
          <w:p>
            <w:pPr>
              <w:widowControl w:val="0"/>
              <w:tabs>
                <w:tab w:val="left" w:pos="5580"/>
              </w:tabs>
              <w:wordWrap/>
              <w:adjustRightInd w:val="0"/>
              <w:snapToGrid/>
              <w:spacing w:line="240" w:lineRule="auto"/>
              <w:ind w:left="0" w:leftChars="0" w:right="0"/>
              <w:jc w:val="center"/>
              <w:textAlignment w:val="center"/>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电场强度、磁感应强度、磁场强度</w:t>
            </w:r>
          </w:p>
        </w:tc>
        <w:tc>
          <w:tcPr>
            <w:tcW w:w="2715" w:type="dxa"/>
            <w:tcBorders>
              <w:top w:val="single" w:color="auto" w:sz="6" w:space="0"/>
              <w:left w:val="single" w:color="auto" w:sz="6" w:space="0"/>
              <w:bottom w:val="single" w:color="auto" w:sz="6" w:space="0"/>
              <w:right w:val="single" w:color="auto" w:sz="6" w:space="0"/>
            </w:tcBorders>
            <w:vAlign w:val="center"/>
          </w:tcPr>
          <w:p>
            <w:pPr>
              <w:widowControl w:val="0"/>
              <w:tabs>
                <w:tab w:val="left" w:pos="5580"/>
              </w:tabs>
              <w:wordWrap/>
              <w:adjustRightInd w:val="0"/>
              <w:snapToGrid/>
              <w:spacing w:line="240" w:lineRule="auto"/>
              <w:ind w:left="0" w:leftChars="0" w:right="0"/>
              <w:jc w:val="center"/>
              <w:textAlignment w:val="center"/>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电场强度：4000V/m；</w:t>
            </w:r>
          </w:p>
          <w:p>
            <w:pPr>
              <w:widowControl w:val="0"/>
              <w:tabs>
                <w:tab w:val="left" w:pos="5580"/>
              </w:tabs>
              <w:wordWrap/>
              <w:adjustRightInd w:val="0"/>
              <w:snapToGrid/>
              <w:spacing w:line="240" w:lineRule="auto"/>
              <w:ind w:left="0" w:leftChars="0" w:right="0"/>
              <w:jc w:val="center"/>
              <w:textAlignment w:val="center"/>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磁感应强度：100μT。</w:t>
            </w:r>
          </w:p>
        </w:tc>
        <w:tc>
          <w:tcPr>
            <w:tcW w:w="2658" w:type="dxa"/>
            <w:tcBorders>
              <w:top w:val="single" w:color="auto" w:sz="6" w:space="0"/>
              <w:left w:val="single" w:color="auto" w:sz="6" w:space="0"/>
              <w:bottom w:val="single" w:color="auto" w:sz="6" w:space="0"/>
              <w:right w:val="single" w:color="auto" w:sz="4" w:space="0"/>
            </w:tcBorders>
            <w:vAlign w:val="center"/>
          </w:tcPr>
          <w:p>
            <w:pPr>
              <w:pStyle w:val="39"/>
              <w:widowControl w:val="0"/>
              <w:wordWrap/>
              <w:adjustRightInd/>
              <w:snapToGrid/>
              <w:spacing w:before="157" w:beforeLines="50" w:after="157" w:afterLines="50" w:line="240" w:lineRule="auto"/>
              <w:ind w:left="0" w:leftChars="0" w:right="0"/>
              <w:jc w:val="center"/>
              <w:textAlignment w:val="auto"/>
              <w:outlineLvl w:val="9"/>
              <w:rPr>
                <w:rFonts w:hint="default" w:ascii="Times New Roman" w:hAnsi="Times New Roman" w:eastAsia="宋体" w:cs="Times New Roman"/>
                <w:sz w:val="24"/>
                <w:szCs w:val="24"/>
              </w:rPr>
            </w:pPr>
            <w:bookmarkStart w:id="52" w:name="_Toc5616"/>
            <w:r>
              <w:rPr>
                <w:rFonts w:hint="default" w:ascii="Times New Roman" w:hAnsi="Times New Roman" w:eastAsia="宋体" w:cs="Times New Roman"/>
                <w:kern w:val="2"/>
                <w:sz w:val="24"/>
                <w:szCs w:val="24"/>
                <w:lang w:val="en-US" w:eastAsia="zh-CN" w:bidi="ar-SA"/>
              </w:rPr>
              <w:t>《电磁环境控制限值》（GB8702-2014）</w:t>
            </w:r>
            <w:bookmarkEnd w:id="52"/>
          </w:p>
        </w:tc>
      </w:tr>
    </w:tbl>
    <w:p>
      <w:pPr>
        <w:pStyle w:val="41"/>
        <w:widowControl w:val="0"/>
        <w:numPr>
          <w:ilvl w:val="2"/>
          <w:numId w:val="0"/>
        </w:numPr>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color w:val="auto"/>
          <w:sz w:val="32"/>
          <w:szCs w:val="32"/>
        </w:rPr>
      </w:pPr>
      <w:bookmarkStart w:id="53" w:name="_Toc1298"/>
      <w:bookmarkStart w:id="54" w:name="_Toc1151"/>
      <w:r>
        <w:rPr>
          <w:rFonts w:hint="default" w:ascii="Times New Roman" w:hAnsi="Times New Roman" w:eastAsia="宋体" w:cs="Times New Roman"/>
          <w:color w:val="auto"/>
          <w:sz w:val="32"/>
          <w:szCs w:val="32"/>
        </w:rPr>
        <w:t>4.</w:t>
      </w:r>
      <w:r>
        <w:rPr>
          <w:rFonts w:hint="eastAsia" w:ascii="Times New Roman" w:hAnsi="Times New Roman" w:eastAsia="宋体" w:cs="Times New Roman"/>
          <w:color w:val="auto"/>
          <w:sz w:val="32"/>
          <w:szCs w:val="32"/>
          <w:lang w:val="en-US" w:eastAsia="zh-CN"/>
        </w:rPr>
        <w:t>2</w:t>
      </w:r>
      <w:r>
        <w:rPr>
          <w:rFonts w:hint="default" w:ascii="Times New Roman" w:hAnsi="Times New Roman" w:eastAsia="宋体" w:cs="Times New Roman"/>
          <w:color w:val="auto"/>
          <w:sz w:val="32"/>
          <w:szCs w:val="32"/>
        </w:rPr>
        <w:t xml:space="preserve"> 噪声标准</w:t>
      </w:r>
      <w:bookmarkEnd w:id="53"/>
      <w:r>
        <w:rPr>
          <w:rFonts w:hint="default" w:ascii="Times New Roman" w:hAnsi="Times New Roman" w:eastAsia="宋体" w:cs="Times New Roman"/>
          <w:color w:val="auto"/>
          <w:sz w:val="32"/>
          <w:szCs w:val="32"/>
          <w:lang w:val="en-US" w:eastAsia="zh-CN"/>
        </w:rPr>
        <w:t>限值</w:t>
      </w:r>
      <w:bookmarkEnd w:id="54"/>
    </w:p>
    <w:p>
      <w:pPr>
        <w:pStyle w:val="30"/>
        <w:wordWrap/>
        <w:adjustRightInd/>
        <w:snapToGrid/>
        <w:spacing w:after="0" w:line="520" w:lineRule="exact"/>
        <w:ind w:left="0" w:leftChars="0" w:right="0" w:firstLine="560" w:firstLineChars="200"/>
        <w:jc w:val="both"/>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根据本项目所在区域环境特点</w:t>
      </w:r>
      <w:r>
        <w:rPr>
          <w:rFonts w:hint="default" w:ascii="Times New Roman" w:hAnsi="Times New Roman" w:eastAsia="宋体" w:cs="Times New Roman"/>
          <w:snapToGrid w:val="0"/>
          <w:color w:val="auto"/>
          <w:kern w:val="0"/>
          <w:sz w:val="28"/>
          <w:szCs w:val="28"/>
          <w:lang w:eastAsia="zh-CN"/>
        </w:rPr>
        <w:t>及批复要求</w:t>
      </w:r>
      <w:r>
        <w:rPr>
          <w:rFonts w:hint="default" w:ascii="Times New Roman" w:hAnsi="Times New Roman" w:eastAsia="宋体" w:cs="Times New Roman"/>
          <w:snapToGrid w:val="0"/>
          <w:color w:val="auto"/>
          <w:kern w:val="0"/>
          <w:sz w:val="28"/>
          <w:szCs w:val="28"/>
        </w:rPr>
        <w:t>，厂界噪声执行《</w:t>
      </w:r>
      <w:r>
        <w:rPr>
          <w:rFonts w:hint="default" w:ascii="Times New Roman" w:hAnsi="Times New Roman" w:eastAsia="宋体" w:cs="Times New Roman"/>
          <w:snapToGrid w:val="0"/>
          <w:color w:val="auto"/>
          <w:kern w:val="0"/>
          <w:sz w:val="28"/>
          <w:szCs w:val="28"/>
          <w:lang w:eastAsia="zh-CN"/>
        </w:rPr>
        <w:t>风电场界噪声限值及监测规范</w:t>
      </w:r>
      <w:r>
        <w:rPr>
          <w:rFonts w:hint="default" w:ascii="Times New Roman" w:hAnsi="Times New Roman" w:eastAsia="宋体" w:cs="Times New Roman"/>
          <w:snapToGrid w:val="0"/>
          <w:color w:val="auto"/>
          <w:kern w:val="0"/>
          <w:sz w:val="28"/>
          <w:szCs w:val="28"/>
        </w:rPr>
        <w:t>》(</w:t>
      </w:r>
      <w:r>
        <w:rPr>
          <w:rFonts w:hint="default" w:ascii="Times New Roman" w:hAnsi="Times New Roman" w:eastAsia="宋体" w:cs="Times New Roman"/>
          <w:snapToGrid w:val="0"/>
          <w:color w:val="auto"/>
          <w:kern w:val="0"/>
          <w:sz w:val="28"/>
          <w:szCs w:val="28"/>
          <w:lang w:val="en-US" w:eastAsia="zh-CN"/>
        </w:rPr>
        <w:t>DL/T1084-</w:t>
      </w:r>
      <w:r>
        <w:rPr>
          <w:rFonts w:hint="default" w:ascii="Times New Roman" w:hAnsi="Times New Roman" w:eastAsia="宋体" w:cs="Times New Roman"/>
          <w:snapToGrid w:val="0"/>
          <w:color w:val="auto"/>
          <w:kern w:val="0"/>
          <w:sz w:val="28"/>
          <w:szCs w:val="28"/>
        </w:rPr>
        <w:t>2008</w:t>
      </w:r>
      <w:r>
        <w:rPr>
          <w:rFonts w:hint="default" w:ascii="Times New Roman" w:hAnsi="Times New Roman" w:eastAsia="宋体" w:cs="Times New Roman"/>
          <w:snapToGrid w:val="0"/>
          <w:color w:val="auto"/>
          <w:kern w:val="0"/>
          <w:sz w:val="28"/>
          <w:szCs w:val="28"/>
          <w:lang w:eastAsia="zh-CN"/>
        </w:rPr>
        <w:t>）</w:t>
      </w:r>
      <w:r>
        <w:rPr>
          <w:rFonts w:hint="default" w:ascii="Times New Roman" w:hAnsi="Times New Roman" w:eastAsia="宋体" w:cs="Times New Roman"/>
          <w:snapToGrid w:val="0"/>
          <w:color w:val="auto"/>
          <w:kern w:val="0"/>
          <w:sz w:val="28"/>
          <w:szCs w:val="28"/>
        </w:rPr>
        <w:t>中的</w:t>
      </w:r>
      <w:r>
        <w:rPr>
          <w:rFonts w:hint="default" w:ascii="Times New Roman" w:hAnsi="Times New Roman" w:eastAsia="宋体" w:cs="Times New Roman"/>
          <w:snapToGrid w:val="0"/>
          <w:color w:val="auto"/>
          <w:kern w:val="0"/>
          <w:sz w:val="28"/>
          <w:szCs w:val="28"/>
          <w:lang w:val="en-US" w:eastAsia="zh-CN"/>
        </w:rPr>
        <w:t>3</w:t>
      </w:r>
      <w:r>
        <w:rPr>
          <w:rFonts w:hint="default" w:ascii="Times New Roman" w:hAnsi="Times New Roman" w:eastAsia="宋体" w:cs="Times New Roman"/>
          <w:snapToGrid w:val="0"/>
          <w:color w:val="auto"/>
          <w:kern w:val="0"/>
          <w:sz w:val="28"/>
          <w:szCs w:val="28"/>
        </w:rPr>
        <w:t>类</w:t>
      </w:r>
      <w:r>
        <w:rPr>
          <w:rFonts w:hint="default" w:ascii="Times New Roman" w:hAnsi="Times New Roman" w:eastAsia="宋体" w:cs="Times New Roman"/>
          <w:snapToGrid w:val="0"/>
          <w:color w:val="auto"/>
          <w:kern w:val="0"/>
          <w:sz w:val="28"/>
          <w:szCs w:val="28"/>
          <w:lang w:eastAsia="zh-CN"/>
        </w:rPr>
        <w:t>区域风电场噪声限值要求。</w:t>
      </w:r>
      <w:r>
        <w:rPr>
          <w:rFonts w:hint="default" w:ascii="Times New Roman" w:hAnsi="Times New Roman" w:eastAsia="宋体" w:cs="Times New Roman"/>
          <w:snapToGrid w:val="0"/>
          <w:color w:val="auto"/>
          <w:kern w:val="0"/>
          <w:sz w:val="28"/>
          <w:szCs w:val="28"/>
        </w:rPr>
        <w:t>标准值见表</w:t>
      </w:r>
      <w:r>
        <w:rPr>
          <w:rFonts w:hint="default" w:ascii="Times New Roman" w:hAnsi="Times New Roman" w:eastAsia="宋体" w:cs="Times New Roman"/>
          <w:snapToGrid w:val="0"/>
          <w:color w:val="auto"/>
          <w:kern w:val="0"/>
          <w:sz w:val="28"/>
          <w:szCs w:val="28"/>
          <w:lang w:val="en-US" w:eastAsia="zh-CN"/>
        </w:rPr>
        <w:t>4-</w:t>
      </w:r>
      <w:r>
        <w:rPr>
          <w:rFonts w:hint="eastAsia" w:ascii="Times New Roman" w:hAnsi="Times New Roman" w:eastAsia="宋体" w:cs="Times New Roman"/>
          <w:snapToGrid w:val="0"/>
          <w:color w:val="auto"/>
          <w:kern w:val="0"/>
          <w:sz w:val="28"/>
          <w:szCs w:val="28"/>
          <w:lang w:val="en-US" w:eastAsia="zh-CN"/>
        </w:rPr>
        <w:t>2</w:t>
      </w:r>
      <w:r>
        <w:rPr>
          <w:rFonts w:hint="default" w:ascii="Times New Roman" w:hAnsi="Times New Roman" w:eastAsia="宋体" w:cs="Times New Roman"/>
          <w:snapToGrid w:val="0"/>
          <w:color w:val="auto"/>
          <w:kern w:val="0"/>
          <w:sz w:val="28"/>
          <w:szCs w:val="28"/>
          <w:lang w:val="en-US" w:eastAsia="zh-CN"/>
        </w:rPr>
        <w:t>-1</w:t>
      </w:r>
      <w:r>
        <w:rPr>
          <w:rFonts w:hint="default" w:ascii="Times New Roman" w:hAnsi="Times New Roman" w:eastAsia="宋体" w:cs="Times New Roman"/>
          <w:snapToGrid w:val="0"/>
          <w:color w:val="auto"/>
          <w:kern w:val="0"/>
          <w:sz w:val="28"/>
          <w:szCs w:val="28"/>
        </w:rPr>
        <w:t>。</w:t>
      </w:r>
    </w:p>
    <w:p>
      <w:pPr>
        <w:pStyle w:val="44"/>
        <w:widowControl w:val="0"/>
        <w:wordWrap/>
        <w:adjustRightInd/>
        <w:snapToGrid/>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表</w:t>
      </w: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 xml:space="preserve">-1  </w:t>
      </w:r>
      <w:r>
        <w:rPr>
          <w:rFonts w:hint="default" w:ascii="Times New Roman" w:hAnsi="Times New Roman" w:eastAsia="宋体" w:cs="Times New Roman"/>
          <w:color w:val="auto"/>
        </w:rPr>
        <w:t xml:space="preserve"> 噪声排放标准                 </w:t>
      </w:r>
      <w:r>
        <w:rPr>
          <w:rFonts w:hint="default" w:ascii="Times New Roman" w:hAnsi="Times New Roman" w:eastAsia="宋体" w:cs="Times New Roman"/>
          <w:b w:val="0"/>
          <w:bCs w:val="0"/>
          <w:color w:val="auto"/>
        </w:rPr>
        <w:t>单位：dB</w:t>
      </w:r>
    </w:p>
    <w:tbl>
      <w:tblPr>
        <w:tblStyle w:val="27"/>
        <w:tblW w:w="851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89"/>
        <w:gridCol w:w="1440"/>
        <w:gridCol w:w="1755"/>
        <w:gridCol w:w="3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1489" w:type="dxa"/>
            <w:vAlign w:val="center"/>
          </w:tcPr>
          <w:p>
            <w:pPr>
              <w:widowControl/>
              <w:wordWrap/>
              <w:adjustRightInd w:val="0"/>
              <w:snapToGrid/>
              <w:spacing w:line="240" w:lineRule="auto"/>
              <w:ind w:left="0" w:leftChars="0" w:right="0" w:firstLine="0" w:firstLineChars="0"/>
              <w:jc w:val="center"/>
              <w:textAlignment w:val="center"/>
              <w:outlineLvl w:val="9"/>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rPr>
              <w:t>昼间</w:t>
            </w:r>
          </w:p>
        </w:tc>
        <w:tc>
          <w:tcPr>
            <w:tcW w:w="1440" w:type="dxa"/>
            <w:vAlign w:val="center"/>
          </w:tcPr>
          <w:p>
            <w:pPr>
              <w:widowControl/>
              <w:wordWrap/>
              <w:adjustRightInd w:val="0"/>
              <w:snapToGrid/>
              <w:spacing w:line="240" w:lineRule="auto"/>
              <w:ind w:left="0" w:leftChars="0" w:right="0" w:firstLine="0" w:firstLineChars="0"/>
              <w:jc w:val="center"/>
              <w:textAlignment w:val="center"/>
              <w:outlineLvl w:val="9"/>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rPr>
              <w:t>夜间</w:t>
            </w:r>
          </w:p>
        </w:tc>
        <w:tc>
          <w:tcPr>
            <w:tcW w:w="1755" w:type="dxa"/>
            <w:vAlign w:val="center"/>
          </w:tcPr>
          <w:p>
            <w:pPr>
              <w:widowControl/>
              <w:wordWrap/>
              <w:adjustRightInd w:val="0"/>
              <w:snapToGrid/>
              <w:spacing w:line="240" w:lineRule="auto"/>
              <w:ind w:left="0" w:leftChars="0" w:right="0" w:firstLine="0" w:firstLineChars="0"/>
              <w:jc w:val="center"/>
              <w:textAlignment w:val="center"/>
              <w:outlineLvl w:val="9"/>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rPr>
              <w:t>适用阶段</w:t>
            </w:r>
          </w:p>
        </w:tc>
        <w:tc>
          <w:tcPr>
            <w:tcW w:w="3826" w:type="dxa"/>
            <w:vAlign w:val="center"/>
          </w:tcPr>
          <w:p>
            <w:pPr>
              <w:widowControl/>
              <w:wordWrap/>
              <w:adjustRightInd w:val="0"/>
              <w:snapToGrid/>
              <w:spacing w:line="240" w:lineRule="auto"/>
              <w:ind w:left="0" w:leftChars="0" w:right="0" w:firstLine="0" w:firstLineChars="0"/>
              <w:jc w:val="center"/>
              <w:textAlignment w:val="center"/>
              <w:outlineLvl w:val="9"/>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rPr>
              <w:t>适用标准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1489" w:type="dxa"/>
            <w:vAlign w:val="center"/>
          </w:tcPr>
          <w:p>
            <w:pPr>
              <w:widowControl/>
              <w:wordWrap/>
              <w:adjustRightInd w:val="0"/>
              <w:snapToGrid/>
              <w:spacing w:line="240" w:lineRule="auto"/>
              <w:ind w:left="0" w:leftChars="0" w:right="0" w:firstLine="0" w:firstLineChars="0"/>
              <w:jc w:val="center"/>
              <w:textAlignment w:val="center"/>
              <w:outlineLvl w:val="9"/>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6</w:t>
            </w:r>
            <w:r>
              <w:rPr>
                <w:rFonts w:hint="default" w:ascii="Times New Roman" w:hAnsi="Times New Roman" w:eastAsia="宋体" w:cs="Times New Roman"/>
                <w:bCs/>
                <w:color w:val="auto"/>
                <w:kern w:val="0"/>
                <w:sz w:val="24"/>
                <w:szCs w:val="24"/>
                <w:lang w:val="en-US" w:eastAsia="zh-CN"/>
              </w:rPr>
              <w:t>5</w:t>
            </w:r>
          </w:p>
        </w:tc>
        <w:tc>
          <w:tcPr>
            <w:tcW w:w="1440" w:type="dxa"/>
            <w:vAlign w:val="center"/>
          </w:tcPr>
          <w:p>
            <w:pPr>
              <w:widowControl/>
              <w:wordWrap/>
              <w:adjustRightInd w:val="0"/>
              <w:snapToGrid/>
              <w:spacing w:line="240" w:lineRule="auto"/>
              <w:ind w:left="0" w:leftChars="0" w:right="0" w:firstLine="0" w:firstLineChars="0"/>
              <w:jc w:val="center"/>
              <w:textAlignment w:val="center"/>
              <w:outlineLvl w:val="9"/>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5</w:t>
            </w:r>
            <w:r>
              <w:rPr>
                <w:rFonts w:hint="default" w:ascii="Times New Roman" w:hAnsi="Times New Roman" w:eastAsia="宋体" w:cs="Times New Roman"/>
                <w:bCs/>
                <w:color w:val="auto"/>
                <w:kern w:val="0"/>
                <w:sz w:val="24"/>
                <w:szCs w:val="24"/>
                <w:lang w:val="en-US" w:eastAsia="zh-CN"/>
              </w:rPr>
              <w:t>5</w:t>
            </w:r>
          </w:p>
        </w:tc>
        <w:tc>
          <w:tcPr>
            <w:tcW w:w="1755" w:type="dxa"/>
            <w:vAlign w:val="center"/>
          </w:tcPr>
          <w:p>
            <w:pPr>
              <w:widowControl/>
              <w:wordWrap/>
              <w:adjustRightInd w:val="0"/>
              <w:snapToGrid/>
              <w:spacing w:line="240" w:lineRule="auto"/>
              <w:ind w:left="0" w:leftChars="0" w:right="0" w:firstLine="0" w:firstLineChars="0"/>
              <w:jc w:val="center"/>
              <w:textAlignment w:val="center"/>
              <w:outlineLvl w:val="9"/>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运行期</w:t>
            </w:r>
          </w:p>
        </w:tc>
        <w:tc>
          <w:tcPr>
            <w:tcW w:w="3826" w:type="dxa"/>
            <w:vAlign w:val="center"/>
          </w:tcPr>
          <w:p>
            <w:pPr>
              <w:widowControl/>
              <w:wordWrap/>
              <w:adjustRightInd w:val="0"/>
              <w:snapToGrid/>
              <w:spacing w:line="240" w:lineRule="auto"/>
              <w:ind w:left="0" w:leftChars="0" w:right="0" w:firstLine="0" w:firstLineChars="0"/>
              <w:jc w:val="center"/>
              <w:textAlignment w:val="center"/>
              <w:outlineLvl w:val="9"/>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snapToGrid w:val="0"/>
                <w:color w:val="auto"/>
                <w:kern w:val="0"/>
                <w:sz w:val="24"/>
                <w:szCs w:val="24"/>
              </w:rPr>
              <w:t>《</w:t>
            </w:r>
            <w:r>
              <w:rPr>
                <w:rFonts w:hint="default" w:ascii="Times New Roman" w:hAnsi="Times New Roman" w:eastAsia="宋体" w:cs="Times New Roman"/>
                <w:snapToGrid w:val="0"/>
                <w:color w:val="auto"/>
                <w:kern w:val="0"/>
                <w:sz w:val="24"/>
                <w:szCs w:val="24"/>
                <w:lang w:eastAsia="zh-CN"/>
              </w:rPr>
              <w:t>风电场界噪声限值及监测规范</w:t>
            </w:r>
            <w:r>
              <w:rPr>
                <w:rFonts w:hint="default" w:ascii="Times New Roman" w:hAnsi="Times New Roman" w:eastAsia="宋体" w:cs="Times New Roman"/>
                <w:snapToGrid w:val="0"/>
                <w:color w:val="auto"/>
                <w:kern w:val="0"/>
                <w:sz w:val="24"/>
                <w:szCs w:val="24"/>
              </w:rPr>
              <w:t>》(</w:t>
            </w:r>
            <w:r>
              <w:rPr>
                <w:rFonts w:hint="default" w:ascii="Times New Roman" w:hAnsi="Times New Roman" w:eastAsia="宋体" w:cs="Times New Roman"/>
                <w:snapToGrid w:val="0"/>
                <w:color w:val="auto"/>
                <w:kern w:val="0"/>
                <w:sz w:val="24"/>
                <w:szCs w:val="24"/>
                <w:lang w:val="en-US" w:eastAsia="zh-CN"/>
              </w:rPr>
              <w:t>DL/T1084-</w:t>
            </w:r>
            <w:r>
              <w:rPr>
                <w:rFonts w:hint="default" w:ascii="Times New Roman" w:hAnsi="Times New Roman" w:eastAsia="宋体" w:cs="Times New Roman"/>
                <w:snapToGrid w:val="0"/>
                <w:color w:val="auto"/>
                <w:kern w:val="0"/>
                <w:sz w:val="24"/>
                <w:szCs w:val="24"/>
              </w:rPr>
              <w:t>2008</w:t>
            </w:r>
            <w:r>
              <w:rPr>
                <w:rFonts w:hint="default" w:ascii="Times New Roman" w:hAnsi="Times New Roman" w:eastAsia="宋体" w:cs="Times New Roman"/>
                <w:snapToGrid w:val="0"/>
                <w:color w:val="auto"/>
                <w:kern w:val="0"/>
                <w:sz w:val="24"/>
                <w:szCs w:val="24"/>
                <w:lang w:eastAsia="zh-CN"/>
              </w:rPr>
              <w:t>）</w:t>
            </w:r>
          </w:p>
        </w:tc>
      </w:tr>
    </w:tbl>
    <w:p>
      <w:pPr>
        <w:widowControl w:val="0"/>
        <w:wordWrap/>
        <w:adjustRightInd/>
        <w:snapToGrid/>
        <w:spacing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55" w:name="_Toc25124"/>
      <w:r>
        <w:rPr>
          <w:rFonts w:hint="default" w:ascii="Times New Roman" w:hAnsi="Times New Roman" w:eastAsia="宋体" w:cs="Times New Roman"/>
          <w:b/>
          <w:bCs/>
          <w:color w:val="auto"/>
          <w:sz w:val="32"/>
          <w:szCs w:val="32"/>
        </w:rPr>
        <w:t>4.</w:t>
      </w:r>
      <w:r>
        <w:rPr>
          <w:rFonts w:hint="eastAsia" w:ascii="Times New Roman" w:hAnsi="Times New Roman" w:eastAsia="宋体" w:cs="Times New Roman"/>
          <w:b/>
          <w:bCs/>
          <w:color w:val="auto"/>
          <w:sz w:val="32"/>
          <w:szCs w:val="32"/>
          <w:lang w:val="en-US" w:eastAsia="zh-CN"/>
        </w:rPr>
        <w:t>3</w:t>
      </w:r>
      <w:r>
        <w:rPr>
          <w:rFonts w:hint="default" w:ascii="Times New Roman" w:hAnsi="Times New Roman" w:eastAsia="宋体" w:cs="Times New Roman"/>
          <w:b/>
          <w:bCs/>
          <w:color w:val="auto"/>
          <w:sz w:val="32"/>
          <w:szCs w:val="32"/>
        </w:rPr>
        <w:t xml:space="preserve"> 固体废物</w:t>
      </w:r>
      <w:bookmarkStart w:id="56" w:name="_Toc162332068"/>
      <w:bookmarkStart w:id="57" w:name="_Toc263845875"/>
      <w:r>
        <w:rPr>
          <w:rFonts w:hint="default" w:ascii="Times New Roman" w:hAnsi="Times New Roman" w:eastAsia="宋体" w:cs="Times New Roman"/>
          <w:b/>
          <w:bCs/>
          <w:color w:val="auto"/>
          <w:sz w:val="32"/>
          <w:szCs w:val="32"/>
          <w:lang w:val="en-US" w:eastAsia="zh-CN"/>
        </w:rPr>
        <w:t>参照标准</w:t>
      </w:r>
      <w:bookmarkEnd w:id="55"/>
    </w:p>
    <w:p>
      <w:pPr>
        <w:widowControl w:val="0"/>
        <w:numPr>
          <w:ilvl w:val="0"/>
          <w:numId w:val="5"/>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rPr>
        <w:t>固体废物处置标准采用</w:t>
      </w:r>
      <w:r>
        <w:rPr>
          <w:rFonts w:hint="default" w:ascii="Times New Roman" w:hAnsi="Times New Roman" w:eastAsia="宋体" w:cs="Times New Roman"/>
          <w:color w:val="auto"/>
          <w:sz w:val="28"/>
          <w:szCs w:val="28"/>
          <w:lang w:val="zh-CN"/>
        </w:rPr>
        <w:t>《一般工业固体废物贮存、处置场污染控制标准》（GB18599-2001）及其2013修改单；</w:t>
      </w:r>
    </w:p>
    <w:p>
      <w:pPr>
        <w:widowControl w:val="0"/>
        <w:numPr>
          <w:ilvl w:val="0"/>
          <w:numId w:val="5"/>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《工业企业设计卫生标准》（TJ36-79）</w:t>
      </w:r>
      <w:r>
        <w:rPr>
          <w:rFonts w:hint="default" w:ascii="Times New Roman" w:hAnsi="Times New Roman" w:eastAsia="宋体" w:cs="Times New Roman"/>
          <w:color w:val="auto"/>
          <w:sz w:val="28"/>
          <w:szCs w:val="28"/>
          <w:lang w:eastAsia="zh-CN"/>
        </w:rPr>
        <w:t>；</w:t>
      </w:r>
    </w:p>
    <w:p>
      <w:pPr>
        <w:widowControl w:val="0"/>
        <w:numPr>
          <w:ilvl w:val="0"/>
          <w:numId w:val="5"/>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8"/>
          <w:szCs w:val="28"/>
          <w:lang w:val="zh-CN"/>
        </w:rPr>
        <w:t>《环境保护图形标志－固体废物贮存（处置）场》（GB 15562.2-1995）。</w:t>
      </w:r>
    </w:p>
    <w:bookmarkEnd w:id="56"/>
    <w:bookmarkEnd w:id="57"/>
    <w:p>
      <w:pPr>
        <w:widowControl w:val="0"/>
        <w:wordWrap/>
        <w:adjustRightInd/>
        <w:snapToGrid/>
        <w:spacing w:before="313" w:beforeLines="100" w:after="313" w:afterLines="100" w:line="560" w:lineRule="exact"/>
        <w:ind w:left="0" w:leftChars="0" w:right="0" w:firstLine="0" w:firstLineChars="0"/>
        <w:jc w:val="center"/>
        <w:textAlignment w:val="auto"/>
        <w:outlineLvl w:val="0"/>
        <w:rPr>
          <w:rFonts w:hint="eastAsia" w:ascii="黑体" w:hAnsi="黑体" w:eastAsia="黑体" w:cs="黑体"/>
          <w:color w:val="auto"/>
          <w:sz w:val="36"/>
          <w:szCs w:val="36"/>
        </w:rPr>
      </w:pPr>
      <w:bookmarkStart w:id="58" w:name="_Toc5257"/>
      <w:r>
        <w:rPr>
          <w:rFonts w:hint="eastAsia" w:ascii="黑体" w:hAnsi="黑体" w:eastAsia="黑体" w:cs="黑体"/>
          <w:color w:val="auto"/>
          <w:sz w:val="36"/>
          <w:szCs w:val="36"/>
        </w:rPr>
        <w:t>第五章  验收监测质量保证与监测结果</w:t>
      </w:r>
      <w:bookmarkEnd w:id="58"/>
    </w:p>
    <w:p>
      <w:pPr>
        <w:widowControl w:val="0"/>
        <w:wordWrap/>
        <w:adjustRightInd/>
        <w:snapToGrid/>
        <w:spacing w:before="157" w:beforeLines="50" w:after="157" w:afterLines="50" w:line="560" w:lineRule="exact"/>
        <w:ind w:left="0" w:leftChars="0" w:right="0" w:firstLine="0" w:firstLineChars="0"/>
        <w:jc w:val="both"/>
        <w:textAlignment w:val="auto"/>
        <w:outlineLvl w:val="1"/>
        <w:rPr>
          <w:rFonts w:hint="default" w:ascii="Times New Roman" w:hAnsi="Times New Roman" w:eastAsia="宋体" w:cs="Times New Roman"/>
          <w:b/>
          <w:bCs/>
          <w:color w:val="auto"/>
          <w:sz w:val="28"/>
          <w:szCs w:val="28"/>
        </w:rPr>
      </w:pPr>
      <w:r>
        <w:rPr>
          <w:rFonts w:hint="default" w:ascii="Times New Roman" w:hAnsi="Times New Roman" w:eastAsia="宋体" w:cs="Times New Roman"/>
          <w:color w:val="auto"/>
          <w:sz w:val="28"/>
          <w:szCs w:val="28"/>
        </w:rPr>
        <w:t xml:space="preserve"> </w:t>
      </w:r>
      <w:r>
        <w:rPr>
          <w:rFonts w:hint="default" w:ascii="Times New Roman" w:hAnsi="Times New Roman" w:eastAsia="宋体" w:cs="Times New Roman"/>
          <w:b/>
          <w:bCs/>
          <w:color w:val="auto"/>
          <w:sz w:val="28"/>
          <w:szCs w:val="28"/>
        </w:rPr>
        <w:t xml:space="preserve"> </w:t>
      </w:r>
      <w:bookmarkStart w:id="59" w:name="_Toc371499133"/>
      <w:bookmarkStart w:id="60" w:name="_Toc291410771"/>
      <w:bookmarkStart w:id="61" w:name="_Toc181706611"/>
      <w:bookmarkStart w:id="62" w:name="_Toc359338625"/>
      <w:bookmarkStart w:id="63" w:name="_Toc359857362"/>
      <w:bookmarkStart w:id="64" w:name="_Toc371499369"/>
      <w:bookmarkStart w:id="65" w:name="_Toc181761395"/>
      <w:bookmarkStart w:id="66" w:name="_Toc181704085"/>
      <w:bookmarkStart w:id="67" w:name="_Toc291410648"/>
      <w:bookmarkStart w:id="68" w:name="_Toc388539117"/>
      <w:bookmarkStart w:id="69" w:name="_Toc362001223"/>
      <w:bookmarkStart w:id="70" w:name="_Toc377391346"/>
      <w:bookmarkStart w:id="71" w:name="_Toc6735"/>
      <w:r>
        <w:rPr>
          <w:rFonts w:hint="default" w:ascii="Times New Roman" w:hAnsi="Times New Roman" w:eastAsia="宋体" w:cs="Times New Roman"/>
          <w:b/>
          <w:bCs/>
          <w:color w:val="auto"/>
          <w:sz w:val="32"/>
          <w:szCs w:val="32"/>
        </w:rPr>
        <w:t>5.1</w:t>
      </w:r>
      <w:bookmarkEnd w:id="59"/>
      <w:bookmarkEnd w:id="60"/>
      <w:bookmarkEnd w:id="61"/>
      <w:bookmarkEnd w:id="62"/>
      <w:bookmarkEnd w:id="63"/>
      <w:bookmarkEnd w:id="64"/>
      <w:bookmarkEnd w:id="65"/>
      <w:bookmarkEnd w:id="66"/>
      <w:bookmarkEnd w:id="67"/>
      <w:bookmarkEnd w:id="68"/>
      <w:bookmarkEnd w:id="69"/>
      <w:bookmarkEnd w:id="70"/>
      <w:r>
        <w:rPr>
          <w:rFonts w:hint="default" w:ascii="Times New Roman" w:hAnsi="Times New Roman" w:eastAsia="宋体" w:cs="Times New Roman"/>
          <w:b/>
          <w:bCs/>
          <w:color w:val="auto"/>
          <w:sz w:val="32"/>
          <w:szCs w:val="32"/>
        </w:rPr>
        <w:t xml:space="preserve"> 验收监测质量保证</w:t>
      </w:r>
      <w:bookmarkEnd w:id="71"/>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（1）新疆天蓝蓝环保技术服务有限公司通过相关技术资料收集和现场踏勘，编写《新疆哈密风电基地二期三塘湖第三风电场B区 200MW 项目竣工环境保护验收监测方案》并实施。</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（2）验收现场监测按照国家环保总局颁发的《环境监测技术规范》（HJ 495-2009）、《建设项目环境保护设施竣工验收监测技术要求》中质量控制与质量保证有关章节要求进行。</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（3）监测分析方法采用国家有关部门颁布的标准分析方法，监测人员持有监测上岗证书。</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（4）监测过程及实验室内分析所使用的仪器设备全部经国家计量部门检定合格，且在有效期内，在测试前后均对监测仪器进行校准。</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（5）监测数据严格实行三级审核制度，经过校对、审核，最后由技术负责人审定签发。</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2017年10月13～14日，新疆天蓝蓝环保技术服务有限公司派检测人员专程到新疆哈密风电基地二期三塘湖第三风电场B区 200MW项目所在地，按照该项目《验收监测方案》，开展验收监测、调查工作。</w:t>
      </w:r>
    </w:p>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72" w:name="_Toc30025"/>
      <w:r>
        <w:rPr>
          <w:rFonts w:hint="default" w:ascii="Times New Roman" w:hAnsi="Times New Roman" w:eastAsia="宋体" w:cs="Times New Roman"/>
          <w:b/>
          <w:bCs/>
          <w:color w:val="auto"/>
          <w:sz w:val="32"/>
          <w:szCs w:val="32"/>
        </w:rPr>
        <w:t>5.2 验收期间工况</w:t>
      </w:r>
      <w:bookmarkEnd w:id="72"/>
    </w:p>
    <w:p>
      <w:pPr>
        <w:widowControl w:val="0"/>
        <w:wordWrap/>
        <w:adjustRightInd/>
        <w:snapToGrid/>
        <w:spacing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5.2.1 验收工况要求</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按照《建设项目竣工环境保护验收规范》（HJ/T405-2007）的规定，验收监测应在工况稳定、</w:t>
      </w:r>
      <w:r>
        <w:rPr>
          <w:rFonts w:hint="default" w:ascii="Times New Roman" w:hAnsi="Times New Roman" w:eastAsia="宋体" w:cs="Times New Roman"/>
          <w:color w:val="auto"/>
          <w:sz w:val="28"/>
          <w:szCs w:val="28"/>
          <w:lang w:eastAsia="zh-CN"/>
        </w:rPr>
        <w:t>升压</w:t>
      </w:r>
      <w:r>
        <w:rPr>
          <w:rFonts w:hint="default" w:ascii="Times New Roman" w:hAnsi="Times New Roman" w:eastAsia="宋体" w:cs="Times New Roman"/>
          <w:color w:val="auto"/>
          <w:sz w:val="28"/>
          <w:szCs w:val="28"/>
        </w:rPr>
        <w:t>负荷达到设计</w:t>
      </w:r>
      <w:r>
        <w:rPr>
          <w:rFonts w:hint="default" w:ascii="Times New Roman" w:hAnsi="Times New Roman" w:eastAsia="宋体" w:cs="Times New Roman"/>
          <w:color w:val="auto"/>
          <w:sz w:val="28"/>
          <w:szCs w:val="28"/>
          <w:lang w:eastAsia="zh-CN"/>
        </w:rPr>
        <w:t>升压</w:t>
      </w:r>
      <w:r>
        <w:rPr>
          <w:rFonts w:hint="default" w:ascii="Times New Roman" w:hAnsi="Times New Roman" w:eastAsia="宋体" w:cs="Times New Roman"/>
          <w:color w:val="auto"/>
          <w:sz w:val="28"/>
          <w:szCs w:val="28"/>
        </w:rPr>
        <w:t>能力75%以上（含75%）、环境保护设施运行正常的情况下，国家、地方污染物排放标准对</w:t>
      </w:r>
      <w:r>
        <w:rPr>
          <w:rFonts w:hint="default" w:ascii="Times New Roman" w:hAnsi="Times New Roman" w:eastAsia="宋体" w:cs="Times New Roman"/>
          <w:color w:val="auto"/>
          <w:sz w:val="28"/>
          <w:szCs w:val="28"/>
          <w:lang w:eastAsia="zh-CN"/>
        </w:rPr>
        <w:t>升压</w:t>
      </w:r>
      <w:r>
        <w:rPr>
          <w:rFonts w:hint="default" w:ascii="Times New Roman" w:hAnsi="Times New Roman" w:eastAsia="宋体" w:cs="Times New Roman"/>
          <w:color w:val="auto"/>
          <w:sz w:val="28"/>
          <w:szCs w:val="28"/>
        </w:rPr>
        <w:t>负荷另有规定的按标准规定执行。</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5.2.2 验收期间工况说明</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按照《建设项目竣工环境保护验收规范》（HJ/T405-2007）的规定，验收监测应在工况稳定、</w:t>
      </w:r>
      <w:r>
        <w:rPr>
          <w:rFonts w:hint="default" w:ascii="Times New Roman" w:hAnsi="Times New Roman" w:eastAsia="宋体" w:cs="Times New Roman"/>
          <w:color w:val="auto"/>
          <w:sz w:val="28"/>
          <w:szCs w:val="28"/>
          <w:lang w:eastAsia="zh-CN"/>
        </w:rPr>
        <w:t>升压</w:t>
      </w:r>
      <w:r>
        <w:rPr>
          <w:rFonts w:hint="default" w:ascii="Times New Roman" w:hAnsi="Times New Roman" w:eastAsia="宋体" w:cs="Times New Roman"/>
          <w:color w:val="auto"/>
          <w:sz w:val="28"/>
          <w:szCs w:val="28"/>
        </w:rPr>
        <w:t>负荷达到设计</w:t>
      </w:r>
      <w:r>
        <w:rPr>
          <w:rFonts w:hint="default" w:ascii="Times New Roman" w:hAnsi="Times New Roman" w:eastAsia="宋体" w:cs="Times New Roman"/>
          <w:color w:val="auto"/>
          <w:sz w:val="28"/>
          <w:szCs w:val="28"/>
          <w:lang w:eastAsia="zh-CN"/>
        </w:rPr>
        <w:t>升压</w:t>
      </w:r>
      <w:r>
        <w:rPr>
          <w:rFonts w:hint="default" w:ascii="Times New Roman" w:hAnsi="Times New Roman" w:eastAsia="宋体" w:cs="Times New Roman"/>
          <w:color w:val="auto"/>
          <w:sz w:val="28"/>
          <w:szCs w:val="28"/>
        </w:rPr>
        <w:t>能力75%以上（含75%），因此本次验收监测期间，</w:t>
      </w:r>
      <w:r>
        <w:rPr>
          <w:rFonts w:hint="default" w:ascii="Times New Roman" w:hAnsi="Times New Roman" w:eastAsia="宋体" w:cs="Times New Roman"/>
          <w:color w:val="auto"/>
          <w:sz w:val="28"/>
          <w:szCs w:val="28"/>
          <w:lang w:val="en-US" w:eastAsia="zh-CN"/>
        </w:rPr>
        <w:t>新疆哈密风电基地二期三塘湖第三风电场 B 区 200MW 项目正值生产季节，生产设备及环保设施</w:t>
      </w:r>
      <w:r>
        <w:rPr>
          <w:rFonts w:hint="default" w:ascii="Times New Roman" w:hAnsi="Times New Roman" w:eastAsia="宋体" w:cs="Times New Roman"/>
          <w:color w:val="auto"/>
          <w:sz w:val="28"/>
          <w:szCs w:val="28"/>
        </w:rPr>
        <w:t>运行正常。生产设备运行工况见表5-2-1。</w:t>
      </w:r>
    </w:p>
    <w:p>
      <w:pPr>
        <w:pStyle w:val="2"/>
        <w:spacing w:before="156" w:beforeLines="50" w:line="240" w:lineRule="auto"/>
        <w:ind w:right="0"/>
        <w:jc w:val="center"/>
        <w:outlineLvl w:val="9"/>
        <w:rPr>
          <w:rFonts w:hint="default" w:ascii="Times New Roman" w:hAnsi="Times New Roman" w:eastAsia="宋体" w:cs="Times New Roman"/>
          <w:b/>
          <w:bCs/>
          <w:color w:val="auto"/>
          <w:kern w:val="2"/>
        </w:rPr>
      </w:pPr>
      <w:r>
        <w:rPr>
          <w:rFonts w:hint="default" w:ascii="Times New Roman" w:hAnsi="Times New Roman" w:eastAsia="宋体" w:cs="Times New Roman"/>
          <w:b/>
          <w:bCs/>
          <w:color w:val="auto"/>
          <w:kern w:val="2"/>
        </w:rPr>
        <w:t>表5-2-1       验收监测期间</w:t>
      </w:r>
      <w:r>
        <w:rPr>
          <w:rFonts w:hint="default" w:ascii="Times New Roman" w:hAnsi="Times New Roman" w:eastAsia="宋体" w:cs="Times New Roman"/>
          <w:b/>
          <w:bCs/>
          <w:color w:val="auto"/>
          <w:kern w:val="2"/>
          <w:lang w:eastAsia="zh-CN"/>
        </w:rPr>
        <w:t>升压</w:t>
      </w:r>
      <w:r>
        <w:rPr>
          <w:rFonts w:hint="default" w:ascii="Times New Roman" w:hAnsi="Times New Roman" w:eastAsia="宋体" w:cs="Times New Roman"/>
          <w:b/>
          <w:bCs/>
          <w:color w:val="auto"/>
          <w:kern w:val="2"/>
        </w:rPr>
        <w:t>工况</w:t>
      </w:r>
    </w:p>
    <w:tbl>
      <w:tblPr>
        <w:tblStyle w:val="27"/>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485"/>
        <w:gridCol w:w="2130"/>
        <w:gridCol w:w="2025"/>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vAlign w:val="center"/>
          </w:tcPr>
          <w:p>
            <w:pPr>
              <w:pStyle w:val="33"/>
              <w:ind w:right="0"/>
              <w:jc w:val="center"/>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监测内容</w:t>
            </w:r>
          </w:p>
        </w:tc>
        <w:tc>
          <w:tcPr>
            <w:tcW w:w="1485" w:type="dxa"/>
            <w:vAlign w:val="center"/>
          </w:tcPr>
          <w:p>
            <w:pPr>
              <w:pStyle w:val="33"/>
              <w:ind w:right="0"/>
              <w:jc w:val="center"/>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监测日期</w:t>
            </w:r>
          </w:p>
        </w:tc>
        <w:tc>
          <w:tcPr>
            <w:tcW w:w="2130" w:type="dxa"/>
            <w:vAlign w:val="center"/>
          </w:tcPr>
          <w:p>
            <w:pPr>
              <w:pStyle w:val="33"/>
              <w:ind w:right="0"/>
              <w:jc w:val="center"/>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设计</w:t>
            </w:r>
            <w:r>
              <w:rPr>
                <w:rFonts w:hint="default" w:ascii="Times New Roman" w:hAnsi="Times New Roman" w:eastAsia="宋体" w:cs="Times New Roman"/>
                <w:b/>
                <w:bCs/>
                <w:color w:val="auto"/>
                <w:sz w:val="24"/>
                <w:lang w:eastAsia="zh-CN"/>
              </w:rPr>
              <w:t>升压</w:t>
            </w:r>
            <w:r>
              <w:rPr>
                <w:rFonts w:hint="default" w:ascii="Times New Roman" w:hAnsi="Times New Roman" w:eastAsia="宋体" w:cs="Times New Roman"/>
                <w:b/>
                <w:bCs/>
                <w:color w:val="auto"/>
                <w:sz w:val="24"/>
              </w:rPr>
              <w:t>量（</w:t>
            </w:r>
            <w:r>
              <w:rPr>
                <w:rFonts w:hint="default" w:ascii="Times New Roman" w:hAnsi="Times New Roman" w:eastAsia="宋体" w:cs="Times New Roman"/>
                <w:b/>
                <w:bCs/>
                <w:color w:val="auto"/>
                <w:sz w:val="24"/>
                <w:lang w:val="en-US" w:eastAsia="zh-CN"/>
              </w:rPr>
              <w:t>kv</w:t>
            </w:r>
            <w:r>
              <w:rPr>
                <w:rFonts w:hint="default" w:ascii="Times New Roman" w:hAnsi="Times New Roman" w:eastAsia="宋体" w:cs="Times New Roman"/>
                <w:b/>
                <w:bCs/>
                <w:color w:val="auto"/>
                <w:sz w:val="24"/>
              </w:rPr>
              <w:t>）</w:t>
            </w:r>
          </w:p>
        </w:tc>
        <w:tc>
          <w:tcPr>
            <w:tcW w:w="2025" w:type="dxa"/>
            <w:vAlign w:val="center"/>
          </w:tcPr>
          <w:p>
            <w:pPr>
              <w:pStyle w:val="33"/>
              <w:ind w:right="0"/>
              <w:jc w:val="both"/>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实际升压</w:t>
            </w:r>
            <w:r>
              <w:rPr>
                <w:rFonts w:hint="default" w:ascii="Times New Roman" w:hAnsi="Times New Roman" w:eastAsia="宋体" w:cs="Times New Roman"/>
                <w:b/>
                <w:bCs/>
                <w:color w:val="auto"/>
                <w:sz w:val="24"/>
              </w:rPr>
              <w:t>量（</w:t>
            </w:r>
            <w:r>
              <w:rPr>
                <w:rFonts w:hint="default" w:ascii="Times New Roman" w:hAnsi="Times New Roman" w:eastAsia="宋体" w:cs="Times New Roman"/>
                <w:b/>
                <w:bCs/>
                <w:color w:val="auto"/>
                <w:sz w:val="24"/>
                <w:lang w:val="en-US" w:eastAsia="zh-CN"/>
              </w:rPr>
              <w:t>kv</w:t>
            </w:r>
            <w:r>
              <w:rPr>
                <w:rFonts w:hint="default" w:ascii="Times New Roman" w:hAnsi="Times New Roman" w:eastAsia="宋体" w:cs="Times New Roman"/>
                <w:b/>
                <w:bCs/>
                <w:color w:val="auto"/>
                <w:sz w:val="24"/>
              </w:rPr>
              <w:t>）</w:t>
            </w:r>
          </w:p>
        </w:tc>
        <w:tc>
          <w:tcPr>
            <w:tcW w:w="1545" w:type="dxa"/>
            <w:vAlign w:val="center"/>
          </w:tcPr>
          <w:p>
            <w:pPr>
              <w:pStyle w:val="33"/>
              <w:ind w:right="0"/>
              <w:jc w:val="center"/>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323" w:type="dxa"/>
            <w:vMerge w:val="restart"/>
            <w:vAlign w:val="center"/>
          </w:tcPr>
          <w:p>
            <w:pPr>
              <w:pStyle w:val="33"/>
              <w:ind w:right="0"/>
              <w:jc w:val="center"/>
              <w:outlineLvl w:val="9"/>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升压</w:t>
            </w:r>
            <w:r>
              <w:rPr>
                <w:rFonts w:hint="default" w:ascii="Times New Roman" w:hAnsi="Times New Roman" w:eastAsia="宋体" w:cs="Times New Roman"/>
                <w:color w:val="auto"/>
                <w:sz w:val="24"/>
              </w:rPr>
              <w:t>量</w:t>
            </w:r>
          </w:p>
        </w:tc>
        <w:tc>
          <w:tcPr>
            <w:tcW w:w="1485" w:type="dxa"/>
            <w:vAlign w:val="center"/>
          </w:tcPr>
          <w:p>
            <w:pPr>
              <w:pStyle w:val="33"/>
              <w:ind w:right="0"/>
              <w:jc w:val="center"/>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13</w:t>
            </w:r>
            <w:r>
              <w:rPr>
                <w:rFonts w:hint="default" w:ascii="Times New Roman" w:hAnsi="Times New Roman" w:eastAsia="宋体" w:cs="Times New Roman"/>
                <w:color w:val="auto"/>
                <w:sz w:val="24"/>
              </w:rPr>
              <w:t>日</w:t>
            </w:r>
          </w:p>
        </w:tc>
        <w:tc>
          <w:tcPr>
            <w:tcW w:w="2130" w:type="dxa"/>
            <w:vAlign w:val="center"/>
          </w:tcPr>
          <w:p>
            <w:pPr>
              <w:pStyle w:val="33"/>
              <w:ind w:right="0"/>
              <w:jc w:val="center"/>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220</w:t>
            </w:r>
            <w:r>
              <w:rPr>
                <w:rFonts w:hint="default" w:ascii="Times New Roman" w:hAnsi="Times New Roman" w:eastAsia="宋体" w:cs="Times New Roman"/>
                <w:b/>
                <w:bCs/>
                <w:color w:val="auto"/>
                <w:sz w:val="24"/>
                <w:lang w:val="en-US" w:eastAsia="zh-CN"/>
              </w:rPr>
              <w:t>k</w:t>
            </w:r>
            <w:r>
              <w:rPr>
                <w:rFonts w:hint="eastAsia" w:ascii="Times New Roman" w:hAnsi="Times New Roman" w:eastAsia="宋体" w:cs="Times New Roman"/>
                <w:b/>
                <w:bCs/>
                <w:color w:val="auto"/>
                <w:sz w:val="24"/>
                <w:lang w:val="en-US" w:eastAsia="zh-CN"/>
              </w:rPr>
              <w:t>V</w:t>
            </w:r>
          </w:p>
        </w:tc>
        <w:tc>
          <w:tcPr>
            <w:tcW w:w="2025" w:type="dxa"/>
            <w:vAlign w:val="center"/>
          </w:tcPr>
          <w:p>
            <w:pPr>
              <w:pStyle w:val="33"/>
              <w:ind w:right="0"/>
              <w:jc w:val="center"/>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236</w:t>
            </w:r>
            <w:r>
              <w:rPr>
                <w:rFonts w:hint="default" w:ascii="Times New Roman" w:hAnsi="Times New Roman" w:eastAsia="宋体" w:cs="Times New Roman"/>
                <w:b/>
                <w:bCs/>
                <w:color w:val="auto"/>
                <w:sz w:val="24"/>
                <w:lang w:val="en-US" w:eastAsia="zh-CN"/>
              </w:rPr>
              <w:t>k</w:t>
            </w:r>
            <w:r>
              <w:rPr>
                <w:rFonts w:hint="eastAsia" w:ascii="Times New Roman" w:hAnsi="Times New Roman" w:eastAsia="宋体" w:cs="Times New Roman"/>
                <w:b/>
                <w:bCs/>
                <w:color w:val="auto"/>
                <w:sz w:val="24"/>
                <w:lang w:val="en-US" w:eastAsia="zh-CN"/>
              </w:rPr>
              <w:t>V</w:t>
            </w:r>
          </w:p>
        </w:tc>
        <w:tc>
          <w:tcPr>
            <w:tcW w:w="1545" w:type="dxa"/>
            <w:vAlign w:val="center"/>
          </w:tcPr>
          <w:p>
            <w:pPr>
              <w:pStyle w:val="33"/>
              <w:ind w:right="0"/>
              <w:jc w:val="center"/>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323" w:type="dxa"/>
            <w:vMerge w:val="continue"/>
            <w:vAlign w:val="center"/>
          </w:tcPr>
          <w:p>
            <w:pPr>
              <w:pStyle w:val="33"/>
              <w:ind w:right="0"/>
              <w:jc w:val="center"/>
              <w:outlineLvl w:val="9"/>
              <w:rPr>
                <w:rFonts w:hint="default" w:ascii="Times New Roman" w:hAnsi="Times New Roman" w:eastAsia="宋体" w:cs="Times New Roman"/>
                <w:color w:val="auto"/>
                <w:sz w:val="24"/>
              </w:rPr>
            </w:pPr>
          </w:p>
        </w:tc>
        <w:tc>
          <w:tcPr>
            <w:tcW w:w="1485" w:type="dxa"/>
            <w:vAlign w:val="center"/>
          </w:tcPr>
          <w:p>
            <w:pPr>
              <w:pStyle w:val="33"/>
              <w:ind w:right="0"/>
              <w:jc w:val="center"/>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14</w:t>
            </w:r>
            <w:r>
              <w:rPr>
                <w:rFonts w:hint="default" w:ascii="Times New Roman" w:hAnsi="Times New Roman" w:eastAsia="宋体" w:cs="Times New Roman"/>
                <w:color w:val="auto"/>
                <w:sz w:val="24"/>
              </w:rPr>
              <w:t>日</w:t>
            </w:r>
          </w:p>
        </w:tc>
        <w:tc>
          <w:tcPr>
            <w:tcW w:w="2130" w:type="dxa"/>
            <w:vAlign w:val="center"/>
          </w:tcPr>
          <w:p>
            <w:pPr>
              <w:pStyle w:val="33"/>
              <w:ind w:right="0"/>
              <w:jc w:val="center"/>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220</w:t>
            </w:r>
            <w:r>
              <w:rPr>
                <w:rFonts w:hint="default" w:ascii="Times New Roman" w:hAnsi="Times New Roman" w:eastAsia="宋体" w:cs="Times New Roman"/>
                <w:b/>
                <w:bCs/>
                <w:color w:val="auto"/>
                <w:sz w:val="24"/>
                <w:lang w:val="en-US" w:eastAsia="zh-CN"/>
              </w:rPr>
              <w:t>k</w:t>
            </w:r>
            <w:r>
              <w:rPr>
                <w:rFonts w:hint="eastAsia" w:ascii="Times New Roman" w:hAnsi="Times New Roman" w:eastAsia="宋体" w:cs="Times New Roman"/>
                <w:b/>
                <w:bCs/>
                <w:color w:val="auto"/>
                <w:sz w:val="24"/>
                <w:lang w:val="en-US" w:eastAsia="zh-CN"/>
              </w:rPr>
              <w:t>V</w:t>
            </w:r>
          </w:p>
        </w:tc>
        <w:tc>
          <w:tcPr>
            <w:tcW w:w="2025" w:type="dxa"/>
            <w:vAlign w:val="center"/>
          </w:tcPr>
          <w:p>
            <w:pPr>
              <w:pStyle w:val="33"/>
              <w:ind w:right="0"/>
              <w:jc w:val="center"/>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230</w:t>
            </w:r>
            <w:r>
              <w:rPr>
                <w:rFonts w:hint="default" w:ascii="Times New Roman" w:hAnsi="Times New Roman" w:eastAsia="宋体" w:cs="Times New Roman"/>
                <w:b/>
                <w:bCs/>
                <w:color w:val="auto"/>
                <w:sz w:val="24"/>
                <w:lang w:val="en-US" w:eastAsia="zh-CN"/>
              </w:rPr>
              <w:t>k</w:t>
            </w:r>
            <w:r>
              <w:rPr>
                <w:rFonts w:hint="eastAsia" w:ascii="Times New Roman" w:hAnsi="Times New Roman" w:eastAsia="宋体" w:cs="Times New Roman"/>
                <w:b/>
                <w:bCs/>
                <w:color w:val="auto"/>
                <w:sz w:val="24"/>
                <w:lang w:val="en-US" w:eastAsia="zh-CN"/>
              </w:rPr>
              <w:t>V</w:t>
            </w:r>
          </w:p>
        </w:tc>
        <w:tc>
          <w:tcPr>
            <w:tcW w:w="1545" w:type="dxa"/>
            <w:vAlign w:val="center"/>
          </w:tcPr>
          <w:p>
            <w:pPr>
              <w:pStyle w:val="33"/>
              <w:ind w:right="0"/>
              <w:jc w:val="center"/>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105</w:t>
            </w:r>
          </w:p>
        </w:tc>
      </w:tr>
    </w:tbl>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表5-2-1中所列数据表明，验收监测期间的主要生产设备负荷符合建设项目竣工环境保护验收监测的有关规定，满足验收监测条件。</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按照《调查方案》，2017年11月13～14日，新疆天蓝蓝环保技术服务有限公司派检测人员专程到新疆哈密风电基地二期三塘湖第三风电场B区200MW项目所在地开展验收监测，各项目监测布点见图5-2-1。</w:t>
      </w:r>
    </w:p>
    <w:p>
      <w:pPr>
        <w:pStyle w:val="2"/>
        <w:ind w:right="0"/>
        <w:jc w:val="center"/>
        <w:outlineLvl w:val="9"/>
        <w:rPr>
          <w:rFonts w:hint="default" w:ascii="Times New Roman" w:hAnsi="Times New Roman" w:eastAsia="宋体" w:cs="Times New Roman"/>
          <w:color w:val="auto"/>
          <w:sz w:val="28"/>
          <w:szCs w:val="28"/>
          <w:lang w:val="en-US" w:eastAsia="zh-CN"/>
        </w:rPr>
      </w:pPr>
    </w:p>
    <w:p>
      <w:pPr>
        <w:rPr>
          <w:rFonts w:hint="default" w:ascii="Times New Roman" w:hAnsi="Times New Roman" w:eastAsia="宋体" w:cs="Times New Roman"/>
          <w:color w:val="auto"/>
          <w:sz w:val="28"/>
          <w:szCs w:val="28"/>
          <w:lang w:val="en-US" w:eastAsia="zh-CN"/>
        </w:rPr>
      </w:pPr>
    </w:p>
    <w:p>
      <w:pPr>
        <w:pStyle w:val="2"/>
        <w:rPr>
          <w:rFonts w:hint="default" w:ascii="Times New Roman" w:hAnsi="Times New Roman" w:eastAsia="宋体" w:cs="Times New Roman"/>
          <w:color w:val="auto"/>
          <w:sz w:val="28"/>
          <w:szCs w:val="28"/>
          <w:lang w:val="en-US" w:eastAsia="zh-CN"/>
        </w:rPr>
      </w:pPr>
    </w:p>
    <w:p>
      <w:pPr>
        <w:pStyle w:val="2"/>
        <w:jc w:val="both"/>
        <w:rPr>
          <w:rFonts w:hint="default"/>
          <w:lang w:val="en-US" w:eastAsia="zh-CN"/>
        </w:rPr>
      </w:pPr>
      <w:r>
        <w:rPr>
          <w:rFonts w:hint="default" w:ascii="宋体" w:hAnsi="宋体" w:eastAsia="黑体"/>
          <w:kern w:val="0"/>
          <w:sz w:val="24"/>
          <w:szCs w:val="24"/>
          <w:lang w:val="en-US" w:eastAsia="zh-CN" w:bidi="ar-SA"/>
        </w:rPr>
        <w:pict>
          <v:shape id="图片 59" o:spid="_x0000_s1083" alt="监测点位图12.21" type="#_x0000_t75" style="height:360.65pt;width:425.8pt;rotation:0f;" o:ole="f" fillcolor="#FFFFFF" filled="f" o:preferrelative="t" stroked="f" coordorigin="0,0" coordsize="21600,21600">
            <v:fill on="f" color2="#FFFFFF" focus="0%"/>
            <v:imagedata gain="65536f" blacklevel="0f" gamma="0" o:title="监测点位图12.21" r:id="rId28"/>
            <o:lock v:ext="edit" position="f" selection="f" grouping="f" rotation="f" cropping="f" text="f" aspectratio="t"/>
            <w10:wrap type="none"/>
            <w10:anchorlock/>
          </v:shape>
        </w:pict>
      </w:r>
    </w:p>
    <w:p>
      <w:pPr>
        <w:pStyle w:val="2"/>
        <w:widowControl w:val="0"/>
        <w:wordWrap/>
        <w:adjustRightInd w:val="0"/>
        <w:snapToGrid w:val="0"/>
        <w:spacing w:before="157" w:beforeLines="50" w:after="157" w:afterLines="50" w:line="240" w:lineRule="auto"/>
        <w:ind w:left="0" w:leftChars="0" w:right="0" w:firstLine="0" w:firstLineChars="0"/>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b/>
          <w:bCs/>
          <w:color w:val="auto"/>
        </w:rPr>
        <w:t>图</w:t>
      </w:r>
      <w:r>
        <w:rPr>
          <w:rFonts w:hint="default" w:ascii="Times New Roman" w:hAnsi="Times New Roman" w:eastAsia="宋体" w:cs="Times New Roman"/>
          <w:b/>
          <w:bCs/>
          <w:color w:val="auto"/>
          <w:lang w:val="en-US" w:eastAsia="zh-CN"/>
        </w:rPr>
        <w:t>5-2-1</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eastAsia="zh-CN"/>
        </w:rPr>
        <w:t>监测</w:t>
      </w:r>
      <w:r>
        <w:rPr>
          <w:rFonts w:hint="default" w:ascii="Times New Roman" w:hAnsi="Times New Roman" w:eastAsia="宋体" w:cs="Times New Roman"/>
          <w:b/>
          <w:bCs/>
          <w:color w:val="auto"/>
        </w:rPr>
        <w:t>点位图</w:t>
      </w:r>
    </w:p>
    <w:p>
      <w:pPr>
        <w:pStyle w:val="41"/>
        <w:widowControl w:val="0"/>
        <w:numPr>
          <w:ilvl w:val="2"/>
          <w:numId w:val="0"/>
        </w:numPr>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color w:val="auto"/>
          <w:sz w:val="32"/>
          <w:szCs w:val="32"/>
        </w:rPr>
      </w:pPr>
      <w:bookmarkStart w:id="73" w:name="_Toc263845877"/>
      <w:bookmarkStart w:id="74" w:name="_Toc162332070"/>
      <w:bookmarkStart w:id="75" w:name="_Toc3615"/>
      <w:bookmarkStart w:id="76" w:name="_Toc5610"/>
      <w:r>
        <w:rPr>
          <w:rFonts w:hint="default" w:ascii="Times New Roman" w:hAnsi="Times New Roman" w:eastAsia="宋体" w:cs="Times New Roman"/>
          <w:color w:val="auto"/>
          <w:sz w:val="32"/>
          <w:szCs w:val="32"/>
        </w:rPr>
        <w:t xml:space="preserve">5.3 </w:t>
      </w:r>
      <w:r>
        <w:rPr>
          <w:rFonts w:hint="default" w:ascii="Times New Roman" w:hAnsi="Times New Roman" w:eastAsia="宋体" w:cs="Times New Roman"/>
          <w:color w:val="auto"/>
          <w:sz w:val="32"/>
          <w:szCs w:val="32"/>
          <w:lang w:eastAsia="zh-CN"/>
        </w:rPr>
        <w:t>电磁环境</w:t>
      </w:r>
      <w:r>
        <w:rPr>
          <w:rFonts w:hint="default" w:ascii="Times New Roman" w:hAnsi="Times New Roman" w:eastAsia="宋体" w:cs="Times New Roman"/>
          <w:color w:val="auto"/>
          <w:sz w:val="32"/>
          <w:szCs w:val="32"/>
        </w:rPr>
        <w:t>监测</w:t>
      </w:r>
      <w:bookmarkStart w:id="77" w:name="_Toc162332071"/>
      <w:bookmarkEnd w:id="73"/>
      <w:bookmarkEnd w:id="74"/>
      <w:r>
        <w:rPr>
          <w:rFonts w:hint="default" w:ascii="Times New Roman" w:hAnsi="Times New Roman" w:eastAsia="宋体" w:cs="Times New Roman"/>
          <w:color w:val="auto"/>
          <w:sz w:val="32"/>
          <w:szCs w:val="32"/>
        </w:rPr>
        <w:t>质量保证与监测结果</w:t>
      </w:r>
      <w:bookmarkEnd w:id="75"/>
      <w:bookmarkEnd w:id="76"/>
    </w:p>
    <w:bookmarkEnd w:id="77"/>
    <w:p>
      <w:pPr>
        <w:widowControl w:val="0"/>
        <w:wordWrap/>
        <w:adjustRightInd/>
        <w:snapToGrid/>
        <w:spacing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bookmarkStart w:id="78" w:name="_Toc3213"/>
      <w:r>
        <w:rPr>
          <w:rFonts w:hint="default" w:ascii="Times New Roman" w:hAnsi="Times New Roman" w:eastAsia="宋体" w:cs="Times New Roman"/>
          <w:b/>
          <w:bCs/>
          <w:color w:val="auto"/>
          <w:sz w:val="30"/>
          <w:szCs w:val="30"/>
        </w:rPr>
        <w:t>5.3.1 监测内容及频次</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根据项目实际情况，</w:t>
      </w:r>
      <w:r>
        <w:rPr>
          <w:rFonts w:hint="eastAsia" w:ascii="Times New Roman" w:hAnsi="Times New Roman" w:eastAsia="宋体" w:cs="Times New Roman"/>
          <w:color w:val="auto"/>
          <w:sz w:val="28"/>
          <w:szCs w:val="28"/>
          <w:lang w:val="en-US" w:eastAsia="zh-CN"/>
        </w:rPr>
        <w:t>依据</w:t>
      </w:r>
      <w:r>
        <w:rPr>
          <w:rFonts w:hint="default" w:ascii="Times New Roman" w:hAnsi="Times New Roman" w:eastAsia="宋体" w:cs="Times New Roman"/>
          <w:color w:val="auto"/>
          <w:sz w:val="28"/>
          <w:szCs w:val="28"/>
          <w:lang w:val="en-US" w:eastAsia="zh-CN"/>
        </w:rPr>
        <w:t>新疆维吾尔自治区辐射环境监督站2017年2月所做该建设项目竣工环境保护验收监测报告表的数据</w:t>
      </w:r>
      <w:r>
        <w:rPr>
          <w:rFonts w:hint="default" w:ascii="Times New Roman" w:hAnsi="Times New Roman" w:eastAsia="宋体" w:cs="Times New Roman"/>
          <w:color w:val="auto"/>
          <w:sz w:val="28"/>
          <w:szCs w:val="28"/>
        </w:rPr>
        <w:t>。监测内容详见表5-3-1。</w:t>
      </w:r>
    </w:p>
    <w:p>
      <w:pPr>
        <w:pStyle w:val="2"/>
        <w:widowControl w:val="0"/>
        <w:wordWrap/>
        <w:adjustRightInd w:val="0"/>
        <w:snapToGrid w:val="0"/>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5-3-1</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eastAsia="zh-CN"/>
        </w:rPr>
        <w:t>电磁环境</w:t>
      </w:r>
      <w:r>
        <w:rPr>
          <w:rFonts w:hint="default" w:ascii="Times New Roman" w:hAnsi="Times New Roman" w:eastAsia="宋体" w:cs="Times New Roman"/>
          <w:b/>
          <w:bCs/>
          <w:color w:val="auto"/>
        </w:rPr>
        <w:t>监测内容</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720"/>
        <w:gridCol w:w="1635"/>
        <w:gridCol w:w="2858"/>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06"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监测设备</w:t>
            </w:r>
          </w:p>
        </w:tc>
        <w:tc>
          <w:tcPr>
            <w:tcW w:w="720"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数量</w:t>
            </w:r>
          </w:p>
        </w:tc>
        <w:tc>
          <w:tcPr>
            <w:tcW w:w="1635"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点位</w:t>
            </w:r>
          </w:p>
        </w:tc>
        <w:tc>
          <w:tcPr>
            <w:tcW w:w="2858"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监测因子</w:t>
            </w:r>
          </w:p>
        </w:tc>
        <w:tc>
          <w:tcPr>
            <w:tcW w:w="2003"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5" w:hRule="atLeast"/>
          <w:jc w:val="center"/>
        </w:trPr>
        <w:tc>
          <w:tcPr>
            <w:tcW w:w="1306"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变压器等</w:t>
            </w:r>
          </w:p>
        </w:tc>
        <w:tc>
          <w:tcPr>
            <w:tcW w:w="720"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635"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厂界四周及断面</w:t>
            </w:r>
          </w:p>
        </w:tc>
        <w:tc>
          <w:tcPr>
            <w:tcW w:w="2858"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电场强度、磁感应强度</w:t>
            </w:r>
          </w:p>
        </w:tc>
        <w:tc>
          <w:tcPr>
            <w:tcW w:w="2003" w:type="dxa"/>
            <w:tcBorders>
              <w:tl2br w:val="nil"/>
              <w:tr2bl w:val="nil"/>
            </w:tcBorders>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次</w:t>
            </w:r>
          </w:p>
        </w:tc>
      </w:tr>
    </w:tbl>
    <w:p>
      <w:pPr>
        <w:widowControl w:val="0"/>
        <w:wordWrap/>
        <w:adjustRightInd/>
        <w:snapToGrid/>
        <w:spacing w:before="157" w:beforeLines="50" w:after="157" w:afterLines="50" w:line="520" w:lineRule="exact"/>
        <w:ind w:right="0" w:firstLine="602" w:firstLineChars="200"/>
        <w:jc w:val="both"/>
        <w:textAlignment w:val="auto"/>
        <w:outlineLvl w:val="2"/>
        <w:rPr>
          <w:rFonts w:hint="default" w:ascii="Times New Roman" w:hAnsi="Times New Roman" w:eastAsia="宋体" w:cs="Times New Roman"/>
          <w:b/>
          <w:bCs/>
          <w:color w:val="auto"/>
          <w:sz w:val="30"/>
          <w:szCs w:val="30"/>
        </w:rPr>
      </w:pP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5.3.2 监测方法及质控措施</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eastAsia="zh-CN"/>
        </w:rPr>
        <w:t>电磁环境</w:t>
      </w:r>
      <w:r>
        <w:rPr>
          <w:rFonts w:hint="default" w:ascii="Times New Roman" w:hAnsi="Times New Roman" w:eastAsia="宋体" w:cs="Times New Roman"/>
          <w:color w:val="auto"/>
          <w:sz w:val="28"/>
          <w:szCs w:val="28"/>
        </w:rPr>
        <w:t>采样及分析方法：</w:t>
      </w:r>
      <w:r>
        <w:rPr>
          <w:rFonts w:hint="default" w:ascii="Times New Roman" w:hAnsi="Times New Roman" w:eastAsia="宋体" w:cs="Times New Roman"/>
          <w:color w:val="auto"/>
          <w:sz w:val="28"/>
          <w:szCs w:val="28"/>
          <w:lang w:eastAsia="zh-CN"/>
        </w:rPr>
        <w:t>电场强度、磁感应强度</w:t>
      </w:r>
      <w:r>
        <w:rPr>
          <w:rFonts w:hint="default" w:ascii="Times New Roman" w:hAnsi="Times New Roman" w:eastAsia="宋体" w:cs="Times New Roman"/>
          <w:color w:val="auto"/>
          <w:sz w:val="28"/>
          <w:szCs w:val="28"/>
        </w:rPr>
        <w:t>采样按《</w:t>
      </w:r>
      <w:r>
        <w:rPr>
          <w:rFonts w:hint="default" w:ascii="Times New Roman" w:hAnsi="Times New Roman" w:eastAsia="宋体" w:cs="Times New Roman"/>
          <w:color w:val="auto"/>
          <w:sz w:val="28"/>
          <w:szCs w:val="28"/>
          <w:lang w:eastAsia="zh-CN"/>
        </w:rPr>
        <w:t>交流输变电工程电磁环境检测方法</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HJ/681-2013</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（试行）</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分析方法按照《</w:t>
      </w:r>
      <w:r>
        <w:rPr>
          <w:rFonts w:hint="default" w:ascii="Times New Roman" w:hAnsi="Times New Roman" w:eastAsia="宋体" w:cs="Times New Roman"/>
          <w:color w:val="auto"/>
          <w:sz w:val="28"/>
          <w:szCs w:val="28"/>
          <w:lang w:eastAsia="zh-CN"/>
        </w:rPr>
        <w:t>电磁环境控制限值</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GB8702-2014</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进行监测前必须校正监测仪器。</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进现场前相关检测部门对所有测试仪器进行校验。</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监测人员持证上岗，严格按照有关规范进行现场测试。</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监测期间</w:t>
      </w:r>
      <w:r>
        <w:rPr>
          <w:rFonts w:hint="default" w:ascii="Times New Roman" w:hAnsi="Times New Roman" w:eastAsia="宋体" w:cs="Times New Roman"/>
          <w:color w:val="auto"/>
          <w:sz w:val="28"/>
          <w:szCs w:val="28"/>
          <w:lang w:eastAsia="zh-CN"/>
        </w:rPr>
        <w:t>升压</w:t>
      </w:r>
      <w:r>
        <w:rPr>
          <w:rFonts w:hint="default" w:ascii="Times New Roman" w:hAnsi="Times New Roman" w:eastAsia="宋体" w:cs="Times New Roman"/>
          <w:color w:val="auto"/>
          <w:sz w:val="28"/>
          <w:szCs w:val="28"/>
        </w:rPr>
        <w:t>设备负荷必须达到设计负荷的75%以上。</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5.3.3 监测情况</w:t>
      </w:r>
    </w:p>
    <w:p>
      <w:pPr>
        <w:pStyle w:val="2"/>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kern w:val="2"/>
          <w:sz w:val="28"/>
          <w:szCs w:val="28"/>
          <w:lang w:val="en-US" w:eastAsia="zh-CN"/>
        </w:rPr>
      </w:pPr>
      <w:r>
        <w:rPr>
          <w:rFonts w:hint="default" w:ascii="Times New Roman" w:hAnsi="Times New Roman" w:eastAsia="宋体" w:cs="Times New Roman"/>
          <w:color w:val="auto"/>
          <w:kern w:val="2"/>
          <w:sz w:val="28"/>
          <w:szCs w:val="28"/>
          <w:lang w:val="en-US" w:eastAsia="zh-CN"/>
        </w:rPr>
        <w:t>本次对电磁环境厂界四周及断面进行了监测；厂界监测8个点，断面监测10个点。</w:t>
      </w:r>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5.3.4 监测结果</w:t>
      </w:r>
    </w:p>
    <w:p>
      <w:pPr>
        <w:widowControl w:val="0"/>
        <w:numPr>
          <w:ilvl w:val="0"/>
          <w:numId w:val="6"/>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kern w:val="2"/>
          <w:sz w:val="28"/>
          <w:szCs w:val="28"/>
          <w:lang w:val="en-US" w:eastAsia="zh-CN"/>
        </w:rPr>
        <w:t>电磁环境</w:t>
      </w:r>
      <w:r>
        <w:rPr>
          <w:rFonts w:hint="default" w:ascii="Times New Roman" w:hAnsi="Times New Roman" w:eastAsia="宋体" w:cs="Times New Roman"/>
          <w:color w:val="auto"/>
          <w:sz w:val="28"/>
          <w:szCs w:val="28"/>
          <w:lang w:val="en-US" w:eastAsia="zh-CN"/>
        </w:rPr>
        <w:t>监测结果</w:t>
      </w:r>
    </w:p>
    <w:p>
      <w:pPr>
        <w:widowControl w:val="0"/>
        <w:numPr>
          <w:numId w:val="0"/>
        </w:numPr>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color w:val="auto"/>
          <w:sz w:val="28"/>
          <w:szCs w:val="28"/>
        </w:rPr>
        <w:t>依据监测方案及现场实际</w:t>
      </w:r>
      <w:r>
        <w:rPr>
          <w:rFonts w:hint="default" w:ascii="Times New Roman" w:hAnsi="Times New Roman" w:eastAsia="宋体" w:cs="Times New Roman"/>
          <w:color w:val="auto"/>
          <w:sz w:val="28"/>
          <w:szCs w:val="28"/>
          <w:lang w:eastAsia="zh-CN"/>
        </w:rPr>
        <w:t>升压</w:t>
      </w:r>
      <w:r>
        <w:rPr>
          <w:rFonts w:hint="default" w:ascii="Times New Roman" w:hAnsi="Times New Roman" w:eastAsia="宋体" w:cs="Times New Roman"/>
          <w:color w:val="auto"/>
          <w:sz w:val="28"/>
          <w:szCs w:val="28"/>
        </w:rPr>
        <w:t>情况，本次验收对项目</w:t>
      </w:r>
      <w:r>
        <w:rPr>
          <w:rFonts w:hint="default" w:ascii="Times New Roman" w:hAnsi="Times New Roman" w:eastAsia="宋体" w:cs="Times New Roman"/>
          <w:color w:val="auto"/>
          <w:kern w:val="2"/>
          <w:sz w:val="28"/>
          <w:szCs w:val="28"/>
          <w:lang w:val="en-US" w:eastAsia="zh-CN"/>
        </w:rPr>
        <w:t>厂界四周及断面进行了监测</w:t>
      </w:r>
      <w:r>
        <w:rPr>
          <w:rFonts w:hint="default" w:ascii="Times New Roman" w:hAnsi="Times New Roman" w:eastAsia="宋体" w:cs="Times New Roman"/>
          <w:color w:val="auto"/>
          <w:sz w:val="28"/>
          <w:szCs w:val="28"/>
        </w:rPr>
        <w:t>。</w:t>
      </w:r>
      <w:r>
        <w:rPr>
          <w:rFonts w:hint="default" w:ascii="Times New Roman" w:hAnsi="Times New Roman" w:eastAsia="宋体" w:cs="Times New Roman"/>
          <w:b w:val="0"/>
          <w:bCs w:val="0"/>
          <w:color w:val="auto"/>
          <w:sz w:val="28"/>
          <w:szCs w:val="28"/>
        </w:rPr>
        <w:t>监测结果</w:t>
      </w:r>
      <w:r>
        <w:rPr>
          <w:rFonts w:hint="default" w:ascii="Times New Roman" w:hAnsi="Times New Roman" w:eastAsia="宋体" w:cs="Times New Roman"/>
          <w:b w:val="0"/>
          <w:bCs w:val="0"/>
          <w:color w:val="auto"/>
          <w:sz w:val="28"/>
          <w:szCs w:val="28"/>
          <w:lang w:eastAsia="zh-CN"/>
        </w:rPr>
        <w:t>及标准限值见</w:t>
      </w:r>
      <w:r>
        <w:rPr>
          <w:rFonts w:hint="default" w:ascii="Times New Roman" w:hAnsi="Times New Roman" w:eastAsia="宋体" w:cs="Times New Roman"/>
          <w:b w:val="0"/>
          <w:bCs w:val="0"/>
          <w:color w:val="auto"/>
          <w:sz w:val="28"/>
          <w:szCs w:val="28"/>
        </w:rPr>
        <w:t>表</w:t>
      </w:r>
      <w:r>
        <w:rPr>
          <w:rFonts w:hint="default" w:ascii="Times New Roman" w:hAnsi="Times New Roman" w:eastAsia="宋体" w:cs="Times New Roman"/>
          <w:b w:val="0"/>
          <w:bCs w:val="0"/>
          <w:color w:val="auto"/>
          <w:sz w:val="28"/>
          <w:szCs w:val="28"/>
          <w:lang w:val="en-US" w:eastAsia="zh-CN"/>
        </w:rPr>
        <w:t>5-3-2</w:t>
      </w:r>
      <w:r>
        <w:rPr>
          <w:rFonts w:hint="default" w:ascii="Times New Roman" w:hAnsi="Times New Roman" w:eastAsia="宋体" w:cs="Times New Roman"/>
          <w:color w:val="auto"/>
          <w:sz w:val="28"/>
          <w:szCs w:val="28"/>
        </w:rPr>
        <w:t>。</w:t>
      </w:r>
    </w:p>
    <w:p>
      <w:pPr>
        <w:widowControl w:val="0"/>
        <w:tabs>
          <w:tab w:val="center" w:pos="4153"/>
        </w:tabs>
        <w:wordWrap/>
        <w:adjustRightInd/>
        <w:snapToGrid/>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5-3-2</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eastAsia="zh-CN"/>
        </w:rPr>
        <w:t>电磁环境</w:t>
      </w:r>
      <w:r>
        <w:rPr>
          <w:rFonts w:hint="default" w:ascii="Times New Roman" w:hAnsi="Times New Roman" w:eastAsia="宋体" w:cs="Times New Roman"/>
          <w:b/>
          <w:bCs/>
          <w:color w:val="auto"/>
          <w:sz w:val="24"/>
        </w:rPr>
        <w:t>监测结果</w:t>
      </w:r>
    </w:p>
    <w:tbl>
      <w:tblPr>
        <w:tblStyle w:val="27"/>
        <w:tblW w:w="8518"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1275"/>
        <w:gridCol w:w="960"/>
        <w:gridCol w:w="885"/>
        <w:gridCol w:w="1230"/>
        <w:gridCol w:w="975"/>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测点编号</w:t>
            </w:r>
          </w:p>
        </w:tc>
        <w:tc>
          <w:tcPr>
            <w:tcW w:w="1275" w:type="dxa"/>
            <w:vAlign w:val="center"/>
          </w:tcPr>
          <w:p>
            <w:pPr>
              <w:pStyle w:val="42"/>
              <w:spacing w:line="240" w:lineRule="auto"/>
              <w:ind w:right="0"/>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电场强度</w:t>
            </w:r>
          </w:p>
          <w:p>
            <w:pPr>
              <w:pStyle w:val="42"/>
              <w:spacing w:line="240" w:lineRule="auto"/>
              <w:ind w:right="0"/>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v/m</w:t>
            </w:r>
            <w:r>
              <w:rPr>
                <w:rFonts w:hint="default" w:ascii="Times New Roman" w:hAnsi="Times New Roman" w:eastAsia="宋体" w:cs="Times New Roman"/>
                <w:b/>
                <w:bCs/>
                <w:color w:val="auto"/>
                <w:sz w:val="24"/>
                <w:szCs w:val="24"/>
                <w:lang w:eastAsia="zh-CN"/>
              </w:rPr>
              <w:t>）</w:t>
            </w:r>
          </w:p>
        </w:tc>
        <w:tc>
          <w:tcPr>
            <w:tcW w:w="960" w:type="dxa"/>
            <w:vAlign w:val="center"/>
          </w:tcPr>
          <w:p>
            <w:pPr>
              <w:pStyle w:val="42"/>
              <w:spacing w:line="240" w:lineRule="auto"/>
              <w:ind w:right="0"/>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标准值</w:t>
            </w:r>
          </w:p>
        </w:tc>
        <w:tc>
          <w:tcPr>
            <w:tcW w:w="885" w:type="dxa"/>
            <w:vAlign w:val="center"/>
          </w:tcPr>
          <w:p>
            <w:pPr>
              <w:pStyle w:val="42"/>
              <w:spacing w:line="240" w:lineRule="auto"/>
              <w:ind w:right="0"/>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达标</w:t>
            </w:r>
          </w:p>
          <w:p>
            <w:pPr>
              <w:pStyle w:val="42"/>
              <w:spacing w:line="240" w:lineRule="auto"/>
              <w:ind w:right="0"/>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情况</w:t>
            </w:r>
          </w:p>
        </w:tc>
        <w:tc>
          <w:tcPr>
            <w:tcW w:w="1230" w:type="dxa"/>
            <w:vAlign w:val="center"/>
          </w:tcPr>
          <w:p>
            <w:pPr>
              <w:pStyle w:val="42"/>
              <w:spacing w:line="240" w:lineRule="auto"/>
              <w:ind w:right="0"/>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磁场强度</w:t>
            </w:r>
          </w:p>
          <w:p>
            <w:pPr>
              <w:pStyle w:val="42"/>
              <w:spacing w:line="240" w:lineRule="auto"/>
              <w:ind w:right="0"/>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（µT）</w:t>
            </w:r>
          </w:p>
        </w:tc>
        <w:tc>
          <w:tcPr>
            <w:tcW w:w="975" w:type="dxa"/>
            <w:vAlign w:val="center"/>
          </w:tcPr>
          <w:p>
            <w:pPr>
              <w:pStyle w:val="42"/>
              <w:spacing w:line="240" w:lineRule="auto"/>
              <w:ind w:right="0"/>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标准值</w:t>
            </w:r>
          </w:p>
        </w:tc>
        <w:tc>
          <w:tcPr>
            <w:tcW w:w="905" w:type="dxa"/>
            <w:vAlign w:val="center"/>
          </w:tcPr>
          <w:p>
            <w:pPr>
              <w:pStyle w:val="42"/>
              <w:spacing w:line="240" w:lineRule="auto"/>
              <w:ind w:right="0"/>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达标</w:t>
            </w:r>
          </w:p>
          <w:p>
            <w:pPr>
              <w:pStyle w:val="42"/>
              <w:spacing w:line="240" w:lineRule="auto"/>
              <w:ind w:right="0"/>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西1</w:t>
            </w:r>
          </w:p>
        </w:tc>
        <w:tc>
          <w:tcPr>
            <w:tcW w:w="127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2.633</w:t>
            </w:r>
          </w:p>
        </w:tc>
        <w:tc>
          <w:tcPr>
            <w:tcW w:w="960" w:type="dxa"/>
            <w:vMerge w:val="restart"/>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4000</w:t>
            </w: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0.165</w:t>
            </w:r>
          </w:p>
        </w:tc>
        <w:tc>
          <w:tcPr>
            <w:tcW w:w="975" w:type="dxa"/>
            <w:vMerge w:val="restart"/>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100</w:t>
            </w:r>
          </w:p>
        </w:tc>
        <w:tc>
          <w:tcPr>
            <w:tcW w:w="905" w:type="dxa"/>
            <w:vAlign w:val="center"/>
          </w:tcPr>
          <w:p>
            <w:pPr>
              <w:pStyle w:val="42"/>
              <w:spacing w:line="240" w:lineRule="auto"/>
              <w:ind w:right="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jc w:val="center"/>
              <w:outlineLvl w:val="9"/>
              <w:rPr>
                <w:rFonts w:hint="default" w:ascii="Times New Roman" w:hAnsi="Times New Roman" w:eastAsia="宋体" w:cs="Times New Roman"/>
                <w:iCs/>
                <w:color w:val="auto"/>
                <w:sz w:val="24"/>
                <w:szCs w:val="24"/>
                <w:lang w:val="en-US" w:eastAsia="zh-CN"/>
              </w:rPr>
            </w:pPr>
            <w:r>
              <w:rPr>
                <w:rFonts w:hint="default" w:ascii="Times New Roman" w:hAnsi="Times New Roman" w:eastAsia="宋体" w:cs="Times New Roman"/>
                <w:iCs/>
                <w:color w:val="auto"/>
                <w:sz w:val="24"/>
                <w:szCs w:val="24"/>
                <w:lang w:val="en-US" w:eastAsia="zh-CN"/>
              </w:rPr>
              <w:t>西2</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3.341</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rPr>
            </w:pPr>
          </w:p>
        </w:tc>
        <w:tc>
          <w:tcPr>
            <w:tcW w:w="885" w:type="dxa"/>
            <w:vAlign w:val="center"/>
          </w:tcPr>
          <w:p>
            <w:pPr>
              <w:pStyle w:val="42"/>
              <w:spacing w:line="240" w:lineRule="auto"/>
              <w:ind w:right="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0.175</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东</w:t>
            </w:r>
            <w:r>
              <w:rPr>
                <w:rFonts w:hint="default" w:ascii="Times New Roman" w:hAnsi="Times New Roman" w:eastAsia="宋体" w:cs="Times New Roman"/>
                <w:iCs/>
                <w:color w:val="auto"/>
                <w:sz w:val="24"/>
                <w:szCs w:val="24"/>
                <w:lang w:val="en-US" w:eastAsia="zh-CN"/>
              </w:rPr>
              <w:t>1</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4.186</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0.629</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东</w:t>
            </w:r>
            <w:r>
              <w:rPr>
                <w:rFonts w:hint="default" w:ascii="Times New Roman" w:hAnsi="Times New Roman" w:eastAsia="宋体" w:cs="Times New Roman"/>
                <w:iCs/>
                <w:color w:val="auto"/>
                <w:sz w:val="24"/>
                <w:szCs w:val="24"/>
                <w:lang w:val="en-US" w:eastAsia="zh-CN"/>
              </w:rPr>
              <w:t>2</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84.504</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0.224</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w:t>
            </w:r>
            <w:r>
              <w:rPr>
                <w:rFonts w:hint="default" w:ascii="Times New Roman" w:hAnsi="Times New Roman" w:eastAsia="宋体" w:cs="Times New Roman"/>
                <w:iCs/>
                <w:color w:val="auto"/>
                <w:sz w:val="24"/>
                <w:szCs w:val="24"/>
                <w:lang w:val="en-US" w:eastAsia="zh-CN"/>
              </w:rPr>
              <w:t>1</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6.698</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0.182</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w:t>
            </w:r>
            <w:r>
              <w:rPr>
                <w:rFonts w:hint="default" w:ascii="Times New Roman" w:hAnsi="Times New Roman" w:eastAsia="宋体" w:cs="Times New Roman"/>
                <w:iCs/>
                <w:color w:val="auto"/>
                <w:sz w:val="24"/>
                <w:szCs w:val="24"/>
                <w:lang w:val="en-US" w:eastAsia="zh-CN"/>
              </w:rPr>
              <w:t>2</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25.926</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0.201</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北</w:t>
            </w:r>
            <w:r>
              <w:rPr>
                <w:rFonts w:hint="default" w:ascii="Times New Roman" w:hAnsi="Times New Roman" w:eastAsia="宋体" w:cs="Times New Roman"/>
                <w:iCs/>
                <w:color w:val="auto"/>
                <w:sz w:val="24"/>
                <w:szCs w:val="24"/>
                <w:lang w:val="en-US" w:eastAsia="zh-CN"/>
              </w:rPr>
              <w:t>1</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716.980</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1.111</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rPr>
            </w:pPr>
            <w:r>
              <w:rPr>
                <w:rFonts w:hint="default" w:ascii="Times New Roman" w:hAnsi="Times New Roman" w:eastAsia="宋体" w:cs="Times New Roman"/>
                <w:iCs/>
                <w:color w:val="auto"/>
                <w:sz w:val="24"/>
                <w:szCs w:val="24"/>
                <w:lang w:eastAsia="zh-CN"/>
              </w:rPr>
              <w:t>北</w:t>
            </w:r>
            <w:r>
              <w:rPr>
                <w:rFonts w:hint="default" w:ascii="Times New Roman" w:hAnsi="Times New Roman" w:eastAsia="宋体" w:cs="Times New Roman"/>
                <w:iCs/>
                <w:color w:val="auto"/>
                <w:sz w:val="24"/>
                <w:szCs w:val="24"/>
                <w:lang w:val="en-US" w:eastAsia="zh-CN"/>
              </w:rPr>
              <w:t>2</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4.777</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0.170</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5m远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5.287</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0.170</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10m远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5.158</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0.161</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15m远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5.446</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0.167</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20m远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5.389</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0.164</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25m远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5.077</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0.153</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30m远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5.854</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0.156</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35m远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6.430</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0.155</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40m远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7.663</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0.161</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45m远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6.183</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0.161</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288" w:type="dxa"/>
            <w:vAlign w:val="center"/>
          </w:tcPr>
          <w:p>
            <w:pPr>
              <w:pStyle w:val="42"/>
              <w:spacing w:line="240" w:lineRule="auto"/>
              <w:ind w:right="0"/>
              <w:outlineLvl w:val="9"/>
              <w:rPr>
                <w:rFonts w:hint="default" w:ascii="Times New Roman" w:hAnsi="Times New Roman" w:eastAsia="宋体" w:cs="Times New Roman"/>
                <w:iCs/>
                <w:color w:val="auto"/>
                <w:sz w:val="24"/>
                <w:szCs w:val="24"/>
                <w:lang w:eastAsia="zh-CN"/>
              </w:rPr>
            </w:pPr>
            <w:r>
              <w:rPr>
                <w:rFonts w:hint="default" w:ascii="Times New Roman" w:hAnsi="Times New Roman" w:eastAsia="宋体" w:cs="Times New Roman"/>
                <w:iCs/>
                <w:color w:val="auto"/>
                <w:sz w:val="24"/>
                <w:szCs w:val="24"/>
                <w:lang w:eastAsia="zh-CN"/>
              </w:rPr>
              <w:t>南侧断面（</w:t>
            </w:r>
            <w:r>
              <w:rPr>
                <w:rFonts w:hint="default" w:ascii="Times New Roman" w:hAnsi="Times New Roman" w:eastAsia="宋体" w:cs="Times New Roman"/>
                <w:iCs/>
                <w:color w:val="auto"/>
                <w:sz w:val="24"/>
                <w:szCs w:val="24"/>
                <w:lang w:val="en-US" w:eastAsia="zh-CN"/>
              </w:rPr>
              <w:t>50m远</w:t>
            </w:r>
            <w:r>
              <w:rPr>
                <w:rFonts w:hint="default" w:ascii="Times New Roman" w:hAnsi="Times New Roman" w:eastAsia="宋体" w:cs="Times New Roman"/>
                <w:iCs/>
                <w:color w:val="auto"/>
                <w:sz w:val="24"/>
                <w:szCs w:val="24"/>
                <w:lang w:eastAsia="zh-CN"/>
              </w:rPr>
              <w:t>）</w:t>
            </w:r>
          </w:p>
        </w:tc>
        <w:tc>
          <w:tcPr>
            <w:tcW w:w="1275"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6.200</w:t>
            </w:r>
          </w:p>
        </w:tc>
        <w:tc>
          <w:tcPr>
            <w:tcW w:w="960" w:type="dxa"/>
            <w:vMerge w:val="continue"/>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p>
        </w:tc>
        <w:tc>
          <w:tcPr>
            <w:tcW w:w="88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c>
          <w:tcPr>
            <w:tcW w:w="1230" w:type="dxa"/>
            <w:vAlign w:val="center"/>
          </w:tcPr>
          <w:p>
            <w:pPr>
              <w:pStyle w:val="42"/>
              <w:spacing w:line="240" w:lineRule="auto"/>
              <w:ind w:right="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0.162</w:t>
            </w:r>
          </w:p>
        </w:tc>
        <w:tc>
          <w:tcPr>
            <w:tcW w:w="975" w:type="dxa"/>
            <w:vMerge w:val="continue"/>
            <w:vAlign w:val="center"/>
          </w:tcPr>
          <w:p>
            <w:pPr>
              <w:pStyle w:val="2"/>
              <w:spacing w:line="240" w:lineRule="auto"/>
              <w:ind w:right="0"/>
              <w:jc w:val="center"/>
              <w:outlineLvl w:val="9"/>
              <w:rPr>
                <w:rFonts w:hint="default" w:ascii="Times New Roman" w:hAnsi="Times New Roman" w:eastAsia="宋体" w:cs="Times New Roman"/>
                <w:color w:val="auto"/>
                <w:lang w:val="en-US" w:eastAsia="zh-CN"/>
              </w:rPr>
            </w:pPr>
          </w:p>
        </w:tc>
        <w:tc>
          <w:tcPr>
            <w:tcW w:w="905" w:type="dxa"/>
            <w:vAlign w:val="center"/>
          </w:tcPr>
          <w:p>
            <w:pPr>
              <w:pStyle w:val="42"/>
              <w:spacing w:line="240" w:lineRule="auto"/>
              <w:ind w:right="0"/>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达标</w:t>
            </w:r>
          </w:p>
        </w:tc>
      </w:tr>
    </w:tbl>
    <w:p>
      <w:pPr>
        <w:keepNext/>
        <w:keepLines/>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color w:val="auto"/>
          <w:sz w:val="28"/>
          <w:szCs w:val="28"/>
        </w:rPr>
        <w:t>验收监测结果显示：项目区</w:t>
      </w:r>
      <w:r>
        <w:rPr>
          <w:rFonts w:hint="default" w:ascii="Times New Roman" w:hAnsi="Times New Roman" w:eastAsia="宋体" w:cs="Times New Roman"/>
          <w:color w:val="auto"/>
          <w:sz w:val="28"/>
          <w:szCs w:val="28"/>
          <w:lang w:eastAsia="zh-CN"/>
        </w:rPr>
        <w:t>电</w:t>
      </w:r>
      <w:r>
        <w:rPr>
          <w:rFonts w:hint="default" w:ascii="Times New Roman" w:hAnsi="Times New Roman" w:eastAsia="宋体" w:cs="Times New Roman"/>
          <w:color w:val="auto"/>
          <w:sz w:val="28"/>
          <w:szCs w:val="28"/>
          <w:lang w:val="en-US" w:eastAsia="zh-CN"/>
        </w:rPr>
        <w:t>场强度</w:t>
      </w:r>
      <w:r>
        <w:rPr>
          <w:rFonts w:hint="default" w:ascii="Times New Roman" w:hAnsi="Times New Roman" w:eastAsia="宋体" w:cs="Times New Roman"/>
          <w:color w:val="auto"/>
          <w:sz w:val="28"/>
          <w:szCs w:val="28"/>
        </w:rPr>
        <w:t>最大值为</w:t>
      </w:r>
      <w:r>
        <w:rPr>
          <w:rFonts w:hint="default" w:ascii="Times New Roman" w:hAnsi="Times New Roman" w:eastAsia="宋体" w:cs="Times New Roman"/>
          <w:color w:val="auto"/>
          <w:sz w:val="28"/>
          <w:szCs w:val="28"/>
          <w:lang w:val="en-US" w:eastAsia="zh-CN"/>
        </w:rPr>
        <w:t>716.980V/m，磁场强度最大值为1.111µT，位于场站西北处</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远低于</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电磁环境控制限值</w:t>
      </w:r>
      <w:r>
        <w:rPr>
          <w:rFonts w:hint="default" w:ascii="Times New Roman" w:hAnsi="Times New Roman" w:eastAsia="宋体" w:cs="Times New Roman"/>
          <w:color w:val="auto"/>
          <w:sz w:val="28"/>
          <w:szCs w:val="28"/>
        </w:rPr>
        <w:t>》（GB</w:t>
      </w:r>
      <w:r>
        <w:rPr>
          <w:rFonts w:hint="default" w:ascii="Times New Roman" w:hAnsi="Times New Roman" w:eastAsia="宋体" w:cs="Times New Roman"/>
          <w:color w:val="auto"/>
          <w:sz w:val="28"/>
          <w:szCs w:val="28"/>
          <w:lang w:val="en-US" w:eastAsia="zh-CN"/>
        </w:rPr>
        <w:t>8702-2014</w:t>
      </w:r>
      <w:r>
        <w:rPr>
          <w:rFonts w:hint="default" w:ascii="Times New Roman" w:hAnsi="Times New Roman" w:eastAsia="宋体" w:cs="Times New Roman"/>
          <w:color w:val="auto"/>
          <w:sz w:val="28"/>
          <w:szCs w:val="28"/>
        </w:rPr>
        <w:t>）限值要求。</w:t>
      </w:r>
    </w:p>
    <w:bookmarkEnd w:id="78"/>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79" w:name="_Toc15763"/>
      <w:bookmarkStart w:id="80" w:name="_Toc263845879"/>
      <w:bookmarkStart w:id="81" w:name="_Toc162332078"/>
      <w:bookmarkStart w:id="82" w:name="_Toc31755"/>
      <w:r>
        <w:rPr>
          <w:rFonts w:hint="default" w:ascii="Times New Roman" w:hAnsi="Times New Roman" w:eastAsia="宋体" w:cs="Times New Roman"/>
          <w:b/>
          <w:bCs/>
          <w:color w:val="auto"/>
          <w:sz w:val="32"/>
          <w:szCs w:val="32"/>
        </w:rPr>
        <w:t>5.</w:t>
      </w:r>
      <w:r>
        <w:rPr>
          <w:rFonts w:hint="eastAsia" w:ascii="Times New Roman" w:hAnsi="Times New Roman" w:eastAsia="宋体" w:cs="Times New Roman"/>
          <w:b/>
          <w:bCs/>
          <w:color w:val="auto"/>
          <w:sz w:val="32"/>
          <w:szCs w:val="32"/>
          <w:lang w:val="en-US" w:eastAsia="zh-CN"/>
        </w:rPr>
        <w:t>4</w:t>
      </w:r>
      <w:r>
        <w:rPr>
          <w:rFonts w:hint="default" w:ascii="Times New Roman" w:hAnsi="Times New Roman" w:eastAsia="宋体" w:cs="Times New Roman"/>
          <w:b/>
          <w:bCs/>
          <w:color w:val="auto"/>
          <w:sz w:val="32"/>
          <w:szCs w:val="32"/>
        </w:rPr>
        <w:t xml:space="preserve"> 噪声监测</w:t>
      </w:r>
      <w:bookmarkEnd w:id="79"/>
      <w:bookmarkEnd w:id="80"/>
      <w:bookmarkEnd w:id="81"/>
      <w:bookmarkEnd w:id="82"/>
    </w:p>
    <w:p>
      <w:pPr>
        <w:widowControl w:val="0"/>
        <w:wordWrap/>
        <w:adjustRightInd/>
        <w:snapToGrid/>
        <w:spacing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bookmarkStart w:id="83" w:name="_Toc162332079"/>
      <w:r>
        <w:rPr>
          <w:rFonts w:hint="default" w:ascii="Times New Roman" w:hAnsi="Times New Roman" w:eastAsia="宋体" w:cs="Times New Roman"/>
          <w:b/>
          <w:bCs/>
          <w:color w:val="auto"/>
          <w:sz w:val="30"/>
          <w:szCs w:val="30"/>
        </w:rPr>
        <w:t>5.</w:t>
      </w:r>
      <w:r>
        <w:rPr>
          <w:rFonts w:hint="eastAsia" w:ascii="Times New Roman" w:hAnsi="Times New Roman" w:eastAsia="宋体" w:cs="Times New Roman"/>
          <w:b/>
          <w:bCs/>
          <w:color w:val="auto"/>
          <w:sz w:val="30"/>
          <w:szCs w:val="30"/>
          <w:lang w:val="en-US" w:eastAsia="zh-CN"/>
        </w:rPr>
        <w:t>4</w:t>
      </w:r>
      <w:r>
        <w:rPr>
          <w:rFonts w:hint="default" w:ascii="Times New Roman" w:hAnsi="Times New Roman" w:eastAsia="宋体" w:cs="Times New Roman"/>
          <w:b/>
          <w:bCs/>
          <w:color w:val="auto"/>
          <w:sz w:val="30"/>
          <w:szCs w:val="30"/>
        </w:rPr>
        <w:t>.1 监测内容</w:t>
      </w:r>
      <w:bookmarkEnd w:id="83"/>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w:t>
      </w:r>
      <w:r>
        <w:rPr>
          <w:rFonts w:hint="default" w:ascii="Times New Roman" w:hAnsi="Times New Roman" w:eastAsia="宋体" w:cs="Times New Roman"/>
          <w:color w:val="auto"/>
          <w:sz w:val="28"/>
          <w:szCs w:val="28"/>
          <w:lang w:eastAsia="zh-CN"/>
        </w:rPr>
        <w:t>升压站</w:t>
      </w:r>
      <w:r>
        <w:rPr>
          <w:rFonts w:hint="default" w:ascii="Times New Roman" w:hAnsi="Times New Roman" w:eastAsia="宋体" w:cs="Times New Roman"/>
          <w:color w:val="auto"/>
          <w:sz w:val="28"/>
          <w:szCs w:val="28"/>
        </w:rPr>
        <w:t>运行情况及厂界外环境，噪声监测内容见表5-</w:t>
      </w:r>
      <w:r>
        <w:rPr>
          <w:rFonts w:hint="eastAsia"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-1。</w:t>
      </w:r>
    </w:p>
    <w:p>
      <w:pPr>
        <w:pStyle w:val="2"/>
        <w:widowControl w:val="0"/>
        <w:wordWrap/>
        <w:adjustRightInd w:val="0"/>
        <w:snapToGrid w:val="0"/>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-1        噪声监测内容</w:t>
      </w:r>
    </w:p>
    <w:tbl>
      <w:tblPr>
        <w:tblStyle w:val="27"/>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275"/>
        <w:gridCol w:w="246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792" w:type="dxa"/>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监测位置</w:t>
            </w:r>
          </w:p>
        </w:tc>
        <w:tc>
          <w:tcPr>
            <w:tcW w:w="1275" w:type="dxa"/>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监测点位</w:t>
            </w:r>
          </w:p>
        </w:tc>
        <w:tc>
          <w:tcPr>
            <w:tcW w:w="2460" w:type="dxa"/>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监测因子</w:t>
            </w:r>
          </w:p>
        </w:tc>
        <w:tc>
          <w:tcPr>
            <w:tcW w:w="2841" w:type="dxa"/>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1792" w:type="dxa"/>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厂界外1米</w:t>
            </w:r>
          </w:p>
        </w:tc>
        <w:tc>
          <w:tcPr>
            <w:tcW w:w="1275" w:type="dxa"/>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4个</w:t>
            </w:r>
          </w:p>
        </w:tc>
        <w:tc>
          <w:tcPr>
            <w:tcW w:w="2460" w:type="dxa"/>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等效连续A声级Leq</w:t>
            </w:r>
          </w:p>
        </w:tc>
        <w:tc>
          <w:tcPr>
            <w:tcW w:w="2841" w:type="dxa"/>
            <w:vAlign w:val="center"/>
          </w:tcPr>
          <w:p>
            <w:pPr>
              <w:pStyle w:val="42"/>
              <w:widowControl w:val="0"/>
              <w:wordWrap/>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昼夜间各1次，连续2天</w:t>
            </w:r>
          </w:p>
        </w:tc>
      </w:tr>
    </w:tbl>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bookmarkStart w:id="84" w:name="_Toc162332080"/>
      <w:r>
        <w:rPr>
          <w:rFonts w:hint="default" w:ascii="Times New Roman" w:hAnsi="Times New Roman" w:eastAsia="宋体" w:cs="Times New Roman"/>
          <w:b/>
          <w:bCs/>
          <w:color w:val="auto"/>
          <w:sz w:val="30"/>
          <w:szCs w:val="30"/>
        </w:rPr>
        <w:t>5.</w:t>
      </w:r>
      <w:r>
        <w:rPr>
          <w:rFonts w:hint="eastAsia" w:ascii="Times New Roman" w:hAnsi="Times New Roman" w:eastAsia="宋体" w:cs="Times New Roman"/>
          <w:b/>
          <w:bCs/>
          <w:color w:val="auto"/>
          <w:sz w:val="30"/>
          <w:szCs w:val="30"/>
          <w:lang w:val="en-US" w:eastAsia="zh-CN"/>
        </w:rPr>
        <w:t>4</w:t>
      </w:r>
      <w:r>
        <w:rPr>
          <w:rFonts w:hint="default" w:ascii="Times New Roman" w:hAnsi="Times New Roman" w:eastAsia="宋体" w:cs="Times New Roman"/>
          <w:b/>
          <w:bCs/>
          <w:color w:val="auto"/>
          <w:sz w:val="30"/>
          <w:szCs w:val="30"/>
        </w:rPr>
        <w:t>.2 监测方法及质控措施</w:t>
      </w:r>
      <w:bookmarkEnd w:id="84"/>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噪声监测根据《</w:t>
      </w:r>
      <w:r>
        <w:rPr>
          <w:rFonts w:hint="default" w:ascii="Times New Roman" w:hAnsi="Times New Roman" w:eastAsia="宋体" w:cs="Times New Roman"/>
          <w:color w:val="auto"/>
          <w:sz w:val="28"/>
          <w:szCs w:val="28"/>
          <w:lang w:eastAsia="zh-CN"/>
        </w:rPr>
        <w:t>风电场界噪声限值及监测规范</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DL/T1084</w:t>
      </w:r>
      <w:r>
        <w:rPr>
          <w:rFonts w:hint="default" w:ascii="Times New Roman" w:hAnsi="Times New Roman" w:eastAsia="宋体" w:cs="Times New Roman"/>
          <w:color w:val="auto"/>
          <w:sz w:val="28"/>
          <w:szCs w:val="28"/>
        </w:rPr>
        <w:t>-2008），测试仪器选用AWA6228A型多功能声级计。</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质量保证措施：</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噪声统计分析仪在每次使用前需进行校验；</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噪声统计分析仪使用时需加防风罩；</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避免在风速大于5m/s及雨雪天气下监测。</w:t>
      </w:r>
      <w:bookmarkStart w:id="85" w:name="_Toc162332081"/>
    </w:p>
    <w:p>
      <w:pPr>
        <w:widowControl w:val="0"/>
        <w:wordWrap/>
        <w:adjustRightInd/>
        <w:snapToGrid/>
        <w:spacing w:before="157" w:beforeLines="50" w:after="157" w:afterLines="50" w:line="52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5.</w:t>
      </w:r>
      <w:r>
        <w:rPr>
          <w:rFonts w:hint="eastAsia" w:ascii="Times New Roman" w:hAnsi="Times New Roman" w:eastAsia="宋体" w:cs="Times New Roman"/>
          <w:b/>
          <w:bCs/>
          <w:color w:val="auto"/>
          <w:sz w:val="30"/>
          <w:szCs w:val="30"/>
          <w:lang w:val="en-US" w:eastAsia="zh-CN"/>
        </w:rPr>
        <w:t>4</w:t>
      </w:r>
      <w:r>
        <w:rPr>
          <w:rFonts w:hint="default" w:ascii="Times New Roman" w:hAnsi="Times New Roman" w:eastAsia="宋体" w:cs="Times New Roman"/>
          <w:b/>
          <w:bCs/>
          <w:color w:val="auto"/>
          <w:sz w:val="30"/>
          <w:szCs w:val="30"/>
        </w:rPr>
        <w:t>.3 监测结果</w:t>
      </w:r>
      <w:bookmarkEnd w:id="85"/>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本次验收厂界噪声监测结果见表5-</w:t>
      </w:r>
      <w:r>
        <w:rPr>
          <w:rFonts w:hint="eastAsia"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-2。</w:t>
      </w:r>
    </w:p>
    <w:p>
      <w:pPr>
        <w:pStyle w:val="2"/>
        <w:spacing w:before="156" w:beforeLines="50" w:line="240" w:lineRule="auto"/>
        <w:ind w:right="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val="en-US" w:eastAsia="zh-CN"/>
        </w:rPr>
        <w:t>-</w:t>
      </w:r>
      <w:r>
        <w:rPr>
          <w:rFonts w:hint="default" w:ascii="Times New Roman" w:hAnsi="Times New Roman" w:eastAsia="宋体" w:cs="Times New Roman"/>
          <w:b/>
          <w:bCs/>
          <w:color w:val="auto"/>
        </w:rPr>
        <w:t xml:space="preserve">2    厂界噪声监测结果             </w:t>
      </w:r>
      <w:r>
        <w:rPr>
          <w:rFonts w:hint="default" w:ascii="Times New Roman" w:hAnsi="Times New Roman" w:eastAsia="宋体" w:cs="Times New Roman"/>
          <w:b w:val="0"/>
          <w:bCs w:val="0"/>
          <w:color w:val="auto"/>
        </w:rPr>
        <w:t>单位：dB（A）</w:t>
      </w:r>
    </w:p>
    <w:tbl>
      <w:tblPr>
        <w:tblStyle w:val="27"/>
        <w:tblW w:w="8073" w:type="dxa"/>
        <w:jc w:val="center"/>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825"/>
        <w:gridCol w:w="780"/>
        <w:gridCol w:w="750"/>
        <w:gridCol w:w="705"/>
        <w:gridCol w:w="750"/>
        <w:gridCol w:w="795"/>
        <w:gridCol w:w="765"/>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996" w:type="dxa"/>
            <w:vMerge w:val="restart"/>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监测点</w:t>
            </w:r>
          </w:p>
        </w:tc>
        <w:tc>
          <w:tcPr>
            <w:tcW w:w="3060" w:type="dxa"/>
            <w:gridSpan w:val="4"/>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昼  间</w:t>
            </w:r>
          </w:p>
        </w:tc>
        <w:tc>
          <w:tcPr>
            <w:tcW w:w="3017" w:type="dxa"/>
            <w:gridSpan w:val="4"/>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996" w:type="dxa"/>
            <w:vMerge w:val="continue"/>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p>
        </w:tc>
        <w:tc>
          <w:tcPr>
            <w:tcW w:w="825"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rPr>
              <w:t>月</w:t>
            </w:r>
          </w:p>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13</w:t>
            </w:r>
            <w:r>
              <w:rPr>
                <w:rFonts w:hint="default" w:ascii="Times New Roman" w:hAnsi="Times New Roman" w:eastAsia="宋体" w:cs="Times New Roman"/>
                <w:b/>
                <w:bCs/>
                <w:color w:val="auto"/>
                <w:sz w:val="24"/>
                <w:szCs w:val="24"/>
              </w:rPr>
              <w:t>日</w:t>
            </w:r>
          </w:p>
        </w:tc>
        <w:tc>
          <w:tcPr>
            <w:tcW w:w="780"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rPr>
              <w:t>月</w:t>
            </w:r>
          </w:p>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rPr>
              <w:t>日</w:t>
            </w:r>
          </w:p>
        </w:tc>
        <w:tc>
          <w:tcPr>
            <w:tcW w:w="750"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标准</w:t>
            </w:r>
          </w:p>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限值</w:t>
            </w:r>
          </w:p>
        </w:tc>
        <w:tc>
          <w:tcPr>
            <w:tcW w:w="705"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达标</w:t>
            </w:r>
          </w:p>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情况</w:t>
            </w:r>
          </w:p>
        </w:tc>
        <w:tc>
          <w:tcPr>
            <w:tcW w:w="750"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rPr>
              <w:t>月</w:t>
            </w:r>
          </w:p>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13</w:t>
            </w:r>
            <w:r>
              <w:rPr>
                <w:rFonts w:hint="default" w:ascii="Times New Roman" w:hAnsi="Times New Roman" w:eastAsia="宋体" w:cs="Times New Roman"/>
                <w:b/>
                <w:bCs/>
                <w:color w:val="auto"/>
                <w:sz w:val="24"/>
                <w:szCs w:val="24"/>
              </w:rPr>
              <w:t>日</w:t>
            </w:r>
          </w:p>
        </w:tc>
        <w:tc>
          <w:tcPr>
            <w:tcW w:w="795"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rPr>
              <w:t>月</w:t>
            </w:r>
          </w:p>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rPr>
              <w:t>日</w:t>
            </w:r>
          </w:p>
        </w:tc>
        <w:tc>
          <w:tcPr>
            <w:tcW w:w="765"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标准</w:t>
            </w:r>
          </w:p>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限值</w:t>
            </w:r>
          </w:p>
        </w:tc>
        <w:tc>
          <w:tcPr>
            <w:tcW w:w="707"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达标</w:t>
            </w:r>
          </w:p>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996"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厂界东外1米</w:t>
            </w:r>
          </w:p>
        </w:tc>
        <w:tc>
          <w:tcPr>
            <w:tcW w:w="82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42.3</w:t>
            </w:r>
          </w:p>
        </w:tc>
        <w:tc>
          <w:tcPr>
            <w:tcW w:w="780"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41.7</w:t>
            </w:r>
          </w:p>
        </w:tc>
        <w:tc>
          <w:tcPr>
            <w:tcW w:w="750" w:type="dxa"/>
            <w:vMerge w:val="restart"/>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lang w:val="en-US" w:eastAsia="zh-CN"/>
              </w:rPr>
              <w:t>5</w:t>
            </w:r>
          </w:p>
        </w:tc>
        <w:tc>
          <w:tcPr>
            <w:tcW w:w="705"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c>
          <w:tcPr>
            <w:tcW w:w="750"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42.1</w:t>
            </w:r>
          </w:p>
        </w:tc>
        <w:tc>
          <w:tcPr>
            <w:tcW w:w="79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41.9</w:t>
            </w:r>
          </w:p>
        </w:tc>
        <w:tc>
          <w:tcPr>
            <w:tcW w:w="765" w:type="dxa"/>
            <w:vMerge w:val="restart"/>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55</w:t>
            </w:r>
          </w:p>
        </w:tc>
        <w:tc>
          <w:tcPr>
            <w:tcW w:w="707"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996"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厂界南外1米</w:t>
            </w:r>
          </w:p>
        </w:tc>
        <w:tc>
          <w:tcPr>
            <w:tcW w:w="82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35.7</w:t>
            </w:r>
          </w:p>
        </w:tc>
        <w:tc>
          <w:tcPr>
            <w:tcW w:w="780"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35.3</w:t>
            </w:r>
          </w:p>
        </w:tc>
        <w:tc>
          <w:tcPr>
            <w:tcW w:w="750" w:type="dxa"/>
            <w:vMerge w:val="continue"/>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70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达标</w:t>
            </w:r>
          </w:p>
        </w:tc>
        <w:tc>
          <w:tcPr>
            <w:tcW w:w="750"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35.9</w:t>
            </w:r>
          </w:p>
        </w:tc>
        <w:tc>
          <w:tcPr>
            <w:tcW w:w="79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35.1</w:t>
            </w:r>
          </w:p>
        </w:tc>
        <w:tc>
          <w:tcPr>
            <w:tcW w:w="765" w:type="dxa"/>
            <w:vMerge w:val="continue"/>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707"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996"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厂界西外1米</w:t>
            </w:r>
          </w:p>
        </w:tc>
        <w:tc>
          <w:tcPr>
            <w:tcW w:w="82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33.9</w:t>
            </w:r>
          </w:p>
        </w:tc>
        <w:tc>
          <w:tcPr>
            <w:tcW w:w="780"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33.1</w:t>
            </w:r>
          </w:p>
        </w:tc>
        <w:tc>
          <w:tcPr>
            <w:tcW w:w="750" w:type="dxa"/>
            <w:vMerge w:val="continue"/>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70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达标</w:t>
            </w:r>
          </w:p>
        </w:tc>
        <w:tc>
          <w:tcPr>
            <w:tcW w:w="750"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33.8</w:t>
            </w:r>
          </w:p>
        </w:tc>
        <w:tc>
          <w:tcPr>
            <w:tcW w:w="79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33.3</w:t>
            </w:r>
          </w:p>
        </w:tc>
        <w:tc>
          <w:tcPr>
            <w:tcW w:w="765" w:type="dxa"/>
            <w:vMerge w:val="continue"/>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707"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996" w:type="dxa"/>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lang w:val="en-US" w:eastAsia="zh-CN"/>
              </w:rPr>
              <w:t>厂界北外1米</w:t>
            </w:r>
          </w:p>
        </w:tc>
        <w:tc>
          <w:tcPr>
            <w:tcW w:w="82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32.5</w:t>
            </w:r>
          </w:p>
        </w:tc>
        <w:tc>
          <w:tcPr>
            <w:tcW w:w="780"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32.3</w:t>
            </w:r>
          </w:p>
        </w:tc>
        <w:tc>
          <w:tcPr>
            <w:tcW w:w="750" w:type="dxa"/>
            <w:vMerge w:val="continue"/>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70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达标</w:t>
            </w:r>
          </w:p>
        </w:tc>
        <w:tc>
          <w:tcPr>
            <w:tcW w:w="750"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32.7</w:t>
            </w:r>
          </w:p>
        </w:tc>
        <w:tc>
          <w:tcPr>
            <w:tcW w:w="795"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32.1</w:t>
            </w:r>
          </w:p>
        </w:tc>
        <w:tc>
          <w:tcPr>
            <w:tcW w:w="765" w:type="dxa"/>
            <w:vMerge w:val="continue"/>
            <w:vAlign w:val="center"/>
          </w:tcPr>
          <w:p>
            <w:pPr>
              <w:pStyle w:val="42"/>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szCs w:val="24"/>
              </w:rPr>
            </w:pPr>
          </w:p>
        </w:tc>
        <w:tc>
          <w:tcPr>
            <w:tcW w:w="707" w:type="dxa"/>
            <w:vAlign w:val="center"/>
          </w:tcPr>
          <w:p>
            <w:pPr>
              <w:widowControl w:val="0"/>
              <w:wordWrap/>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达标</w:t>
            </w:r>
          </w:p>
        </w:tc>
      </w:tr>
    </w:tbl>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表5-</w:t>
      </w:r>
      <w:r>
        <w:rPr>
          <w:rFonts w:hint="eastAsia"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-2噪声监测结果显示，昼间噪声</w:t>
      </w:r>
      <w:r>
        <w:rPr>
          <w:rFonts w:hint="default" w:ascii="Times New Roman" w:hAnsi="Times New Roman" w:eastAsia="宋体" w:cs="Times New Roman"/>
          <w:color w:val="auto"/>
          <w:sz w:val="28"/>
          <w:szCs w:val="28"/>
          <w:lang w:val="en-US" w:eastAsia="zh-CN"/>
        </w:rPr>
        <w:t>为32.3～42.3dB（A</w:t>
      </w:r>
      <w:r>
        <w:rPr>
          <w:rFonts w:hint="default" w:ascii="Times New Roman" w:hAnsi="Times New Roman" w:eastAsia="宋体" w:cs="Times New Roman"/>
          <w:color w:val="auto"/>
          <w:sz w:val="28"/>
          <w:szCs w:val="28"/>
        </w:rPr>
        <w:t>），夜间噪声</w:t>
      </w:r>
      <w:r>
        <w:rPr>
          <w:rFonts w:hint="default" w:ascii="Times New Roman" w:hAnsi="Times New Roman" w:eastAsia="宋体" w:cs="Times New Roman"/>
          <w:color w:val="auto"/>
          <w:sz w:val="28"/>
          <w:szCs w:val="28"/>
          <w:lang w:val="en-US" w:eastAsia="zh-CN"/>
        </w:rPr>
        <w:t>为32.1～42.1dB（A），</w:t>
      </w:r>
      <w:r>
        <w:rPr>
          <w:rFonts w:hint="default" w:ascii="Times New Roman" w:hAnsi="Times New Roman" w:eastAsia="宋体" w:cs="Times New Roman"/>
          <w:color w:val="auto"/>
          <w:sz w:val="28"/>
          <w:szCs w:val="28"/>
        </w:rPr>
        <w:t>厂界外昼间及夜间噪声值均未超过《</w:t>
      </w:r>
      <w:r>
        <w:rPr>
          <w:rFonts w:hint="default" w:ascii="Times New Roman" w:hAnsi="Times New Roman" w:eastAsia="宋体" w:cs="Times New Roman"/>
          <w:color w:val="auto"/>
          <w:sz w:val="28"/>
          <w:szCs w:val="28"/>
          <w:lang w:eastAsia="zh-CN"/>
        </w:rPr>
        <w:t>风电场界噪声限值及监测规范</w:t>
      </w:r>
      <w:r>
        <w:rPr>
          <w:rFonts w:hint="default" w:ascii="Times New Roman" w:hAnsi="Times New Roman" w:eastAsia="宋体" w:cs="Times New Roman"/>
          <w:color w:val="auto"/>
          <w:sz w:val="28"/>
          <w:szCs w:val="28"/>
        </w:rPr>
        <w:t>》（GB12348-2008）</w:t>
      </w: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类</w:t>
      </w:r>
      <w:r>
        <w:rPr>
          <w:rFonts w:hint="default" w:ascii="Times New Roman" w:hAnsi="Times New Roman" w:eastAsia="宋体" w:cs="Times New Roman"/>
          <w:color w:val="auto"/>
          <w:sz w:val="28"/>
          <w:szCs w:val="28"/>
          <w:lang w:eastAsia="zh-CN"/>
        </w:rPr>
        <w:t>区域</w:t>
      </w:r>
      <w:r>
        <w:rPr>
          <w:rFonts w:hint="default" w:ascii="Times New Roman" w:hAnsi="Times New Roman" w:eastAsia="宋体" w:cs="Times New Roman"/>
          <w:color w:val="auto"/>
          <w:sz w:val="28"/>
          <w:szCs w:val="28"/>
        </w:rPr>
        <w:t>标准限值。</w:t>
      </w:r>
    </w:p>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lang w:eastAsia="zh-CN"/>
        </w:rPr>
      </w:pPr>
      <w:bookmarkStart w:id="86" w:name="_Toc7058"/>
      <w:r>
        <w:rPr>
          <w:rFonts w:hint="default" w:ascii="Times New Roman" w:hAnsi="Times New Roman" w:eastAsia="宋体" w:cs="Times New Roman"/>
          <w:b/>
          <w:bCs/>
          <w:color w:val="auto"/>
          <w:sz w:val="32"/>
          <w:szCs w:val="32"/>
        </w:rPr>
        <w:t>5.</w:t>
      </w:r>
      <w:r>
        <w:rPr>
          <w:rFonts w:hint="eastAsia" w:ascii="Times New Roman" w:hAnsi="Times New Roman" w:eastAsia="宋体" w:cs="Times New Roman"/>
          <w:b/>
          <w:bCs/>
          <w:color w:val="auto"/>
          <w:sz w:val="32"/>
          <w:szCs w:val="32"/>
          <w:lang w:val="en-US" w:eastAsia="zh-CN"/>
        </w:rPr>
        <w:t>5</w:t>
      </w:r>
      <w:r>
        <w:rPr>
          <w:rFonts w:hint="default" w:ascii="Times New Roman" w:hAnsi="Times New Roman" w:eastAsia="宋体" w:cs="Times New Roman"/>
          <w:b/>
          <w:bCs/>
          <w:color w:val="auto"/>
          <w:sz w:val="32"/>
          <w:szCs w:val="32"/>
        </w:rPr>
        <w:t xml:space="preserve"> </w:t>
      </w:r>
      <w:r>
        <w:rPr>
          <w:rFonts w:hint="default" w:ascii="Times New Roman" w:hAnsi="Times New Roman" w:eastAsia="宋体" w:cs="Times New Roman"/>
          <w:b/>
          <w:bCs/>
          <w:color w:val="auto"/>
          <w:sz w:val="32"/>
          <w:szCs w:val="32"/>
          <w:lang w:val="en-US" w:eastAsia="zh-CN"/>
        </w:rPr>
        <w:t>生态环境</w:t>
      </w:r>
      <w:r>
        <w:rPr>
          <w:rFonts w:hint="default" w:ascii="Times New Roman" w:hAnsi="Times New Roman" w:eastAsia="宋体" w:cs="Times New Roman"/>
          <w:b/>
          <w:bCs/>
          <w:color w:val="auto"/>
          <w:sz w:val="32"/>
          <w:szCs w:val="32"/>
        </w:rPr>
        <w:t>调查</w:t>
      </w:r>
      <w:bookmarkEnd w:id="86"/>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升压站占地面积10879.28m</w:t>
      </w:r>
      <w:r>
        <w:rPr>
          <w:rFonts w:hint="default" w:ascii="Times New Roman" w:hAnsi="Times New Roman" w:eastAsia="宋体" w:cs="Times New Roman"/>
          <w:color w:val="auto"/>
          <w:sz w:val="28"/>
          <w:szCs w:val="28"/>
          <w:vertAlign w:val="superscript"/>
          <w:lang w:val="en-US" w:eastAsia="zh-CN"/>
        </w:rPr>
        <w:t>2</w:t>
      </w:r>
      <w:r>
        <w:rPr>
          <w:rFonts w:hint="default" w:ascii="Times New Roman" w:hAnsi="Times New Roman" w:eastAsia="宋体" w:cs="Times New Roman"/>
          <w:color w:val="auto"/>
          <w:sz w:val="28"/>
          <w:szCs w:val="28"/>
          <w:lang w:val="en-US" w:eastAsia="zh-CN"/>
        </w:rPr>
        <w:t>；厂内检修道路70.5km，与第一风电场共建66km道路，道路占地面积813000m</w:t>
      </w:r>
      <w:r>
        <w:rPr>
          <w:rFonts w:hint="default" w:ascii="Times New Roman" w:hAnsi="Times New Roman" w:eastAsia="宋体" w:cs="Times New Roman"/>
          <w:color w:val="auto"/>
          <w:sz w:val="28"/>
          <w:szCs w:val="28"/>
          <w:vertAlign w:val="superscript"/>
          <w:lang w:val="en-US" w:eastAsia="zh-CN"/>
        </w:rPr>
        <w:t>2</w:t>
      </w:r>
      <w:r>
        <w:rPr>
          <w:rFonts w:hint="default" w:ascii="Times New Roman" w:hAnsi="Times New Roman" w:eastAsia="宋体" w:cs="Times New Roman"/>
          <w:color w:val="auto"/>
          <w:sz w:val="28"/>
          <w:szCs w:val="28"/>
          <w:lang w:val="en-US" w:eastAsia="zh-CN"/>
        </w:rPr>
        <w:t>；项目永久占地829897.28m</w:t>
      </w:r>
      <w:r>
        <w:rPr>
          <w:rFonts w:hint="default" w:ascii="Times New Roman" w:hAnsi="Times New Roman" w:eastAsia="宋体" w:cs="Times New Roman"/>
          <w:color w:val="auto"/>
          <w:sz w:val="28"/>
          <w:szCs w:val="28"/>
          <w:vertAlign w:val="superscript"/>
          <w:lang w:val="en-US" w:eastAsia="zh-CN"/>
        </w:rPr>
        <w:t>2</w:t>
      </w:r>
      <w:r>
        <w:rPr>
          <w:rFonts w:hint="default" w:ascii="Times New Roman" w:hAnsi="Times New Roman" w:eastAsia="宋体" w:cs="Times New Roman"/>
          <w:color w:val="auto"/>
          <w:sz w:val="28"/>
          <w:szCs w:val="28"/>
          <w:lang w:val="en-US" w:eastAsia="zh-CN"/>
        </w:rPr>
        <w:t>，改变了原有用地性质。</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项目区周边植被覆盖度较低，占地以外的植被类型主要为木本猪毛菜及疏叶骆驼刺，其余大部分为裸地，植被稀疏。</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经调查结果显示，项目区临时占地已进行平整和恢复，减少了水土流失；监控中心和升压站已进行了地面硬化</w:t>
      </w:r>
      <w:r>
        <w:rPr>
          <w:rFonts w:hint="default" w:ascii="Times New Roman" w:hAnsi="Times New Roman" w:eastAsia="宋体" w:cs="Times New Roman"/>
          <w:color w:val="auto"/>
          <w:sz w:val="28"/>
          <w:szCs w:val="28"/>
          <w:lang w:val="en-US" w:eastAsia="zh-CN"/>
        </w:rPr>
        <w:t>。</w:t>
      </w:r>
    </w:p>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87" w:name="_Toc2411"/>
      <w:r>
        <w:rPr>
          <w:rFonts w:hint="default" w:ascii="Times New Roman" w:hAnsi="Times New Roman" w:eastAsia="宋体" w:cs="Times New Roman"/>
          <w:b/>
          <w:bCs/>
          <w:color w:val="auto"/>
          <w:sz w:val="32"/>
          <w:szCs w:val="32"/>
          <w:lang w:val="en-US" w:eastAsia="zh-CN"/>
        </w:rPr>
        <w:t>5.</w:t>
      </w:r>
      <w:r>
        <w:rPr>
          <w:rFonts w:hint="eastAsia" w:ascii="Times New Roman" w:hAnsi="Times New Roman" w:eastAsia="宋体" w:cs="Times New Roman"/>
          <w:b/>
          <w:bCs/>
          <w:color w:val="auto"/>
          <w:sz w:val="32"/>
          <w:szCs w:val="32"/>
          <w:lang w:val="en-US" w:eastAsia="zh-CN"/>
        </w:rPr>
        <w:t xml:space="preserve">6 </w:t>
      </w:r>
      <w:r>
        <w:rPr>
          <w:rFonts w:hint="default" w:ascii="Times New Roman" w:hAnsi="Times New Roman" w:eastAsia="宋体" w:cs="Times New Roman"/>
          <w:b/>
          <w:bCs/>
          <w:color w:val="auto"/>
          <w:sz w:val="32"/>
          <w:szCs w:val="32"/>
        </w:rPr>
        <w:t>固体废物调查</w:t>
      </w:r>
      <w:bookmarkEnd w:id="87"/>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本项目固体废物</w:t>
      </w:r>
      <w:r>
        <w:rPr>
          <w:rFonts w:hint="default" w:ascii="Times New Roman" w:hAnsi="Times New Roman" w:eastAsia="宋体" w:cs="Times New Roman"/>
          <w:color w:val="auto"/>
          <w:sz w:val="28"/>
          <w:szCs w:val="28"/>
          <w:lang w:eastAsia="zh-CN"/>
        </w:rPr>
        <w:t>主要是设备维修时产生的废油、事故废油及生活垃圾。</w:t>
      </w:r>
      <w:r>
        <w:rPr>
          <w:rFonts w:hint="eastAsia" w:ascii="Times New Roman" w:hAnsi="Times New Roman" w:eastAsia="宋体" w:cs="Times New Roman"/>
          <w:color w:val="auto"/>
          <w:sz w:val="28"/>
          <w:szCs w:val="28"/>
          <w:lang w:val="en-US" w:eastAsia="zh-CN"/>
        </w:rPr>
        <w:t>经调查，验收期间未产生设备维修的废油、事故废油，在今后运行过程中，若有废油产生，产生的废油须</w:t>
      </w:r>
      <w:r>
        <w:rPr>
          <w:rFonts w:hint="default" w:ascii="Times New Roman" w:hAnsi="Times New Roman" w:eastAsia="宋体" w:cs="Times New Roman"/>
          <w:color w:val="auto"/>
          <w:sz w:val="28"/>
          <w:szCs w:val="28"/>
          <w:lang w:val="en-US" w:eastAsia="zh-CN"/>
        </w:rPr>
        <w:t>交由有资质的危废</w:t>
      </w:r>
      <w:r>
        <w:rPr>
          <w:rFonts w:hint="eastAsia" w:ascii="Times New Roman" w:hAnsi="Times New Roman" w:eastAsia="宋体" w:cs="Times New Roman"/>
          <w:color w:val="auto"/>
          <w:sz w:val="28"/>
          <w:szCs w:val="28"/>
          <w:lang w:val="en-US" w:eastAsia="zh-CN"/>
        </w:rPr>
        <w:t>处置</w:t>
      </w:r>
      <w:r>
        <w:rPr>
          <w:rFonts w:hint="default" w:ascii="Times New Roman" w:hAnsi="Times New Roman" w:eastAsia="宋体" w:cs="Times New Roman"/>
          <w:color w:val="auto"/>
          <w:sz w:val="28"/>
          <w:szCs w:val="28"/>
          <w:lang w:val="en-US" w:eastAsia="zh-CN"/>
        </w:rPr>
        <w:t>部门处理。</w:t>
      </w:r>
      <w:r>
        <w:rPr>
          <w:rFonts w:hint="eastAsia" w:ascii="Times New Roman" w:hAnsi="Times New Roman" w:eastAsia="宋体" w:cs="Times New Roman"/>
          <w:color w:val="auto"/>
          <w:sz w:val="28"/>
          <w:szCs w:val="28"/>
          <w:lang w:val="en-US" w:eastAsia="zh-CN"/>
        </w:rPr>
        <w:t>项目区内不设生活区，生活设施依托已建成的110kV升压站。产生的生活垃圾集中收集后定期清运至三塘湖生活垃圾填埋场。</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p>
    <w:p>
      <w:pPr>
        <w:pStyle w:val="2"/>
        <w:wordWrap/>
        <w:spacing w:line="520" w:lineRule="exact"/>
        <w:ind w:left="0" w:leftChars="0" w:right="0" w:firstLine="560" w:firstLineChars="200"/>
        <w:jc w:val="both"/>
        <w:textAlignment w:val="auto"/>
        <w:outlineLvl w:val="9"/>
        <w:rPr>
          <w:rFonts w:hint="default" w:ascii="Times New Roman" w:hAnsi="Times New Roman" w:eastAsia="宋体" w:cs="Times New Roman"/>
          <w:sz w:val="28"/>
          <w:szCs w:val="28"/>
          <w:lang w:eastAsia="zh-CN"/>
        </w:rPr>
      </w:pPr>
    </w:p>
    <w:p>
      <w:pPr>
        <w:rPr>
          <w:rFonts w:hint="default" w:ascii="Times New Roman" w:hAnsi="Times New Roman" w:eastAsia="宋体" w:cs="Times New Roman"/>
          <w:sz w:val="28"/>
          <w:szCs w:val="28"/>
          <w:lang w:eastAsia="zh-CN"/>
        </w:rPr>
      </w:pPr>
    </w:p>
    <w:p>
      <w:pPr>
        <w:pStyle w:val="2"/>
        <w:rPr>
          <w:rFonts w:hint="default" w:ascii="Times New Roman" w:hAnsi="Times New Roman" w:eastAsia="宋体" w:cs="Times New Roman"/>
          <w:sz w:val="28"/>
          <w:szCs w:val="28"/>
          <w:lang w:eastAsia="zh-CN"/>
        </w:rPr>
      </w:pPr>
    </w:p>
    <w:p>
      <w:pPr>
        <w:rPr>
          <w:rFonts w:hint="default" w:ascii="Times New Roman" w:hAnsi="Times New Roman" w:eastAsia="宋体" w:cs="Times New Roman"/>
          <w:sz w:val="28"/>
          <w:szCs w:val="28"/>
          <w:lang w:eastAsia="zh-CN"/>
        </w:rPr>
      </w:pPr>
    </w:p>
    <w:p>
      <w:pPr>
        <w:pStyle w:val="2"/>
        <w:rPr>
          <w:rFonts w:hint="default" w:ascii="Times New Roman" w:hAnsi="Times New Roman" w:eastAsia="宋体" w:cs="Times New Roman"/>
          <w:sz w:val="28"/>
          <w:szCs w:val="28"/>
          <w:lang w:eastAsia="zh-CN"/>
        </w:rPr>
      </w:pPr>
    </w:p>
    <w:p>
      <w:pPr>
        <w:rPr>
          <w:rFonts w:hint="default" w:ascii="Times New Roman" w:hAnsi="Times New Roman" w:eastAsia="宋体" w:cs="Times New Roman"/>
          <w:sz w:val="28"/>
          <w:szCs w:val="28"/>
          <w:lang w:eastAsia="zh-CN"/>
        </w:rPr>
      </w:pPr>
    </w:p>
    <w:p>
      <w:pPr>
        <w:pStyle w:val="2"/>
        <w:rPr>
          <w:rFonts w:hint="default" w:ascii="Times New Roman" w:hAnsi="Times New Roman" w:eastAsia="宋体" w:cs="Times New Roman"/>
          <w:sz w:val="28"/>
          <w:szCs w:val="28"/>
          <w:lang w:eastAsia="zh-CN"/>
        </w:rPr>
      </w:pPr>
    </w:p>
    <w:p>
      <w:pPr>
        <w:rPr>
          <w:rFonts w:hint="default" w:ascii="Times New Roman" w:hAnsi="Times New Roman" w:eastAsia="宋体" w:cs="Times New Roman"/>
          <w:sz w:val="28"/>
          <w:szCs w:val="28"/>
          <w:lang w:eastAsia="zh-CN"/>
        </w:rPr>
      </w:pPr>
    </w:p>
    <w:p>
      <w:pPr>
        <w:pStyle w:val="2"/>
        <w:rPr>
          <w:rFonts w:hint="default" w:ascii="Times New Roman" w:hAnsi="Times New Roman" w:eastAsia="宋体" w:cs="Times New Roman"/>
          <w:sz w:val="28"/>
          <w:szCs w:val="28"/>
          <w:lang w:eastAsia="zh-CN"/>
        </w:rPr>
      </w:pPr>
    </w:p>
    <w:p>
      <w:pPr>
        <w:rPr>
          <w:rFonts w:hint="default" w:ascii="Times New Roman" w:hAnsi="Times New Roman" w:eastAsia="宋体" w:cs="Times New Roman"/>
          <w:sz w:val="28"/>
          <w:szCs w:val="28"/>
          <w:lang w:eastAsia="zh-CN"/>
        </w:rPr>
      </w:pPr>
    </w:p>
    <w:p>
      <w:pPr>
        <w:pStyle w:val="2"/>
        <w:rPr>
          <w:rFonts w:hint="default" w:ascii="Times New Roman" w:hAnsi="Times New Roman" w:eastAsia="宋体" w:cs="Times New Roman"/>
          <w:sz w:val="28"/>
          <w:szCs w:val="28"/>
          <w:lang w:eastAsia="zh-CN"/>
        </w:rPr>
      </w:pPr>
    </w:p>
    <w:p>
      <w:pPr>
        <w:rPr>
          <w:rFonts w:hint="default" w:ascii="Times New Roman" w:hAnsi="Times New Roman" w:eastAsia="宋体" w:cs="Times New Roman"/>
          <w:sz w:val="28"/>
          <w:szCs w:val="28"/>
          <w:lang w:eastAsia="zh-CN"/>
        </w:rPr>
      </w:pPr>
    </w:p>
    <w:p>
      <w:pPr>
        <w:pStyle w:val="2"/>
        <w:rPr>
          <w:rFonts w:hint="default" w:ascii="Times New Roman" w:hAnsi="Times New Roman" w:eastAsia="宋体" w:cs="Times New Roman"/>
          <w:sz w:val="28"/>
          <w:szCs w:val="28"/>
          <w:lang w:eastAsia="zh-CN"/>
        </w:rPr>
      </w:pPr>
    </w:p>
    <w:p>
      <w:pPr>
        <w:rPr>
          <w:rFonts w:hint="default"/>
          <w:lang w:eastAsia="zh-CN"/>
        </w:rPr>
      </w:pPr>
    </w:p>
    <w:p>
      <w:pPr>
        <w:pStyle w:val="2"/>
        <w:rPr>
          <w:rFonts w:hint="default"/>
          <w:lang w:eastAsia="zh-CN"/>
        </w:rPr>
      </w:pPr>
    </w:p>
    <w:p>
      <w:pPr>
        <w:rPr>
          <w:rFonts w:hint="default"/>
          <w:lang w:eastAsia="zh-CN"/>
        </w:rPr>
      </w:pPr>
    </w:p>
    <w:p>
      <w:pPr>
        <w:widowControl w:val="0"/>
        <w:wordWrap/>
        <w:adjustRightInd/>
        <w:snapToGrid/>
        <w:spacing w:before="313" w:beforeLines="100" w:after="313" w:afterLines="100" w:line="520" w:lineRule="exact"/>
        <w:ind w:left="0" w:leftChars="0" w:right="0" w:firstLine="0" w:firstLineChars="0"/>
        <w:jc w:val="center"/>
        <w:textAlignment w:val="auto"/>
        <w:outlineLvl w:val="0"/>
        <w:rPr>
          <w:rFonts w:hint="eastAsia" w:ascii="黑体" w:hAnsi="黑体" w:eastAsia="黑体" w:cs="黑体"/>
          <w:color w:val="auto"/>
          <w:sz w:val="36"/>
          <w:szCs w:val="36"/>
        </w:rPr>
      </w:pPr>
      <w:bookmarkStart w:id="88" w:name="_Toc162332083"/>
      <w:bookmarkStart w:id="89" w:name="_Toc263845886"/>
      <w:bookmarkStart w:id="90" w:name="_Toc21507"/>
      <w:r>
        <w:rPr>
          <w:rFonts w:hint="eastAsia" w:ascii="黑体" w:hAnsi="黑体" w:eastAsia="黑体" w:cs="黑体"/>
          <w:color w:val="auto"/>
          <w:sz w:val="36"/>
          <w:szCs w:val="36"/>
        </w:rPr>
        <w:t>第六章  环境管理检查</w:t>
      </w:r>
      <w:bookmarkEnd w:id="88"/>
      <w:bookmarkEnd w:id="89"/>
      <w:bookmarkEnd w:id="90"/>
    </w:p>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91" w:name="_Toc263845887"/>
      <w:bookmarkStart w:id="92" w:name="_Toc2951"/>
      <w:r>
        <w:rPr>
          <w:rFonts w:hint="default" w:ascii="Times New Roman" w:hAnsi="Times New Roman" w:eastAsia="宋体" w:cs="Times New Roman"/>
          <w:b/>
          <w:bCs/>
          <w:color w:val="auto"/>
          <w:sz w:val="32"/>
          <w:szCs w:val="32"/>
        </w:rPr>
        <w:t>6.1 环境保护“三同时”制度执行情况</w:t>
      </w:r>
      <w:bookmarkEnd w:id="91"/>
      <w:bookmarkEnd w:id="92"/>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新疆哈密风电基地二期三塘湖第三风电场B区200MW项目，从项目立项至建设过程中能够贯彻国家建设项目环境管理制度，基本执行了环境影响评价制度和“三同时”制度。</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2014年3月，</w:t>
      </w:r>
      <w:r>
        <w:rPr>
          <w:rFonts w:hint="eastAsia" w:ascii="Times New Roman" w:hAnsi="Times New Roman" w:eastAsia="宋体" w:cs="Times New Roman"/>
          <w:color w:val="auto"/>
          <w:sz w:val="28"/>
          <w:szCs w:val="28"/>
          <w:lang w:val="en-US" w:eastAsia="zh-CN"/>
        </w:rPr>
        <w:t>龙源巴里坤风力发电有限公司</w:t>
      </w:r>
      <w:r>
        <w:rPr>
          <w:rFonts w:hint="default" w:ascii="Times New Roman" w:hAnsi="Times New Roman" w:eastAsia="宋体" w:cs="Times New Roman"/>
          <w:color w:val="auto"/>
          <w:sz w:val="28"/>
          <w:szCs w:val="28"/>
          <w:lang w:val="en-US" w:eastAsia="zh-CN"/>
        </w:rPr>
        <w:t>委托新疆鼎耀工程咨询有限公司编写完成了《新疆哈密风电基地二期三塘湖第三风电场B区200MW项目环境影响报告书》。该项目环境影响报告书由新疆维吾尔自治区环境环保厅以新环评价函[2014]422号文批复通过。</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2015年7月本项目开工建设，201</w:t>
      </w:r>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lang w:val="en-US" w:eastAsia="zh-CN"/>
        </w:rPr>
        <w:t>年</w:t>
      </w:r>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lang w:val="en-US" w:eastAsia="zh-CN"/>
        </w:rPr>
        <w:t>月</w:t>
      </w:r>
      <w:r>
        <w:rPr>
          <w:rFonts w:hint="eastAsia" w:ascii="Times New Roman" w:hAnsi="Times New Roman" w:eastAsia="宋体" w:cs="Times New Roman"/>
          <w:color w:val="auto"/>
          <w:sz w:val="28"/>
          <w:szCs w:val="28"/>
          <w:lang w:val="en-US" w:eastAsia="zh-CN"/>
        </w:rPr>
        <w:t>投入运营</w:t>
      </w:r>
      <w:r>
        <w:rPr>
          <w:rFonts w:hint="default" w:ascii="Times New Roman" w:hAnsi="Times New Roman" w:eastAsia="宋体" w:cs="Times New Roman"/>
          <w:color w:val="auto"/>
          <w:sz w:val="28"/>
          <w:szCs w:val="28"/>
          <w:lang w:val="en-US" w:eastAsia="zh-CN"/>
        </w:rPr>
        <w:t>。</w:t>
      </w:r>
    </w:p>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28"/>
          <w:szCs w:val="28"/>
        </w:rPr>
      </w:pPr>
      <w:bookmarkStart w:id="93" w:name="_Toc25605"/>
      <w:r>
        <w:rPr>
          <w:rFonts w:hint="default" w:ascii="Times New Roman" w:hAnsi="Times New Roman" w:eastAsia="宋体" w:cs="Times New Roman"/>
          <w:b/>
          <w:bCs/>
          <w:color w:val="auto"/>
          <w:sz w:val="32"/>
          <w:szCs w:val="32"/>
        </w:rPr>
        <w:t>6.2 环境管理机构设置及规章制度</w:t>
      </w:r>
      <w:bookmarkEnd w:id="93"/>
      <w:bookmarkStart w:id="94" w:name="_Toc263845889"/>
      <w:bookmarkStart w:id="95" w:name="_Toc148116877"/>
      <w:bookmarkStart w:id="96" w:name="_Toc162332085"/>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龙源巴里坤风力发电有限公司</w:t>
      </w:r>
      <w:r>
        <w:rPr>
          <w:rFonts w:hint="default" w:ascii="Times New Roman" w:hAnsi="Times New Roman" w:eastAsia="宋体" w:cs="Times New Roman"/>
          <w:color w:val="auto"/>
          <w:sz w:val="28"/>
          <w:szCs w:val="28"/>
          <w:lang w:val="en-US" w:eastAsia="zh-CN"/>
        </w:rPr>
        <w:t>为了更好的开展环境保护管理工作，成立有环境保护领导小组。由安环处长担任组长，成员包括各科室长。明确各部门职责，确定各级、各岗位的责任人。</w:t>
      </w:r>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val="en-US" w:eastAsia="zh-CN"/>
        </w:rPr>
        <w:t>龙源巴里坤风力发电有限公司</w:t>
      </w:r>
      <w:r>
        <w:rPr>
          <w:rFonts w:hint="default" w:ascii="Times New Roman" w:hAnsi="Times New Roman" w:eastAsia="宋体" w:cs="Times New Roman"/>
          <w:color w:val="auto"/>
          <w:sz w:val="28"/>
          <w:szCs w:val="28"/>
          <w:lang w:val="en-US" w:eastAsia="zh-CN"/>
        </w:rPr>
        <w:t>制定有《环保管理制度》《环保应急预案》等等。</w:t>
      </w:r>
    </w:p>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97" w:name="_Toc20124"/>
      <w:r>
        <w:rPr>
          <w:rFonts w:hint="default" w:ascii="Times New Roman" w:hAnsi="Times New Roman" w:eastAsia="宋体" w:cs="Times New Roman"/>
          <w:b/>
          <w:bCs/>
          <w:color w:val="auto"/>
          <w:sz w:val="32"/>
          <w:szCs w:val="32"/>
        </w:rPr>
        <w:t>6.</w:t>
      </w:r>
      <w:r>
        <w:rPr>
          <w:rFonts w:hint="default" w:ascii="Times New Roman" w:hAnsi="Times New Roman" w:eastAsia="宋体" w:cs="Times New Roman"/>
          <w:b/>
          <w:bCs/>
          <w:color w:val="auto"/>
          <w:sz w:val="32"/>
          <w:szCs w:val="32"/>
          <w:lang w:val="en-US" w:eastAsia="zh-CN"/>
        </w:rPr>
        <w:t>3</w:t>
      </w:r>
      <w:r>
        <w:rPr>
          <w:rFonts w:hint="default" w:ascii="Times New Roman" w:hAnsi="Times New Roman" w:eastAsia="宋体" w:cs="Times New Roman"/>
          <w:b/>
          <w:bCs/>
          <w:color w:val="auto"/>
          <w:sz w:val="32"/>
          <w:szCs w:val="32"/>
        </w:rPr>
        <w:t xml:space="preserve"> 施工期环境调查</w:t>
      </w:r>
      <w:bookmarkEnd w:id="97"/>
    </w:p>
    <w:p>
      <w:p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建设期间未发生污染纠纷及投诉事件。</w:t>
      </w:r>
      <w:r>
        <w:rPr>
          <w:rFonts w:hint="default" w:ascii="Times New Roman" w:hAnsi="Times New Roman" w:eastAsia="宋体" w:cs="Times New Roman"/>
          <w:color w:val="auto"/>
          <w:sz w:val="28"/>
          <w:szCs w:val="28"/>
          <w:lang w:val="en-US" w:eastAsia="zh-CN"/>
        </w:rPr>
        <w:t>验收调查期间，未见</w:t>
      </w:r>
      <w:r>
        <w:rPr>
          <w:rFonts w:hint="default" w:ascii="Times New Roman" w:hAnsi="Times New Roman" w:eastAsia="宋体" w:cs="Times New Roman"/>
          <w:color w:val="auto"/>
          <w:sz w:val="28"/>
          <w:szCs w:val="28"/>
        </w:rPr>
        <w:t>建筑垃圾，地表</w:t>
      </w:r>
      <w:r>
        <w:rPr>
          <w:rFonts w:hint="eastAsia" w:ascii="Times New Roman" w:hAnsi="Times New Roman" w:eastAsia="宋体" w:cs="Times New Roman"/>
          <w:color w:val="auto"/>
          <w:sz w:val="28"/>
          <w:szCs w:val="28"/>
          <w:lang w:eastAsia="zh-CN"/>
        </w:rPr>
        <w:t>已</w:t>
      </w:r>
      <w:r>
        <w:rPr>
          <w:rFonts w:hint="default" w:ascii="Times New Roman" w:hAnsi="Times New Roman" w:eastAsia="宋体" w:cs="Times New Roman"/>
          <w:color w:val="auto"/>
          <w:sz w:val="28"/>
          <w:szCs w:val="28"/>
          <w:lang w:val="en-US" w:eastAsia="zh-CN"/>
        </w:rPr>
        <w:t>得到</w:t>
      </w:r>
      <w:r>
        <w:rPr>
          <w:rFonts w:hint="default" w:ascii="Times New Roman" w:hAnsi="Times New Roman" w:eastAsia="宋体" w:cs="Times New Roman"/>
          <w:color w:val="auto"/>
          <w:sz w:val="28"/>
          <w:szCs w:val="28"/>
        </w:rPr>
        <w:t>恢复。</w:t>
      </w:r>
    </w:p>
    <w:bookmarkEnd w:id="94"/>
    <w:bookmarkEnd w:id="95"/>
    <w:bookmarkEnd w:id="96"/>
    <w:p>
      <w:pPr>
        <w:pStyle w:val="30"/>
        <w:widowControl/>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color w:val="auto"/>
          <w:sz w:val="32"/>
          <w:szCs w:val="32"/>
          <w:lang w:val="en-US" w:eastAsia="zh-CN"/>
        </w:rPr>
      </w:pPr>
      <w:bookmarkStart w:id="98" w:name="_Toc496881482"/>
      <w:bookmarkStart w:id="99" w:name="_Toc162332088"/>
      <w:bookmarkStart w:id="100" w:name="_Toc148116880"/>
      <w:bookmarkStart w:id="101" w:name="_Toc263845892"/>
      <w:bookmarkStart w:id="102" w:name="_Toc7957"/>
      <w:bookmarkStart w:id="103" w:name="_Toc162332089"/>
      <w:bookmarkStart w:id="104" w:name="_Toc263845893"/>
      <w:bookmarkStart w:id="105" w:name="_Toc263845894"/>
      <w:r>
        <w:rPr>
          <w:rFonts w:hint="default" w:ascii="Times New Roman" w:hAnsi="Times New Roman" w:eastAsia="宋体" w:cs="Times New Roman"/>
          <w:b/>
          <w:color w:val="auto"/>
          <w:sz w:val="32"/>
          <w:szCs w:val="32"/>
          <w:lang w:val="en-US" w:eastAsia="zh-CN"/>
        </w:rPr>
        <w:t>6.4 事故应急预案</w:t>
      </w:r>
      <w:bookmarkEnd w:id="98"/>
      <w:bookmarkEnd w:id="99"/>
      <w:bookmarkEnd w:id="100"/>
      <w:bookmarkEnd w:id="101"/>
      <w:bookmarkEnd w:id="102"/>
    </w:p>
    <w:p>
      <w:p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龙源巴里坤风力发电有限公司</w:t>
      </w:r>
      <w:r>
        <w:rPr>
          <w:rFonts w:hint="default" w:ascii="Times New Roman" w:hAnsi="Times New Roman" w:eastAsia="宋体" w:cs="Times New Roman"/>
          <w:color w:val="auto"/>
          <w:sz w:val="28"/>
          <w:szCs w:val="28"/>
          <w:lang w:eastAsia="zh-CN"/>
        </w:rPr>
        <w:t>在进行试生产</w:t>
      </w:r>
      <w:r>
        <w:rPr>
          <w:rFonts w:hint="default" w:ascii="Times New Roman" w:hAnsi="Times New Roman" w:eastAsia="宋体" w:cs="Times New Roman"/>
          <w:color w:val="auto"/>
          <w:sz w:val="28"/>
          <w:szCs w:val="28"/>
          <w:lang w:val="en-US" w:eastAsia="zh-CN"/>
        </w:rPr>
        <w:t>阶段，</w:t>
      </w:r>
      <w:r>
        <w:rPr>
          <w:rFonts w:hint="default" w:ascii="Times New Roman" w:hAnsi="Times New Roman" w:eastAsia="宋体" w:cs="Times New Roman"/>
          <w:color w:val="auto"/>
          <w:sz w:val="28"/>
          <w:szCs w:val="28"/>
          <w:lang w:eastAsia="zh-CN"/>
        </w:rPr>
        <w:t>制定了《环保应急预案》。成立了应急组织机构，明确了责任及处置办法。该《环保应急预案》</w:t>
      </w:r>
      <w:r>
        <w:rPr>
          <w:rFonts w:hint="eastAsia" w:ascii="Times New Roman" w:hAnsi="Times New Roman" w:eastAsia="宋体" w:cs="Times New Roman"/>
          <w:color w:val="auto"/>
          <w:sz w:val="28"/>
          <w:szCs w:val="28"/>
          <w:lang w:val="en-US" w:eastAsia="zh-CN"/>
        </w:rPr>
        <w:t>已</w:t>
      </w:r>
      <w:r>
        <w:rPr>
          <w:rFonts w:hint="default" w:ascii="Times New Roman" w:hAnsi="Times New Roman" w:eastAsia="宋体" w:cs="Times New Roman"/>
          <w:color w:val="auto"/>
          <w:sz w:val="28"/>
          <w:szCs w:val="28"/>
          <w:lang w:val="en-US" w:eastAsia="zh-CN"/>
        </w:rPr>
        <w:t>在环保部门进行备案。</w:t>
      </w:r>
    </w:p>
    <w:p>
      <w:pPr>
        <w:pStyle w:val="30"/>
        <w:widowControl/>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color w:val="auto"/>
          <w:sz w:val="28"/>
          <w:szCs w:val="28"/>
        </w:rPr>
      </w:pPr>
      <w:bookmarkStart w:id="106" w:name="_Toc30621"/>
      <w:bookmarkStart w:id="107" w:name="_Toc496881483"/>
      <w:r>
        <w:rPr>
          <w:rFonts w:hint="default" w:ascii="Times New Roman" w:hAnsi="Times New Roman" w:eastAsia="宋体" w:cs="Times New Roman"/>
          <w:b/>
          <w:color w:val="auto"/>
          <w:sz w:val="32"/>
          <w:szCs w:val="32"/>
          <w:lang w:val="en-US" w:eastAsia="zh-CN"/>
        </w:rPr>
        <w:t>6</w:t>
      </w:r>
      <w:r>
        <w:rPr>
          <w:rFonts w:hint="default" w:ascii="Times New Roman" w:hAnsi="Times New Roman" w:eastAsia="宋体" w:cs="Times New Roman"/>
          <w:b/>
          <w:color w:val="auto"/>
          <w:sz w:val="32"/>
          <w:szCs w:val="32"/>
        </w:rPr>
        <w:t>.</w:t>
      </w:r>
      <w:bookmarkStart w:id="108" w:name="_Toc162332090"/>
      <w:r>
        <w:rPr>
          <w:rFonts w:hint="default" w:ascii="Times New Roman" w:hAnsi="Times New Roman" w:eastAsia="宋体" w:cs="Times New Roman"/>
          <w:b/>
          <w:color w:val="auto"/>
          <w:sz w:val="32"/>
          <w:szCs w:val="32"/>
          <w:lang w:val="en-US" w:eastAsia="zh-CN"/>
        </w:rPr>
        <w:t xml:space="preserve">5 </w:t>
      </w:r>
      <w:r>
        <w:rPr>
          <w:rFonts w:hint="default" w:ascii="Times New Roman" w:hAnsi="Times New Roman" w:eastAsia="宋体" w:cs="Times New Roman"/>
          <w:b/>
          <w:color w:val="auto"/>
          <w:sz w:val="32"/>
          <w:szCs w:val="32"/>
        </w:rPr>
        <w:t>排污口规范化</w:t>
      </w:r>
      <w:bookmarkEnd w:id="106"/>
      <w:bookmarkEnd w:id="107"/>
      <w:bookmarkEnd w:id="108"/>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w:t>
      </w:r>
      <w:r>
        <w:rPr>
          <w:rFonts w:hint="default" w:ascii="Times New Roman" w:hAnsi="Times New Roman" w:eastAsia="宋体" w:cs="Times New Roman"/>
          <w:color w:val="auto"/>
          <w:sz w:val="28"/>
          <w:szCs w:val="28"/>
          <w:highlight w:val="none"/>
          <w:lang w:eastAsia="zh-CN"/>
        </w:rPr>
        <w:t>电磁环境</w:t>
      </w:r>
      <w:r>
        <w:rPr>
          <w:rFonts w:hint="eastAsia" w:ascii="Times New Roman" w:hAnsi="Times New Roman" w:eastAsia="宋体" w:cs="Times New Roman"/>
          <w:color w:val="auto"/>
          <w:sz w:val="28"/>
          <w:szCs w:val="28"/>
          <w:highlight w:val="none"/>
          <w:lang w:eastAsia="zh-CN"/>
        </w:rPr>
        <w:t>、应急事故池、生活垃圾收集点、地埋式一体化污水处理设施等均</w:t>
      </w:r>
      <w:r>
        <w:rPr>
          <w:rFonts w:hint="default" w:ascii="Times New Roman" w:hAnsi="Times New Roman" w:eastAsia="宋体" w:cs="Times New Roman"/>
          <w:color w:val="auto"/>
          <w:sz w:val="28"/>
          <w:szCs w:val="28"/>
          <w:highlight w:val="none"/>
        </w:rPr>
        <w:t>贴有标识牌</w:t>
      </w:r>
      <w:r>
        <w:rPr>
          <w:rFonts w:hint="default" w:ascii="Times New Roman" w:hAnsi="Times New Roman" w:eastAsia="宋体" w:cs="Times New Roman"/>
          <w:color w:val="auto"/>
          <w:sz w:val="28"/>
          <w:szCs w:val="28"/>
          <w:highlight w:val="none"/>
          <w:lang w:eastAsia="zh-CN"/>
        </w:rPr>
        <w:t>。</w:t>
      </w:r>
    </w:p>
    <w:bookmarkEnd w:id="103"/>
    <w:bookmarkEnd w:id="104"/>
    <w:bookmarkEnd w:id="105"/>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109" w:name="_Toc263845895"/>
      <w:bookmarkStart w:id="110" w:name="_Toc148116883"/>
      <w:bookmarkStart w:id="111" w:name="_Toc162332091"/>
      <w:bookmarkStart w:id="112" w:name="_Toc24603"/>
      <w:r>
        <w:rPr>
          <w:rFonts w:hint="default" w:ascii="Times New Roman" w:hAnsi="Times New Roman" w:eastAsia="宋体" w:cs="Times New Roman"/>
          <w:b/>
          <w:bCs/>
          <w:color w:val="auto"/>
          <w:sz w:val="32"/>
          <w:szCs w:val="32"/>
          <w:lang w:val="en-US" w:eastAsia="zh-CN"/>
        </w:rPr>
        <w:t xml:space="preserve">6.6 </w:t>
      </w:r>
      <w:r>
        <w:rPr>
          <w:rFonts w:hint="default" w:ascii="Times New Roman" w:hAnsi="Times New Roman" w:eastAsia="宋体" w:cs="Times New Roman"/>
          <w:b/>
          <w:bCs/>
          <w:color w:val="auto"/>
          <w:sz w:val="32"/>
          <w:szCs w:val="32"/>
        </w:rPr>
        <w:t>环境保护措施落实情况</w:t>
      </w:r>
      <w:bookmarkEnd w:id="109"/>
      <w:bookmarkEnd w:id="110"/>
      <w:bookmarkEnd w:id="111"/>
      <w:bookmarkEnd w:id="112"/>
    </w:p>
    <w:p>
      <w:pPr>
        <w:widowControl w:val="0"/>
        <w:wordWrap/>
        <w:adjustRightInd/>
        <w:snapToGrid/>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根据“环评”对本项目提出的治理措施和自治区环境保护局的批复意见，现场对各项环境保护措施的落实情况进行了验收核查。本项目环境保护措施落实情况具体内容见表</w:t>
      </w:r>
      <w:r>
        <w:rPr>
          <w:rFonts w:hint="default" w:ascii="Times New Roman" w:hAnsi="Times New Roman" w:eastAsia="宋体" w:cs="Times New Roman"/>
          <w:color w:val="auto"/>
          <w:sz w:val="28"/>
          <w:szCs w:val="28"/>
          <w:lang w:val="en-US" w:eastAsia="zh-CN"/>
        </w:rPr>
        <w:t>6-6</w:t>
      </w:r>
      <w:r>
        <w:rPr>
          <w:rFonts w:hint="default" w:ascii="Times New Roman" w:hAnsi="Times New Roman" w:eastAsia="宋体" w:cs="Times New Roman"/>
          <w:color w:val="auto"/>
          <w:sz w:val="28"/>
          <w:szCs w:val="28"/>
        </w:rPr>
        <w:t>-1。</w:t>
      </w:r>
    </w:p>
    <w:p>
      <w:pPr>
        <w:pStyle w:val="2"/>
        <w:widowControl w:val="0"/>
        <w:wordWrap/>
        <w:adjustRightInd w:val="0"/>
        <w:snapToGrid w:val="0"/>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6-6</w:t>
      </w:r>
      <w:r>
        <w:rPr>
          <w:rFonts w:hint="default" w:ascii="Times New Roman" w:hAnsi="Times New Roman" w:eastAsia="宋体" w:cs="Times New Roman"/>
          <w:b/>
          <w:bCs/>
          <w:color w:val="auto"/>
        </w:rPr>
        <w:t>-1         本项目环保措施落实情况</w:t>
      </w:r>
    </w:p>
    <w:tbl>
      <w:tblPr>
        <w:tblStyle w:val="27"/>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2790"/>
        <w:gridCol w:w="2745"/>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blHeader/>
          <w:jc w:val="center"/>
        </w:trPr>
        <w:tc>
          <w:tcPr>
            <w:tcW w:w="466"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b/>
                <w:bCs/>
                <w:color w:val="auto"/>
                <w:sz w:val="21"/>
                <w:szCs w:val="21"/>
              </w:rPr>
            </w:pPr>
            <w:bookmarkStart w:id="113" w:name="OLE_LINK4"/>
            <w:bookmarkStart w:id="114" w:name="OLE_LINK5"/>
            <w:r>
              <w:rPr>
                <w:rFonts w:hint="default" w:ascii="Times New Roman" w:hAnsi="Times New Roman" w:eastAsia="宋体" w:cs="Times New Roman"/>
                <w:b/>
                <w:bCs/>
                <w:color w:val="auto"/>
                <w:sz w:val="21"/>
                <w:szCs w:val="21"/>
              </w:rPr>
              <w:t>序号</w:t>
            </w:r>
          </w:p>
        </w:tc>
        <w:tc>
          <w:tcPr>
            <w:tcW w:w="2790"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环评内容</w:t>
            </w:r>
          </w:p>
        </w:tc>
        <w:tc>
          <w:tcPr>
            <w:tcW w:w="2745"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批复要求</w:t>
            </w:r>
          </w:p>
        </w:tc>
        <w:tc>
          <w:tcPr>
            <w:tcW w:w="2299"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95" w:hRule="atLeast"/>
          <w:jc w:val="center"/>
        </w:trPr>
        <w:tc>
          <w:tcPr>
            <w:tcW w:w="466"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790"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本工程位于新疆哈密地区巴里坤县北部，属三塘湖～淖毛湖风区，拟建风电场属于《新疆哈密地区千万千瓦级风电基地二期项目开发建设方案》中三塘湖风区开发建设项目。工程南距巴里坤县约88km，距三塘湖乡约63km，距哈密市约 175km。</w:t>
            </w:r>
          </w:p>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风电场区域的海拔高程约在 1100m～1380m，场地开阔，地形较平坦，局部地形稍有起伏，总体地势西南高、东北低。场址区域位于东经 92°30′38.6″～92°33′ 42.6″，北纬44°14′30.6″～44°22′4.1″之间，开发面积约 56km</w:t>
            </w:r>
            <w:r>
              <w:rPr>
                <w:rFonts w:hint="default" w:ascii="Times New Roman" w:hAnsi="Times New Roman" w:eastAsia="宋体" w:cs="Times New Roman"/>
                <w:color w:val="auto"/>
                <w:kern w:val="24"/>
                <w:sz w:val="21"/>
                <w:szCs w:val="21"/>
                <w:vertAlign w:val="superscript"/>
                <w:lang w:val="en-US" w:eastAsia="zh-CN"/>
              </w:rPr>
              <w:t>2</w:t>
            </w:r>
            <w:r>
              <w:rPr>
                <w:rFonts w:hint="default" w:ascii="Times New Roman" w:hAnsi="Times New Roman" w:eastAsia="宋体" w:cs="Times New Roman"/>
                <w:color w:val="auto"/>
                <w:kern w:val="24"/>
                <w:sz w:val="21"/>
                <w:szCs w:val="21"/>
                <w:lang w:val="en-US" w:eastAsia="zh-CN"/>
              </w:rPr>
              <w:t>。</w:t>
            </w:r>
          </w:p>
          <w:p>
            <w:pPr>
              <w:widowControl w:val="0"/>
              <w:wordWrap/>
              <w:adjustRightInd/>
              <w:snapToGrid/>
              <w:spacing w:line="320" w:lineRule="exact"/>
              <w:ind w:left="0" w:leftChars="0" w:right="0" w:firstLine="210" w:firstLineChars="1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项目建设内容包括：主体工程、配套工程、土建工程。</w:t>
            </w:r>
          </w:p>
        </w:tc>
        <w:tc>
          <w:tcPr>
            <w:tcW w:w="2745"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4"/>
                <w:sz w:val="21"/>
                <w:szCs w:val="21"/>
                <w:lang w:val="en-US" w:eastAsia="zh-CN"/>
              </w:rPr>
              <w:t>新疆哈密风电基地二期三塘湖第三风电场B区200MW项目位于巴里坤县三塘湖乡西侧约64千米处，南距巴里坤县城约</w:t>
            </w:r>
            <w:r>
              <w:rPr>
                <w:rFonts w:hint="eastAsia" w:ascii="Times New Roman" w:hAnsi="Times New Roman" w:eastAsia="宋体" w:cs="Times New Roman"/>
                <w:color w:val="auto"/>
                <w:kern w:val="24"/>
                <w:sz w:val="21"/>
                <w:szCs w:val="21"/>
                <w:lang w:val="en-US" w:eastAsia="zh-CN"/>
              </w:rPr>
              <w:t>88</w:t>
            </w:r>
            <w:r>
              <w:rPr>
                <w:rFonts w:hint="default" w:ascii="Times New Roman" w:hAnsi="Times New Roman" w:eastAsia="宋体" w:cs="Times New Roman"/>
                <w:color w:val="auto"/>
                <w:kern w:val="24"/>
                <w:sz w:val="21"/>
                <w:szCs w:val="21"/>
                <w:lang w:val="en-US" w:eastAsia="zh-CN"/>
              </w:rPr>
              <w:t>千米，距哈密市区约1 75千米。工程总装机规模为2 00兆瓦，新建134台单机容量为l.5兆瓦风力发电机组、134台箱式变电站基础、配套电气设备及监控中心，35千伏架空线路约92.5千米，直埋电缆4.1千米，厂内检修道路70.5千米，路面宽4米；与三塘湖第三风电场C区合建一座220千伏升压站，与第一风电场共建一条66千米的公用道路（起点接麻黄沟风电场已建公用道路，终点至风电场升压站，本工程按装机容量分摊8.8千米，宽6米）。</w:t>
            </w:r>
          </w:p>
        </w:tc>
        <w:tc>
          <w:tcPr>
            <w:tcW w:w="2299" w:type="dxa"/>
            <w:vAlign w:val="center"/>
          </w:tcPr>
          <w:p>
            <w:pPr>
              <w:widowControl w:val="0"/>
              <w:wordWrap/>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本项目位于巴里坤县三塘湖乡西侧约64千米处，南距巴里坤县城约</w:t>
            </w:r>
            <w:r>
              <w:rPr>
                <w:rFonts w:hint="eastAsia" w:ascii="Times New Roman" w:hAnsi="Times New Roman" w:eastAsia="宋体" w:cs="Times New Roman"/>
                <w:color w:val="auto"/>
                <w:kern w:val="24"/>
                <w:sz w:val="21"/>
                <w:szCs w:val="21"/>
                <w:lang w:val="en-US" w:eastAsia="zh-CN"/>
              </w:rPr>
              <w:t>88</w:t>
            </w:r>
            <w:r>
              <w:rPr>
                <w:rFonts w:hint="default" w:ascii="Times New Roman" w:hAnsi="Times New Roman" w:eastAsia="宋体" w:cs="Times New Roman"/>
                <w:color w:val="auto"/>
                <w:kern w:val="24"/>
                <w:sz w:val="21"/>
                <w:szCs w:val="21"/>
                <w:lang w:val="en-US" w:eastAsia="zh-CN"/>
              </w:rPr>
              <w:t>千米，距哈密市区约1 75千米。场址区域位于E 92°30′38.6″～92°33′ 42.6″，N 44°14′30.6″～44°22′4.1″之间。</w:t>
            </w:r>
          </w:p>
          <w:p>
            <w:pPr>
              <w:widowControl w:val="0"/>
              <w:wordWrap/>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建设内容包括：</w:t>
            </w:r>
            <w:r>
              <w:rPr>
                <w:rFonts w:hint="eastAsia" w:ascii="Times New Roman" w:hAnsi="Times New Roman" w:eastAsia="宋体" w:cs="Times New Roman"/>
                <w:color w:val="auto"/>
                <w:kern w:val="24"/>
                <w:sz w:val="21"/>
                <w:szCs w:val="21"/>
                <w:lang w:val="en-US" w:eastAsia="zh-CN"/>
              </w:rPr>
              <w:t>80</w:t>
            </w:r>
            <w:r>
              <w:rPr>
                <w:rFonts w:hint="default" w:ascii="Times New Roman" w:hAnsi="Times New Roman" w:eastAsia="宋体" w:cs="Times New Roman"/>
                <w:color w:val="auto"/>
                <w:kern w:val="24"/>
                <w:sz w:val="21"/>
                <w:szCs w:val="21"/>
                <w:lang w:val="en-US" w:eastAsia="zh-CN"/>
              </w:rPr>
              <w:t>台单机容量为</w:t>
            </w:r>
            <w:r>
              <w:rPr>
                <w:rFonts w:hint="eastAsia" w:ascii="Times New Roman" w:hAnsi="Times New Roman" w:eastAsia="宋体" w:cs="Times New Roman"/>
                <w:color w:val="auto"/>
                <w:kern w:val="24"/>
                <w:sz w:val="21"/>
                <w:szCs w:val="21"/>
                <w:lang w:val="en-US" w:eastAsia="zh-CN"/>
              </w:rPr>
              <w:t>2.5</w:t>
            </w:r>
            <w:r>
              <w:rPr>
                <w:rFonts w:hint="default" w:ascii="Times New Roman" w:hAnsi="Times New Roman" w:eastAsia="宋体" w:cs="Times New Roman"/>
                <w:color w:val="auto"/>
                <w:kern w:val="24"/>
                <w:sz w:val="21"/>
                <w:szCs w:val="21"/>
                <w:lang w:val="en-US" w:eastAsia="zh-CN"/>
              </w:rPr>
              <w:t>兆瓦风力发电机组、</w:t>
            </w:r>
            <w:r>
              <w:rPr>
                <w:rFonts w:hint="eastAsia" w:ascii="Times New Roman" w:hAnsi="Times New Roman" w:eastAsia="宋体" w:cs="Times New Roman"/>
                <w:color w:val="auto"/>
                <w:kern w:val="24"/>
                <w:sz w:val="21"/>
                <w:szCs w:val="21"/>
                <w:lang w:val="en-US" w:eastAsia="zh-CN"/>
              </w:rPr>
              <w:t>80</w:t>
            </w:r>
            <w:r>
              <w:rPr>
                <w:rFonts w:hint="default" w:ascii="Times New Roman" w:hAnsi="Times New Roman" w:eastAsia="宋体" w:cs="Times New Roman"/>
                <w:color w:val="auto"/>
                <w:kern w:val="24"/>
                <w:sz w:val="21"/>
                <w:szCs w:val="21"/>
                <w:lang w:val="en-US" w:eastAsia="zh-CN"/>
              </w:rPr>
              <w:t>台</w:t>
            </w:r>
            <w:r>
              <w:rPr>
                <w:rFonts w:hint="eastAsia" w:ascii="Times New Roman" w:hAnsi="Times New Roman" w:eastAsia="宋体" w:cs="Times New Roman"/>
                <w:color w:val="auto"/>
                <w:kern w:val="24"/>
                <w:sz w:val="21"/>
                <w:szCs w:val="21"/>
                <w:lang w:val="en-US" w:eastAsia="zh-CN"/>
              </w:rPr>
              <w:t>台式变电站基础</w:t>
            </w:r>
            <w:r>
              <w:rPr>
                <w:rFonts w:hint="default" w:ascii="Times New Roman" w:hAnsi="Times New Roman" w:eastAsia="宋体" w:cs="Times New Roman"/>
                <w:color w:val="auto"/>
                <w:kern w:val="24"/>
                <w:sz w:val="21"/>
                <w:szCs w:val="21"/>
                <w:lang w:val="en-US" w:eastAsia="zh-CN"/>
              </w:rPr>
              <w:t>、</w:t>
            </w:r>
          </w:p>
          <w:p>
            <w:pPr>
              <w:widowControl w:val="0"/>
              <w:wordWrap/>
              <w:spacing w:line="320" w:lineRule="exact"/>
              <w:ind w:left="0" w:leftChars="0" w:right="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4"/>
                <w:sz w:val="21"/>
                <w:szCs w:val="21"/>
                <w:lang w:val="en-US" w:eastAsia="zh-CN"/>
              </w:rPr>
              <w:t>配套电气设备及监控中心、35千伏架空线路、直埋电缆4.1千米，厂内检修道路70.5千米、一座220千伏升压站，</w:t>
            </w:r>
            <w:r>
              <w:rPr>
                <w:rFonts w:hint="eastAsia" w:ascii="Times New Roman" w:hAnsi="Times New Roman" w:eastAsia="宋体" w:cs="Times New Roman"/>
                <w:color w:val="auto"/>
                <w:kern w:val="24"/>
                <w:sz w:val="21"/>
                <w:szCs w:val="21"/>
                <w:lang w:val="en-US" w:eastAsia="zh-CN"/>
              </w:rPr>
              <w:t>由巴里坤县政府牵头，风电企业</w:t>
            </w:r>
            <w:r>
              <w:rPr>
                <w:rFonts w:hint="default" w:ascii="Times New Roman" w:hAnsi="Times New Roman" w:eastAsia="宋体" w:cs="Times New Roman"/>
                <w:color w:val="auto"/>
                <w:kern w:val="24"/>
                <w:sz w:val="21"/>
                <w:szCs w:val="21"/>
                <w:lang w:val="en-US" w:eastAsia="zh-CN"/>
              </w:rPr>
              <w:t>共建一条66千米的公用道路。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43" w:hRule="atLeast"/>
          <w:jc w:val="center"/>
        </w:trPr>
        <w:tc>
          <w:tcPr>
            <w:tcW w:w="466"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790"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本工程静态总投资 149030.3 万元，动态总投资 155629.7 万元，其中项目资本金占总投资的 20%，其余 80%为银行贷款。</w:t>
            </w:r>
          </w:p>
        </w:tc>
        <w:tc>
          <w:tcPr>
            <w:tcW w:w="2745"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工程总投资149030.3万元，其中环保投资194万元，占总投资的0. 13%。</w:t>
            </w:r>
          </w:p>
        </w:tc>
        <w:tc>
          <w:tcPr>
            <w:tcW w:w="2299"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工程总投资</w:t>
            </w:r>
            <w:r>
              <w:rPr>
                <w:rFonts w:hint="eastAsia" w:ascii="Times New Roman" w:hAnsi="Times New Roman" w:eastAsia="宋体" w:cs="Times New Roman"/>
                <w:color w:val="auto"/>
                <w:kern w:val="24"/>
                <w:sz w:val="21"/>
                <w:szCs w:val="21"/>
                <w:lang w:val="en-US" w:eastAsia="zh-CN"/>
              </w:rPr>
              <w:t>134000</w:t>
            </w:r>
            <w:r>
              <w:rPr>
                <w:rFonts w:hint="default" w:ascii="Times New Roman" w:hAnsi="Times New Roman" w:eastAsia="宋体" w:cs="Times New Roman"/>
                <w:color w:val="auto"/>
                <w:kern w:val="24"/>
                <w:sz w:val="21"/>
                <w:szCs w:val="21"/>
                <w:lang w:val="en-US" w:eastAsia="zh-CN"/>
              </w:rPr>
              <w:t>万元，其中环保投资228.4万元，占总投资的</w:t>
            </w:r>
            <w:r>
              <w:rPr>
                <w:rFonts w:hint="eastAsia" w:ascii="Times New Roman" w:hAnsi="Times New Roman" w:eastAsia="宋体" w:cs="Times New Roman"/>
                <w:color w:val="auto"/>
                <w:kern w:val="24"/>
                <w:sz w:val="21"/>
                <w:szCs w:val="21"/>
                <w:lang w:val="en-US" w:eastAsia="zh-CN"/>
              </w:rPr>
              <w:t>0.17</w:t>
            </w:r>
            <w:r>
              <w:rPr>
                <w:rFonts w:hint="default" w:ascii="Times New Roman" w:hAnsi="Times New Roman" w:eastAsia="宋体" w:cs="Times New Roman"/>
                <w:color w:val="auto"/>
                <w:kern w:val="24"/>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jc w:val="center"/>
        </w:trPr>
        <w:tc>
          <w:tcPr>
            <w:tcW w:w="466"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2790" w:type="dxa"/>
            <w:vAlign w:val="center"/>
          </w:tcPr>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本工程所在区域目前尚无变电站，周围 5km 范围内未见已运行的高压输变电工程、广播电视发射塔、无通信发射塔，电磁环境属正常背景水平。</w:t>
            </w:r>
          </w:p>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p>
        </w:tc>
        <w:tc>
          <w:tcPr>
            <w:tcW w:w="2745"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升压站设计须满足相应规范，合理布置站内各种带电构架。按照《电磁辐射环境保护管理办法》要求，加强项目电磁辐射控制措施，避免升压站及输电线路电磁辐射对周围敏感目标影响，升压站附近及新建输电线路沿线电磁辐射的安全防护距离不得小于50米和20米。</w:t>
            </w:r>
          </w:p>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rPr>
            </w:pPr>
          </w:p>
        </w:tc>
        <w:tc>
          <w:tcPr>
            <w:tcW w:w="2299" w:type="dxa"/>
            <w:vAlign w:val="center"/>
          </w:tcPr>
          <w:p>
            <w:pPr>
              <w:pStyle w:val="2"/>
              <w:widowControl w:val="0"/>
              <w:wordWrap/>
              <w:adjustRightInd w:val="0"/>
              <w:snapToGrid w:val="0"/>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4"/>
                <w:sz w:val="21"/>
                <w:szCs w:val="21"/>
                <w:lang w:val="en-US" w:eastAsia="zh-CN" w:bidi="ar-SA"/>
              </w:rPr>
              <w:t>电磁环境在验收前已做了监测，监测单位具备国家规定的资质。监测结果显示，电场强度、磁场强度均未超过</w:t>
            </w:r>
            <w:r>
              <w:rPr>
                <w:rFonts w:hint="default" w:ascii="Times New Roman" w:hAnsi="Times New Roman" w:eastAsia="宋体" w:cs="Times New Roman"/>
                <w:color w:val="auto"/>
                <w:kern w:val="24"/>
                <w:sz w:val="21"/>
                <w:szCs w:val="21"/>
                <w:lang w:val="en-US" w:eastAsia="zh-CN"/>
              </w:rPr>
              <w:t>《电磁辐射环境控制限值》（GB8702-2014）的要求。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jc w:val="center"/>
        </w:trPr>
        <w:tc>
          <w:tcPr>
            <w:tcW w:w="466"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2790" w:type="dxa"/>
            <w:vAlign w:val="center"/>
          </w:tcPr>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本工程建成后，排至地埋式生活污水一体化处理系统，采用厌氧-好氧污水处理工艺，具体工艺流程为：污水→预处理(粗格栅→沉砂沉淀池→调节池)→缺氧滤池→生物接触氧化池→二沉池→消毒池→出水，经过处理后的污水达到《污水综合排放标准》(GB8978-2008)的二级标准后夏季在监控中心用于道路浇洒、降尘，冬季污水经处理后贮存在 100m3 的集水池，翌年用于场区道路浇洒、降尘。</w:t>
            </w:r>
          </w:p>
        </w:tc>
        <w:tc>
          <w:tcPr>
            <w:tcW w:w="2745"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严格落实水污染防治措施。生活污水经地埋式一体化生活污水处理装置处理后，达到《污水综合排放标准》（CB8978-1996）二级标准后用于绿化。</w:t>
            </w:r>
          </w:p>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0"/>
                <w:sz w:val="21"/>
                <w:szCs w:val="21"/>
              </w:rPr>
            </w:pPr>
          </w:p>
        </w:tc>
        <w:tc>
          <w:tcPr>
            <w:tcW w:w="2299"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本项目未建生活区，生活设施依托</w:t>
            </w:r>
            <w:r>
              <w:rPr>
                <w:rFonts w:hint="eastAsia" w:ascii="Times New Roman" w:hAnsi="Times New Roman" w:eastAsia="宋体" w:cs="Times New Roman"/>
                <w:color w:val="auto"/>
                <w:sz w:val="21"/>
                <w:szCs w:val="21"/>
                <w:lang w:val="en-US" w:eastAsia="zh-CN"/>
              </w:rPr>
              <w:t>110kV升压站。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5" w:hRule="atLeast"/>
          <w:jc w:val="center"/>
        </w:trPr>
        <w:tc>
          <w:tcPr>
            <w:tcW w:w="466"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2790" w:type="dxa"/>
            <w:vAlign w:val="center"/>
          </w:tcPr>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本项目工程运营期噪声主要来源于风机运转时产生的噪声，工程运营期间拟采取以下</w:t>
            </w:r>
          </w:p>
          <w:p>
            <w:pPr>
              <w:widowControl w:val="0"/>
              <w:numPr>
                <w:numId w:val="0"/>
              </w:numPr>
              <w:wordWrap/>
              <w:adjustRightInd/>
              <w:snapToGrid/>
              <w:spacing w:line="320" w:lineRule="exact"/>
              <w:ind w:left="0" w:leftChars="0" w:right="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措施：设备选择中，采用低噪音的风力发电设备；定期检修风机转动连接处，使其处于良好运行状态；工作、生活区采用隔声材料建造，以便营造舒适、良好的工作、生活环境。</w:t>
            </w:r>
          </w:p>
          <w:p>
            <w:pPr>
              <w:widowControl w:val="0"/>
              <w:wordWrap/>
              <w:spacing w:line="320" w:lineRule="exact"/>
              <w:ind w:left="0" w:leftChars="0" w:right="0"/>
              <w:textAlignment w:val="auto"/>
              <w:outlineLvl w:val="9"/>
              <w:rPr>
                <w:rFonts w:hint="default" w:ascii="Times New Roman" w:hAnsi="Times New Roman" w:eastAsia="宋体" w:cs="Times New Roman"/>
                <w:b/>
                <w:sz w:val="21"/>
                <w:szCs w:val="21"/>
              </w:rPr>
            </w:pPr>
          </w:p>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p>
        </w:tc>
        <w:tc>
          <w:tcPr>
            <w:tcW w:w="2745"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减缓运营期噪声影响。对电机、变压器等主要噪声源采取隔声降噪处理，确保厂界噪声达到《风电场界噪声限值及监测规范》( DL/T1084 - 2008)中3类区域风电场噪声限值要求。</w:t>
            </w:r>
          </w:p>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rPr>
            </w:pPr>
          </w:p>
        </w:tc>
        <w:tc>
          <w:tcPr>
            <w:tcW w:w="2299"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sz w:val="21"/>
                <w:szCs w:val="21"/>
              </w:rPr>
              <w:t>项目在设备选型方面考虑到选取低噪声设备。相应连接处加了减震垫。</w:t>
            </w:r>
            <w:r>
              <w:rPr>
                <w:rFonts w:hint="default" w:ascii="Times New Roman" w:hAnsi="Times New Roman" w:eastAsia="宋体" w:cs="Times New Roman"/>
                <w:color w:val="auto"/>
                <w:sz w:val="21"/>
                <w:szCs w:val="21"/>
                <w:lang w:eastAsia="zh-CN"/>
              </w:rPr>
              <w:t>厂区四周有砖垒围墙。</w:t>
            </w:r>
            <w:r>
              <w:rPr>
                <w:rFonts w:hint="default" w:ascii="Times New Roman" w:hAnsi="Times New Roman" w:eastAsia="宋体" w:cs="Times New Roman"/>
                <w:color w:val="auto"/>
                <w:sz w:val="21"/>
                <w:szCs w:val="21"/>
              </w:rPr>
              <w:t>经监测显示，项目区昼夜间厂界噪声均未超过</w:t>
            </w:r>
            <w:r>
              <w:rPr>
                <w:rFonts w:hint="default" w:ascii="Times New Roman" w:hAnsi="Times New Roman" w:eastAsia="宋体" w:cs="Times New Roman"/>
                <w:color w:val="auto"/>
                <w:kern w:val="24"/>
                <w:sz w:val="21"/>
                <w:szCs w:val="21"/>
                <w:lang w:val="en-US" w:eastAsia="zh-CN"/>
              </w:rPr>
              <w:t>《风电场界噪声限值及监测规范》(DL/T1084- 2008)中3类区域风电场噪声限值要求。</w:t>
            </w:r>
          </w:p>
          <w:p>
            <w:pPr>
              <w:pStyle w:val="42"/>
              <w:widowControl w:val="0"/>
              <w:wordWrap/>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5" w:hRule="atLeast"/>
          <w:jc w:val="center"/>
        </w:trPr>
        <w:tc>
          <w:tcPr>
            <w:tcW w:w="466"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2790" w:type="dxa"/>
            <w:vAlign w:val="center"/>
          </w:tcPr>
          <w:p>
            <w:pPr>
              <w:widowControl w:val="0"/>
              <w:numPr>
                <w:numId w:val="0"/>
              </w:numPr>
              <w:wordWrap/>
              <w:adjustRightInd/>
              <w:snapToGrid/>
              <w:spacing w:line="320" w:lineRule="exact"/>
              <w:ind w:left="0" w:leftChars="0" w:right="0"/>
              <w:jc w:val="center"/>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w:t>
            </w:r>
          </w:p>
        </w:tc>
        <w:tc>
          <w:tcPr>
            <w:tcW w:w="2745" w:type="dxa"/>
            <w:vAlign w:val="center"/>
          </w:tcPr>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4"/>
                <w:sz w:val="21"/>
                <w:szCs w:val="21"/>
                <w:lang w:val="en-US" w:eastAsia="zh-CN"/>
              </w:rPr>
              <w:t>升压站设计须满足相应规范，合理布置站内各种带电构架。按照《电磁辐射环境保护管理办法》要求，加强项目电磁辐射控制措施，避免升压站及输电线路电磁辐射对周围敏感目标影响，升压站附近及新建输电线路沿线电磁辐射的安全防护距离不得小于50米和20米。</w:t>
            </w:r>
          </w:p>
        </w:tc>
        <w:tc>
          <w:tcPr>
            <w:tcW w:w="2299" w:type="dxa"/>
            <w:vAlign w:val="center"/>
          </w:tcPr>
          <w:p>
            <w:pPr>
              <w:pStyle w:val="42"/>
              <w:widowControl w:val="0"/>
              <w:wordWrap/>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4"/>
                <w:sz w:val="21"/>
                <w:szCs w:val="21"/>
                <w:lang w:val="en-US" w:eastAsia="zh-CN"/>
              </w:rPr>
              <w:t>验收调查：升压站附近及新建输电线路沿线50米内无敏感建筑。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01" w:hRule="atLeast"/>
          <w:jc w:val="center"/>
        </w:trPr>
        <w:tc>
          <w:tcPr>
            <w:tcW w:w="466"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6</w:t>
            </w:r>
          </w:p>
        </w:tc>
        <w:tc>
          <w:tcPr>
            <w:tcW w:w="2790" w:type="dxa"/>
            <w:vAlign w:val="center"/>
          </w:tcPr>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生活垃圾设封闭式垃圾桶定点收集，采取防风措施，对垃圾进行分类处理，并做到及时清运，避免造成垃圾二次污染。当个别风机出现事故，对于漏油处用纱布清理，纱布回收，避免事故废油对外部环境产生不良影响。为了绝缘和冷却，在变压器外壳内装有大量的变压器油，变压器设备在正常运行情况下不会产生漏油，一般只有事故情况下(主要为主变发生故障时) 检修才会产生废油。根据《国家危险废物名录》，废油属危险废物，由有资质单位回收处理。在升压站的主变下设有贮油坑，容积为主变压器油量的 20%，能将事故油及消防废水排至事故油池中，产生废油经集中收集后由有资质单位回收处理。</w:t>
            </w:r>
          </w:p>
        </w:tc>
        <w:tc>
          <w:tcPr>
            <w:tcW w:w="2745"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4"/>
                <w:sz w:val="21"/>
                <w:szCs w:val="21"/>
                <w:lang w:val="en-US" w:eastAsia="zh-CN"/>
              </w:rPr>
              <w:t>严格按照有关规定，对固体废物实施分类管理。风机和变压器检修产生的废油交有资质的单位回收处理，场区内主变压器检修或事故排油经足够容积的防渗事故油池收集后，定期由具备相关资质的厂家回收，防止泄露造成二次污染；生活垃圾集中收集，并及时清运，杜绝白色垃圾污染。</w:t>
            </w:r>
          </w:p>
        </w:tc>
        <w:tc>
          <w:tcPr>
            <w:tcW w:w="2299" w:type="dxa"/>
            <w:vAlign w:val="center"/>
          </w:tcPr>
          <w:p>
            <w:pPr>
              <w:pStyle w:val="42"/>
              <w:widowControl w:val="0"/>
              <w:wordWrap/>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4"/>
                <w:sz w:val="21"/>
                <w:szCs w:val="21"/>
                <w:lang w:val="en-US" w:eastAsia="zh-CN" w:bidi="ar-SA"/>
              </w:rPr>
              <w:t>经调查，验收期间未产生设备维修的废油、事故废油，在今后运行过程中，若有废油产生，产生的废油须</w:t>
            </w:r>
            <w:r>
              <w:rPr>
                <w:rFonts w:hint="default" w:ascii="Times New Roman" w:hAnsi="Times New Roman" w:eastAsia="宋体" w:cs="Times New Roman"/>
                <w:color w:val="auto"/>
                <w:kern w:val="24"/>
                <w:sz w:val="21"/>
                <w:szCs w:val="21"/>
                <w:lang w:val="en-US" w:eastAsia="zh-CN" w:bidi="ar-SA"/>
              </w:rPr>
              <w:t>交由有资质的危废</w:t>
            </w:r>
            <w:r>
              <w:rPr>
                <w:rFonts w:hint="eastAsia" w:ascii="Times New Roman" w:hAnsi="Times New Roman" w:eastAsia="宋体" w:cs="Times New Roman"/>
                <w:color w:val="auto"/>
                <w:kern w:val="24"/>
                <w:sz w:val="21"/>
                <w:szCs w:val="21"/>
                <w:lang w:val="en-US" w:eastAsia="zh-CN" w:bidi="ar-SA"/>
              </w:rPr>
              <w:t>处置</w:t>
            </w:r>
            <w:r>
              <w:rPr>
                <w:rFonts w:hint="default" w:ascii="Times New Roman" w:hAnsi="Times New Roman" w:eastAsia="宋体" w:cs="Times New Roman"/>
                <w:color w:val="auto"/>
                <w:kern w:val="24"/>
                <w:sz w:val="21"/>
                <w:szCs w:val="21"/>
                <w:lang w:val="en-US" w:eastAsia="zh-CN" w:bidi="ar-SA"/>
              </w:rPr>
              <w:t>部门处理。</w:t>
            </w:r>
            <w:r>
              <w:rPr>
                <w:rFonts w:hint="eastAsia" w:ascii="Times New Roman" w:hAnsi="Times New Roman" w:eastAsia="宋体" w:cs="Times New Roman"/>
                <w:color w:val="auto"/>
                <w:kern w:val="24"/>
                <w:sz w:val="21"/>
                <w:szCs w:val="21"/>
                <w:lang w:val="en-US" w:eastAsia="zh-CN" w:bidi="ar-SA"/>
              </w:rPr>
              <w:t>项目区内不设生活区，生活设施依托已建成的110kV升压站。产生的生活垃圾集中收集后定期清运至三塘湖生活垃圾填埋场。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5" w:hRule="atLeast"/>
          <w:jc w:val="center"/>
        </w:trPr>
        <w:tc>
          <w:tcPr>
            <w:tcW w:w="466" w:type="dxa"/>
            <w:vAlign w:val="center"/>
          </w:tcPr>
          <w:p>
            <w:pPr>
              <w:pStyle w:val="42"/>
              <w:widowControl w:val="0"/>
              <w:wordWrap/>
              <w:spacing w:line="320" w:lineRule="exact"/>
              <w:ind w:left="0" w:leftChars="0" w:right="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2790" w:type="dxa"/>
            <w:vAlign w:val="center"/>
          </w:tcPr>
          <w:p>
            <w:pPr>
              <w:widowControl w:val="0"/>
              <w:numPr>
                <w:numId w:val="0"/>
              </w:numPr>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lang w:val="en-US" w:eastAsia="zh-CN"/>
              </w:rPr>
              <w:t>/</w:t>
            </w:r>
          </w:p>
        </w:tc>
        <w:tc>
          <w:tcPr>
            <w:tcW w:w="2745"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4"/>
                <w:sz w:val="21"/>
                <w:szCs w:val="21"/>
                <w:lang w:val="en-US" w:eastAsia="zh-CN"/>
              </w:rPr>
              <w:t>做好施工迹地的生态恢复工作。制定科学可行的植被恢复方案，施工结束后，人工恢复原来的植被或重新建立新的植物群落，以提高生态系统的稳定性。</w:t>
            </w:r>
          </w:p>
        </w:tc>
        <w:tc>
          <w:tcPr>
            <w:tcW w:w="2299" w:type="dxa"/>
            <w:vAlign w:val="center"/>
          </w:tcPr>
          <w:p>
            <w:pPr>
              <w:widowControl w:val="0"/>
              <w:wordWrap/>
              <w:adjustRightInd/>
              <w:snapToGrid/>
              <w:spacing w:line="32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4"/>
                <w:sz w:val="21"/>
                <w:szCs w:val="21"/>
                <w:lang w:val="en-US" w:eastAsia="zh-CN"/>
              </w:rPr>
              <w:t>建设期间未发生污染纠纷及投诉事件。验收调查期间，未见建筑垃圾，地表</w:t>
            </w:r>
            <w:r>
              <w:rPr>
                <w:rFonts w:hint="eastAsia" w:ascii="Times New Roman" w:hAnsi="Times New Roman" w:eastAsia="宋体" w:cs="Times New Roman"/>
                <w:color w:val="auto"/>
                <w:kern w:val="24"/>
                <w:sz w:val="21"/>
                <w:szCs w:val="21"/>
                <w:lang w:val="en-US" w:eastAsia="zh-CN"/>
              </w:rPr>
              <w:t>已</w:t>
            </w:r>
            <w:r>
              <w:rPr>
                <w:rFonts w:hint="default" w:ascii="Times New Roman" w:hAnsi="Times New Roman" w:eastAsia="宋体" w:cs="Times New Roman"/>
                <w:color w:val="auto"/>
                <w:kern w:val="24"/>
                <w:sz w:val="21"/>
                <w:szCs w:val="21"/>
                <w:lang w:val="en-US" w:eastAsia="zh-CN"/>
              </w:rPr>
              <w:t>得到恢复。</w:t>
            </w:r>
          </w:p>
        </w:tc>
      </w:tr>
      <w:bookmarkEnd w:id="113"/>
      <w:bookmarkEnd w:id="114"/>
    </w:tbl>
    <w:p>
      <w:pPr>
        <w:rPr>
          <w:rFonts w:hint="default" w:ascii="Times New Roman" w:hAnsi="Times New Roman" w:eastAsia="宋体" w:cs="Times New Roman"/>
          <w:color w:val="auto"/>
          <w:sz w:val="36"/>
          <w:szCs w:val="36"/>
        </w:rPr>
      </w:pPr>
      <w:bookmarkStart w:id="115" w:name="_Toc125260612"/>
      <w:bookmarkStart w:id="116" w:name="_Toc263845896"/>
    </w:p>
    <w:p>
      <w:pPr>
        <w:pStyle w:val="2"/>
        <w:rPr>
          <w:rFonts w:hint="default" w:ascii="Times New Roman" w:hAnsi="Times New Roman" w:eastAsia="宋体" w:cs="Times New Roman"/>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rPr>
      </w:pPr>
    </w:p>
    <w:p>
      <w:pPr>
        <w:widowControl w:val="0"/>
        <w:wordWrap/>
        <w:adjustRightInd/>
        <w:snapToGrid/>
        <w:spacing w:before="313" w:beforeLines="100" w:after="313" w:afterLines="100" w:line="560" w:lineRule="exact"/>
        <w:ind w:left="0" w:leftChars="0" w:right="0" w:firstLine="0" w:firstLineChars="0"/>
        <w:jc w:val="center"/>
        <w:textAlignment w:val="auto"/>
        <w:outlineLvl w:val="0"/>
        <w:rPr>
          <w:rFonts w:hint="eastAsia" w:ascii="黑体" w:hAnsi="黑体" w:eastAsia="黑体" w:cs="黑体"/>
          <w:color w:val="auto"/>
          <w:sz w:val="36"/>
          <w:szCs w:val="36"/>
        </w:rPr>
      </w:pPr>
      <w:bookmarkStart w:id="117" w:name="_Toc8334"/>
      <w:r>
        <w:rPr>
          <w:rFonts w:hint="eastAsia" w:ascii="黑体" w:hAnsi="黑体" w:eastAsia="黑体" w:cs="黑体"/>
          <w:color w:val="auto"/>
          <w:sz w:val="36"/>
          <w:szCs w:val="36"/>
        </w:rPr>
        <w:t>第七章  公众意见调查</w:t>
      </w:r>
      <w:bookmarkEnd w:id="115"/>
      <w:bookmarkEnd w:id="116"/>
      <w:bookmarkEnd w:id="117"/>
    </w:p>
    <w:p>
      <w:pPr>
        <w:widowControl w:val="0"/>
        <w:wordWrap/>
        <w:adjustRightInd/>
        <w:snapToGrid/>
        <w:spacing w:before="157" w:beforeLines="50" w:after="157" w:afterLines="50" w:line="56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118" w:name="_Toc16606"/>
      <w:r>
        <w:rPr>
          <w:rFonts w:hint="default" w:ascii="Times New Roman" w:hAnsi="Times New Roman" w:eastAsia="宋体" w:cs="Times New Roman"/>
          <w:b/>
          <w:bCs/>
          <w:color w:val="auto"/>
          <w:sz w:val="32"/>
          <w:szCs w:val="32"/>
        </w:rPr>
        <w:t>7.1 调查范围和人员构成</w:t>
      </w:r>
      <w:bookmarkEnd w:id="118"/>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本工程位于新疆哈密地区巴里坤县北部，属三塘湖～淖毛湖风区，风电场属于《新疆哈密地区千万千瓦级风电基地二期项目开发建设方案》中三塘湖风区开发建设项目。工程南距巴里坤县约88km，距三塘湖乡约63km，距哈密市约175km。</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风电场区域的海拔高程约在1100m～1380m，场地开阔，地形较平坦，局部地形稍有起伏，总体地势西南高、东北低。场址区域位于东经 </w:t>
      </w:r>
      <w:r>
        <w:rPr>
          <w:rFonts w:hint="default" w:ascii="Times New Roman" w:hAnsi="Times New Roman" w:eastAsia="宋体" w:cs="Times New Roman"/>
          <w:color w:val="000000"/>
          <w:sz w:val="28"/>
          <w:szCs w:val="28"/>
          <w:lang w:val="en-US" w:eastAsia="zh-CN"/>
        </w:rPr>
        <w:t>92°</w:t>
      </w:r>
      <w:r>
        <w:rPr>
          <w:rFonts w:hint="default" w:ascii="Times New Roman" w:hAnsi="Times New Roman" w:eastAsia="宋体" w:cs="Times New Roman"/>
          <w:color w:val="000000"/>
          <w:sz w:val="28"/>
          <w:szCs w:val="28"/>
          <w:lang w:val="en-US" w:eastAsia="zh-CN"/>
        </w:rPr>
        <w:t>30′38.6″</w:t>
      </w:r>
      <w:r>
        <w:rPr>
          <w:rFonts w:hint="default" w:ascii="Times New Roman" w:hAnsi="Times New Roman" w:eastAsia="宋体" w:cs="Times New Roman"/>
          <w:color w:val="auto"/>
          <w:sz w:val="28"/>
          <w:szCs w:val="28"/>
        </w:rPr>
        <w:t>～92</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33</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42.6</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，北纬 44</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14</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30.6</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～44</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22</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4.1</w:t>
      </w:r>
      <w:r>
        <w:rPr>
          <w:rFonts w:hint="default"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auto"/>
          <w:sz w:val="28"/>
          <w:szCs w:val="28"/>
        </w:rPr>
        <w:t>之间，开发面积约56km</w:t>
      </w:r>
      <w:r>
        <w:rPr>
          <w:rFonts w:hint="default" w:ascii="Times New Roman" w:hAnsi="Times New Roman" w:eastAsia="宋体" w:cs="Times New Roman"/>
          <w:color w:val="auto"/>
          <w:sz w:val="28"/>
          <w:szCs w:val="28"/>
          <w:vertAlign w:val="superscript"/>
        </w:rPr>
        <w:t>2</w:t>
      </w:r>
      <w:r>
        <w:rPr>
          <w:rFonts w:hint="default" w:ascii="Times New Roman" w:hAnsi="Times New Roman" w:eastAsia="宋体" w:cs="Times New Roman"/>
          <w:color w:val="auto"/>
          <w:sz w:val="28"/>
          <w:szCs w:val="28"/>
        </w:rPr>
        <w:t>。本项目</w:t>
      </w:r>
      <w:r>
        <w:rPr>
          <w:rFonts w:hint="default" w:ascii="Times New Roman" w:hAnsi="Times New Roman" w:eastAsia="宋体" w:cs="Times New Roman"/>
          <w:color w:val="auto"/>
          <w:sz w:val="28"/>
          <w:szCs w:val="28"/>
          <w:lang w:val="en-US" w:eastAsia="zh-CN"/>
        </w:rPr>
        <w:t>实际</w:t>
      </w:r>
      <w:r>
        <w:rPr>
          <w:rFonts w:hint="default" w:ascii="Times New Roman" w:hAnsi="Times New Roman" w:eastAsia="宋体" w:cs="Times New Roman"/>
          <w:color w:val="auto"/>
          <w:sz w:val="28"/>
          <w:szCs w:val="28"/>
        </w:rPr>
        <w:t>总投资</w:t>
      </w:r>
      <w:r>
        <w:rPr>
          <w:rFonts w:hint="eastAsia" w:ascii="Times New Roman" w:hAnsi="Times New Roman" w:eastAsia="宋体" w:cs="Times New Roman"/>
          <w:color w:val="auto"/>
          <w:sz w:val="28"/>
          <w:szCs w:val="28"/>
          <w:lang w:val="en-US" w:eastAsia="zh-CN"/>
        </w:rPr>
        <w:t>134000</w:t>
      </w:r>
      <w:r>
        <w:rPr>
          <w:rFonts w:hint="default" w:ascii="Times New Roman" w:hAnsi="Times New Roman" w:eastAsia="宋体" w:cs="Times New Roman"/>
          <w:color w:val="auto"/>
          <w:sz w:val="28"/>
          <w:szCs w:val="28"/>
        </w:rPr>
        <w:t>万元，环保实际投资</w:t>
      </w:r>
      <w:r>
        <w:rPr>
          <w:rFonts w:hint="eastAsia" w:ascii="Times New Roman" w:hAnsi="Times New Roman" w:eastAsia="宋体" w:cs="Times New Roman"/>
          <w:color w:val="auto"/>
          <w:sz w:val="28"/>
          <w:szCs w:val="28"/>
          <w:lang w:val="en-US" w:eastAsia="zh-CN"/>
        </w:rPr>
        <w:t>228.4</w:t>
      </w:r>
      <w:r>
        <w:rPr>
          <w:rFonts w:hint="default" w:ascii="Times New Roman" w:hAnsi="Times New Roman" w:eastAsia="宋体" w:cs="Times New Roman"/>
          <w:color w:val="auto"/>
          <w:sz w:val="28"/>
          <w:szCs w:val="28"/>
        </w:rPr>
        <w:t>万元，占总投资的</w:t>
      </w:r>
      <w:r>
        <w:rPr>
          <w:rFonts w:hint="eastAsia" w:ascii="Times New Roman" w:hAnsi="Times New Roman" w:eastAsia="宋体" w:cs="Times New Roman"/>
          <w:color w:val="auto"/>
          <w:sz w:val="28"/>
          <w:szCs w:val="28"/>
          <w:lang w:val="en-US" w:eastAsia="zh-CN"/>
        </w:rPr>
        <w:t>0.17</w:t>
      </w:r>
      <w:r>
        <w:rPr>
          <w:rFonts w:hint="default" w:ascii="Times New Roman" w:hAnsi="Times New Roman" w:eastAsia="宋体" w:cs="Times New Roman"/>
          <w:color w:val="auto"/>
          <w:sz w:val="28"/>
          <w:szCs w:val="28"/>
        </w:rPr>
        <w:t>%。</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本次调查重点放在本项目较近区域。调查工作包括实地勘测，发放调查表，对当地居民关心的有关本项目建成后对环境产生的影响及环境保护方面的问题进行了解。</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调查走访过程中坚持自愿参加、实事求是的原则。向被调查的对象说明该项目的基本情况及运营期带来的主要环境问题，被调查者在充分了解本项目具体情况的基础上自由的表达自己的意见。抽样访问调查基本按事先拟定好的调查内容进行问答。本次公众调查的对象涵盖项目区社会各阶层、不同文化背景的人群。</w:t>
      </w:r>
    </w:p>
    <w:p>
      <w:pPr>
        <w:widowControl w:val="0"/>
        <w:wordWrap/>
        <w:adjustRightInd/>
        <w:snapToGrid/>
        <w:spacing w:before="157" w:beforeLines="50" w:after="157" w:afterLines="50" w:line="560" w:lineRule="exact"/>
        <w:ind w:left="0" w:leftChars="0" w:right="0" w:firstLine="643" w:firstLineChars="200"/>
        <w:jc w:val="both"/>
        <w:textAlignment w:val="auto"/>
        <w:outlineLvl w:val="1"/>
        <w:rPr>
          <w:rFonts w:hint="default" w:ascii="Times New Roman" w:hAnsi="Times New Roman" w:eastAsia="宋体" w:cs="Times New Roman"/>
          <w:b/>
          <w:bCs/>
          <w:color w:val="auto"/>
          <w:sz w:val="32"/>
          <w:szCs w:val="32"/>
        </w:rPr>
      </w:pPr>
      <w:bookmarkStart w:id="119" w:name="_Toc263845898"/>
      <w:bookmarkStart w:id="120" w:name="_Toc3237"/>
      <w:r>
        <w:rPr>
          <w:rFonts w:hint="default" w:ascii="Times New Roman" w:hAnsi="Times New Roman" w:eastAsia="宋体" w:cs="Times New Roman"/>
          <w:b/>
          <w:bCs/>
          <w:color w:val="auto"/>
          <w:sz w:val="32"/>
          <w:szCs w:val="32"/>
        </w:rPr>
        <w:t>7.2 调查内容</w:t>
      </w:r>
      <w:bookmarkEnd w:id="119"/>
      <w:bookmarkEnd w:id="120"/>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本次公众调查通过走访、发放调查表形式展开，调查问题主要为表7-2-1的内容。</w:t>
      </w:r>
    </w:p>
    <w:p>
      <w:pPr>
        <w:pStyle w:val="2"/>
        <w:rPr>
          <w:rFonts w:hint="default"/>
        </w:rPr>
      </w:pPr>
    </w:p>
    <w:p>
      <w:pPr>
        <w:widowControl w:val="0"/>
        <w:wordWrap/>
        <w:adjustRightInd/>
        <w:snapToGrid/>
        <w:spacing w:before="157" w:beforeLines="50" w:line="240" w:lineRule="auto"/>
        <w:ind w:left="0" w:leftChars="0" w:right="0" w:firstLine="0" w:firstLineChars="0"/>
        <w:jc w:val="center"/>
        <w:textAlignment w:val="auto"/>
        <w:outlineLvl w:val="9"/>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kern w:val="0"/>
          <w:sz w:val="24"/>
        </w:rPr>
        <w:t xml:space="preserve">表7-2-1 </w:t>
      </w:r>
      <w:bookmarkStart w:id="121" w:name="_Toc263845899"/>
      <w:bookmarkStart w:id="122" w:name="_Toc121823272"/>
      <w:bookmarkStart w:id="123" w:name="_Toc322801769"/>
      <w:r>
        <w:rPr>
          <w:rFonts w:hint="default" w:ascii="Times New Roman" w:hAnsi="Times New Roman" w:eastAsia="宋体" w:cs="Times New Roman"/>
          <w:b/>
          <w:color w:val="auto"/>
          <w:sz w:val="24"/>
          <w:lang w:val="en-US" w:eastAsia="zh-CN"/>
        </w:rPr>
        <w:t>新疆哈密风电基地二期三塘湖第三风电场 B 区 200MW 项目      竣工环境保护验收公众参与调查表</w:t>
      </w:r>
    </w:p>
    <w:tbl>
      <w:tblPr>
        <w:tblStyle w:val="27"/>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612"/>
        <w:gridCol w:w="944"/>
        <w:gridCol w:w="1035"/>
        <w:gridCol w:w="424"/>
        <w:gridCol w:w="1326"/>
        <w:gridCol w:w="1355"/>
        <w:gridCol w:w="396"/>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widowControl/>
              <w:spacing w:before="63" w:beforeLines="20" w:after="63" w:afterLines="20" w:line="240" w:lineRule="auto"/>
              <w:ind w:left="-3" w:right="-70" w:rightChars="-25"/>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姓</w:t>
            </w:r>
            <w:r>
              <w:rPr>
                <w:rFonts w:hint="default" w:ascii="Times New Roman" w:hAnsi="Times New Roman" w:eastAsia="宋体" w:cs="Times New Roman"/>
                <w:color w:val="000000"/>
                <w:kern w:val="0"/>
                <w:sz w:val="21"/>
                <w:szCs w:val="21"/>
                <w:lang w:val="en-US" w:eastAsia="zh-CN"/>
              </w:rPr>
              <w:t xml:space="preserve"> </w:t>
            </w:r>
            <w:r>
              <w:rPr>
                <w:rFonts w:hint="default" w:ascii="Times New Roman" w:hAnsi="Times New Roman" w:eastAsia="宋体" w:cs="Times New Roman"/>
                <w:color w:val="000000"/>
                <w:kern w:val="0"/>
                <w:sz w:val="21"/>
                <w:szCs w:val="21"/>
              </w:rPr>
              <w:t>名</w:t>
            </w:r>
          </w:p>
        </w:tc>
        <w:tc>
          <w:tcPr>
            <w:tcW w:w="1556"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1035"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性</w:t>
            </w:r>
            <w:r>
              <w:rPr>
                <w:rFonts w:hint="default" w:ascii="Times New Roman" w:hAnsi="Times New Roman" w:eastAsia="宋体" w:cs="Times New Roman"/>
                <w:color w:val="000000"/>
                <w:kern w:val="0"/>
                <w:sz w:val="21"/>
                <w:szCs w:val="21"/>
                <w:lang w:val="en-US" w:eastAsia="zh-CN"/>
              </w:rPr>
              <w:t xml:space="preserve"> </w:t>
            </w:r>
            <w:r>
              <w:rPr>
                <w:rFonts w:hint="default" w:ascii="Times New Roman" w:hAnsi="Times New Roman" w:eastAsia="宋体" w:cs="Times New Roman"/>
                <w:color w:val="000000"/>
                <w:kern w:val="0"/>
                <w:sz w:val="21"/>
                <w:szCs w:val="21"/>
              </w:rPr>
              <w:t>别</w:t>
            </w:r>
          </w:p>
        </w:tc>
        <w:tc>
          <w:tcPr>
            <w:tcW w:w="1750"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1355"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年</w:t>
            </w:r>
            <w:r>
              <w:rPr>
                <w:rFonts w:hint="default" w:ascii="Times New Roman" w:hAnsi="Times New Roman" w:eastAsia="宋体" w:cs="Times New Roman"/>
                <w:color w:val="000000"/>
                <w:kern w:val="0"/>
                <w:sz w:val="21"/>
                <w:szCs w:val="21"/>
                <w:lang w:val="en-US" w:eastAsia="zh-CN"/>
              </w:rPr>
              <w:t xml:space="preserve"> </w:t>
            </w:r>
            <w:r>
              <w:rPr>
                <w:rFonts w:hint="default" w:ascii="Times New Roman" w:hAnsi="Times New Roman" w:eastAsia="宋体" w:cs="Times New Roman"/>
                <w:color w:val="000000"/>
                <w:kern w:val="0"/>
                <w:sz w:val="21"/>
                <w:szCs w:val="21"/>
              </w:rPr>
              <w:t>龄</w:t>
            </w:r>
          </w:p>
        </w:tc>
        <w:tc>
          <w:tcPr>
            <w:tcW w:w="1966"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widowControl/>
              <w:spacing w:before="63" w:beforeLines="20" w:after="63" w:afterLines="20" w:line="240" w:lineRule="auto"/>
              <w:ind w:left="-3" w:right="-70" w:rightChars="-25"/>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职</w:t>
            </w:r>
            <w:r>
              <w:rPr>
                <w:rFonts w:hint="default" w:ascii="Times New Roman" w:hAnsi="Times New Roman" w:eastAsia="宋体" w:cs="Times New Roman"/>
                <w:color w:val="000000"/>
                <w:kern w:val="0"/>
                <w:sz w:val="21"/>
                <w:szCs w:val="21"/>
                <w:lang w:val="en-US" w:eastAsia="zh-CN"/>
              </w:rPr>
              <w:t xml:space="preserve"> </w:t>
            </w:r>
            <w:r>
              <w:rPr>
                <w:rFonts w:hint="default" w:ascii="Times New Roman" w:hAnsi="Times New Roman" w:eastAsia="宋体" w:cs="Times New Roman"/>
                <w:color w:val="000000"/>
                <w:kern w:val="0"/>
                <w:sz w:val="21"/>
                <w:szCs w:val="21"/>
              </w:rPr>
              <w:t>业</w:t>
            </w:r>
          </w:p>
        </w:tc>
        <w:tc>
          <w:tcPr>
            <w:tcW w:w="1556"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1035"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民</w:t>
            </w:r>
            <w:r>
              <w:rPr>
                <w:rFonts w:hint="default" w:ascii="Times New Roman" w:hAnsi="Times New Roman" w:eastAsia="宋体" w:cs="Times New Roman"/>
                <w:color w:val="000000"/>
                <w:kern w:val="0"/>
                <w:sz w:val="21"/>
                <w:szCs w:val="21"/>
                <w:lang w:val="en-US" w:eastAsia="zh-CN"/>
              </w:rPr>
              <w:t xml:space="preserve"> </w:t>
            </w:r>
            <w:r>
              <w:rPr>
                <w:rFonts w:hint="default" w:ascii="Times New Roman" w:hAnsi="Times New Roman" w:eastAsia="宋体" w:cs="Times New Roman"/>
                <w:color w:val="000000"/>
                <w:kern w:val="0"/>
                <w:sz w:val="21"/>
                <w:szCs w:val="21"/>
              </w:rPr>
              <w:t>族</w:t>
            </w:r>
          </w:p>
        </w:tc>
        <w:tc>
          <w:tcPr>
            <w:tcW w:w="1750"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1355"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受教育程度</w:t>
            </w:r>
          </w:p>
        </w:tc>
        <w:tc>
          <w:tcPr>
            <w:tcW w:w="1966"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widowControl/>
              <w:spacing w:before="63" w:beforeLines="20" w:after="63" w:afterLines="20" w:line="240" w:lineRule="auto"/>
              <w:ind w:left="-3" w:right="-70" w:rightChars="-25"/>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color w:val="000000"/>
                <w:kern w:val="0"/>
                <w:sz w:val="21"/>
                <w:szCs w:val="21"/>
                <w:lang w:eastAsia="zh-CN"/>
              </w:rPr>
              <w:t>联系方式</w:t>
            </w:r>
          </w:p>
        </w:tc>
        <w:tc>
          <w:tcPr>
            <w:tcW w:w="7662" w:type="dxa"/>
            <w:gridSpan w:val="8"/>
            <w:tcBorders>
              <w:tl2br w:val="nil"/>
              <w:tr2bl w:val="nil"/>
            </w:tcBorders>
            <w:vAlign w:val="center"/>
          </w:tcPr>
          <w:p>
            <w:pPr>
              <w:widowControl/>
              <w:spacing w:before="63" w:beforeLines="20" w:after="63" w:afterLines="20" w:line="240" w:lineRule="auto"/>
              <w:ind w:right="840"/>
              <w:jc w:val="center"/>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widowControl/>
              <w:spacing w:before="63" w:beforeLines="20" w:after="63" w:afterLines="20" w:line="240" w:lineRule="auto"/>
              <w:ind w:left="-3" w:right="-70" w:rightChars="-25"/>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val="0"/>
                <w:bCs/>
                <w:kern w:val="2"/>
                <w:sz w:val="21"/>
                <w:szCs w:val="21"/>
              </w:rPr>
              <w:t>居住或工作地与项目的关系</w:t>
            </w:r>
          </w:p>
        </w:tc>
        <w:tc>
          <w:tcPr>
            <w:tcW w:w="7662" w:type="dxa"/>
            <w:gridSpan w:val="8"/>
            <w:tcBorders>
              <w:tl2br w:val="nil"/>
              <w:tr2bl w:val="nil"/>
            </w:tcBorders>
            <w:vAlign w:val="center"/>
          </w:tcPr>
          <w:p>
            <w:pPr>
              <w:pStyle w:val="31"/>
              <w:spacing w:line="360" w:lineRule="auto"/>
              <w:jc w:val="both"/>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rPr>
              <w:t>位于项目所在地1公里范围内</w:t>
            </w:r>
            <w:r>
              <w:rPr>
                <w:rFonts w:hint="default" w:ascii="Times New Roman" w:hAnsi="Times New Roman" w:eastAsia="宋体" w:cs="Times New Roman"/>
                <w:b w:val="0"/>
                <w:bCs/>
                <w:kern w:val="2"/>
                <w:sz w:val="21"/>
                <w:szCs w:val="21"/>
                <w:lang w:val="en-US" w:eastAsia="zh-CN"/>
              </w:rPr>
              <w:t xml:space="preserve"> </w:t>
            </w:r>
            <w:r>
              <w:rPr>
                <w:rFonts w:hint="default" w:ascii="Times New Roman" w:hAnsi="Times New Roman" w:eastAsia="宋体" w:cs="Times New Roman"/>
                <w:b w:val="0"/>
                <w:bCs/>
                <w:kern w:val="2"/>
                <w:sz w:val="21"/>
                <w:szCs w:val="21"/>
              </w:rPr>
              <w:t>□</w:t>
            </w:r>
            <w:r>
              <w:rPr>
                <w:rFonts w:hint="default" w:ascii="Times New Roman" w:hAnsi="Times New Roman" w:eastAsia="宋体" w:cs="Times New Roman"/>
                <w:b w:val="0"/>
                <w:bCs/>
                <w:kern w:val="2"/>
                <w:sz w:val="21"/>
                <w:szCs w:val="21"/>
                <w:lang w:val="en-US" w:eastAsia="zh-CN"/>
              </w:rPr>
              <w:t xml:space="preserve"> </w:t>
            </w:r>
            <w:r>
              <w:rPr>
                <w:rFonts w:hint="default" w:ascii="Times New Roman" w:hAnsi="Times New Roman" w:eastAsia="宋体" w:cs="Times New Roman"/>
                <w:b w:val="0"/>
                <w:bCs/>
                <w:kern w:val="2"/>
                <w:sz w:val="21"/>
                <w:szCs w:val="21"/>
              </w:rPr>
              <w:t>；1至5公里范围内 □</w:t>
            </w:r>
            <w:r>
              <w:rPr>
                <w:rFonts w:hint="default" w:ascii="Times New Roman" w:hAnsi="Times New Roman" w:eastAsia="宋体" w:cs="Times New Roman"/>
                <w:b w:val="0"/>
                <w:bCs/>
                <w:kern w:val="2"/>
                <w:sz w:val="21"/>
                <w:szCs w:val="21"/>
                <w:lang w:val="en-US" w:eastAsia="zh-CN"/>
              </w:rPr>
              <w:t xml:space="preserve"> </w:t>
            </w:r>
            <w:r>
              <w:rPr>
                <w:rFonts w:hint="default" w:ascii="Times New Roman" w:hAnsi="Times New Roman" w:eastAsia="宋体" w:cs="Times New Roman"/>
                <w:b w:val="0"/>
                <w:bCs/>
                <w:kern w:val="2"/>
                <w:sz w:val="21"/>
                <w:szCs w:val="21"/>
              </w:rPr>
              <w:t>；5至10公里</w:t>
            </w:r>
            <w:r>
              <w:rPr>
                <w:rFonts w:hint="default" w:ascii="Times New Roman" w:hAnsi="Times New Roman" w:eastAsia="宋体" w:cs="Times New Roman"/>
                <w:b w:val="0"/>
                <w:bCs/>
                <w:kern w:val="2"/>
                <w:sz w:val="21"/>
                <w:szCs w:val="21"/>
                <w:lang w:val="en-US" w:eastAsia="zh-CN"/>
              </w:rPr>
              <w:t xml:space="preserve"> </w:t>
            </w:r>
            <w:r>
              <w:rPr>
                <w:rFonts w:hint="default" w:ascii="Times New Roman" w:hAnsi="Times New Roman" w:eastAsia="宋体" w:cs="Times New Roman"/>
                <w:b w:val="0"/>
                <w:bCs/>
                <w:kern w:val="2"/>
                <w:sz w:val="21"/>
                <w:szCs w:val="21"/>
              </w:rPr>
              <w:t>□</w:t>
            </w:r>
            <w:r>
              <w:rPr>
                <w:rFonts w:hint="default" w:ascii="Times New Roman" w:hAnsi="Times New Roman" w:eastAsia="宋体" w:cs="Times New Roman"/>
                <w:b w:val="0"/>
                <w:bCs/>
                <w:kern w:val="2"/>
                <w:sz w:val="21"/>
                <w:szCs w:val="21"/>
                <w:lang w:val="en-US" w:eastAsia="zh-CN"/>
              </w:rPr>
              <w:t xml:space="preserve"> </w:t>
            </w:r>
            <w:r>
              <w:rPr>
                <w:rFonts w:hint="default" w:ascii="Times New Roman" w:hAnsi="Times New Roman" w:eastAsia="宋体" w:cs="Times New Roman"/>
                <w:b w:val="0"/>
                <w:bCs/>
                <w:kern w:val="2"/>
                <w:sz w:val="21"/>
                <w:szCs w:val="21"/>
              </w:rPr>
              <w:t>；</w:t>
            </w:r>
          </w:p>
          <w:p>
            <w:pPr>
              <w:pStyle w:val="31"/>
              <w:spacing w:line="360" w:lineRule="auto"/>
              <w:jc w:val="both"/>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val="0"/>
                <w:bCs/>
                <w:kern w:val="2"/>
                <w:sz w:val="21"/>
                <w:szCs w:val="21"/>
              </w:rPr>
              <w:t>10公里以外 □</w:t>
            </w:r>
            <w:r>
              <w:rPr>
                <w:rFonts w:hint="default" w:ascii="Times New Roman" w:hAnsi="Times New Roman" w:eastAsia="宋体" w:cs="Times New Roman"/>
                <w:b w:val="0"/>
                <w:bCs/>
                <w:kern w:val="2"/>
                <w:sz w:val="21"/>
                <w:szCs w:val="21"/>
                <w:lang w:val="en-US" w:eastAsia="zh-CN"/>
              </w:rPr>
              <w:t xml:space="preserve"> </w:t>
            </w:r>
            <w:r>
              <w:rPr>
                <w:rFonts w:hint="default" w:ascii="Times New Roman" w:hAnsi="Times New Roman" w:eastAsia="宋体" w:cs="Times New Roman"/>
                <w:b w:val="0"/>
                <w:bCs/>
                <w:kern w:val="2"/>
                <w:sz w:val="21"/>
                <w:szCs w:val="21"/>
              </w:rPr>
              <w:t xml:space="preserve">；其它 □（请注明：         </w:t>
            </w:r>
            <w:r>
              <w:rPr>
                <w:rFonts w:hint="default" w:ascii="Times New Roman" w:hAnsi="Times New Roman" w:eastAsia="宋体" w:cs="Times New Roman"/>
                <w:b w:val="0"/>
                <w:bCs/>
                <w:kern w:val="2"/>
                <w:sz w:val="21"/>
                <w:szCs w:val="21"/>
                <w:lang w:val="en-US" w:eastAsia="zh-CN"/>
              </w:rPr>
              <w:t xml:space="preserve">  </w:t>
            </w:r>
            <w:r>
              <w:rPr>
                <w:rFonts w:hint="default" w:ascii="Times New Roman" w:hAnsi="Times New Roman" w:eastAsia="宋体" w:cs="Times New Roman"/>
                <w:b w:val="0"/>
                <w:bCs/>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项目基本情况</w:t>
            </w:r>
          </w:p>
        </w:tc>
        <w:tc>
          <w:tcPr>
            <w:tcW w:w="7662" w:type="dxa"/>
            <w:gridSpan w:val="8"/>
            <w:tcBorders>
              <w:tl2br w:val="nil"/>
              <w:tr2bl w:val="nil"/>
            </w:tcBorders>
            <w:vAlign w:val="top"/>
          </w:tcPr>
          <w:p>
            <w:pPr>
              <w:widowControl w:val="0"/>
              <w:wordWrap/>
              <w:adjustRightInd/>
              <w:snapToGrid/>
              <w:spacing w:line="400" w:lineRule="exact"/>
              <w:ind w:left="0" w:leftChars="0" w:right="0" w:firstLine="420" w:firstLineChars="200"/>
              <w:jc w:val="both"/>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sz w:val="21"/>
                <w:szCs w:val="21"/>
                <w:lang w:val="en-US" w:eastAsia="zh-CN"/>
              </w:rPr>
              <w:t>新疆哈密风电基地二期三塘湖第三风电场B区200MW项目位于巴里坤三塘湖乡西侧约64千米处，南距巴里坤县城约88千米，距哈密市约175千米。工程总装机规模为200兆瓦，新建80台单机容量为2.5兆瓦风力发电机组、80台台式变电站基础、配套电气设备及监控中心，35千伏架空线路约92.5千米，直埋电缆4.1千米，厂内检修道路70.5千米，路面宽4米；与华能新疆三塘湖风力发电有限责任公司合用一座220千伏升压站，与第一风电场共建一条66千米的公用道路（起点接麻黄沟风电场已建公用道路，终点至风电场升压站，本工程按装机容量分摊8.8千米，宽6千米）。工程总投资134000万元，其中环保投资228.4万元，占总投资的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restart"/>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调查内容</w:t>
            </w:r>
          </w:p>
        </w:tc>
        <w:tc>
          <w:tcPr>
            <w:tcW w:w="612" w:type="dxa"/>
            <w:vMerge w:val="restart"/>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施工期</w:t>
            </w:r>
          </w:p>
        </w:tc>
        <w:tc>
          <w:tcPr>
            <w:tcW w:w="2403" w:type="dxa"/>
            <w:gridSpan w:val="3"/>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噪声对您的影响程度</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没有影响</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影响较轻</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612"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2403" w:type="dxa"/>
            <w:gridSpan w:val="3"/>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扬尘对您的影响程度</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没有影响</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影响较轻</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612"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2403" w:type="dxa"/>
            <w:gridSpan w:val="3"/>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废水对您的影响程度</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没有影响</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影响较轻</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612"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2403" w:type="dxa"/>
            <w:gridSpan w:val="3"/>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是否有扰民现象或纠纷</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有</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没有</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612" w:type="dxa"/>
            <w:vMerge w:val="restart"/>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试生产期</w:t>
            </w:r>
          </w:p>
        </w:tc>
        <w:tc>
          <w:tcPr>
            <w:tcW w:w="2403" w:type="dxa"/>
            <w:gridSpan w:val="3"/>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废气对您的活影响程度</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没有影响</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影响较轻</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612"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2403" w:type="dxa"/>
            <w:gridSpan w:val="3"/>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废水对您的影响程度</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没有影响</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影响较轻</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612"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2403" w:type="dxa"/>
            <w:gridSpan w:val="3"/>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噪声对您的影响程度</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没有影响</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影响较轻</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612"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2403" w:type="dxa"/>
            <w:gridSpan w:val="3"/>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固体废物储运及处理处置对您的影响程度</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没有影响</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影响较轻</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612"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2403" w:type="dxa"/>
            <w:gridSpan w:val="3"/>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是否发生过环境污染事故（如有，请注明原因）</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有</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没有</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vMerge w:val="continue"/>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c>
          <w:tcPr>
            <w:tcW w:w="3015" w:type="dxa"/>
            <w:gridSpan w:val="4"/>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您对该公司本项目的环境保护工作满意程度</w:t>
            </w:r>
          </w:p>
        </w:tc>
        <w:tc>
          <w:tcPr>
            <w:tcW w:w="1326"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满    意</w:t>
            </w:r>
          </w:p>
        </w:tc>
        <w:tc>
          <w:tcPr>
            <w:tcW w:w="1751" w:type="dxa"/>
            <w:gridSpan w:val="2"/>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较满意</w:t>
            </w:r>
          </w:p>
        </w:tc>
        <w:tc>
          <w:tcPr>
            <w:tcW w:w="1570" w:type="dxa"/>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9" w:type="dxa"/>
            <w:tcBorders>
              <w:tl2br w:val="nil"/>
              <w:tr2bl w:val="nil"/>
            </w:tcBorders>
            <w:tcMar>
              <w:top w:w="0" w:type="dxa"/>
              <w:left w:w="57" w:type="dxa"/>
              <w:bottom w:w="0" w:type="dxa"/>
              <w:right w:w="57" w:type="dxa"/>
            </w:tcMar>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对该项目的建设还有什么意见和建议</w:t>
            </w:r>
          </w:p>
        </w:tc>
        <w:tc>
          <w:tcPr>
            <w:tcW w:w="7662" w:type="dxa"/>
            <w:gridSpan w:val="8"/>
            <w:tcBorders>
              <w:tl2br w:val="nil"/>
              <w:tr2bl w:val="nil"/>
            </w:tcBorders>
            <w:vAlign w:val="center"/>
          </w:tcPr>
          <w:p>
            <w:pPr>
              <w:widowControl/>
              <w:spacing w:before="63" w:beforeLines="20" w:after="63" w:afterLines="20" w:line="240" w:lineRule="auto"/>
              <w:jc w:val="center"/>
              <w:rPr>
                <w:rFonts w:hint="default" w:ascii="Times New Roman" w:hAnsi="Times New Roman" w:eastAsia="宋体" w:cs="Times New Roman"/>
                <w:kern w:val="0"/>
                <w:sz w:val="21"/>
                <w:szCs w:val="21"/>
              </w:rPr>
            </w:pPr>
          </w:p>
        </w:tc>
      </w:tr>
    </w:tbl>
    <w:p>
      <w:pPr>
        <w:widowControl w:val="0"/>
        <w:wordWrap/>
        <w:adjustRightInd/>
        <w:snapToGrid/>
        <w:spacing w:before="157" w:beforeLines="50" w:after="157" w:afterLines="50" w:line="52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124" w:name="_Toc28188"/>
      <w:r>
        <w:rPr>
          <w:rFonts w:hint="default" w:ascii="Times New Roman" w:hAnsi="Times New Roman" w:eastAsia="宋体" w:cs="Times New Roman"/>
          <w:b/>
          <w:bCs/>
          <w:color w:val="auto"/>
          <w:sz w:val="32"/>
          <w:szCs w:val="32"/>
        </w:rPr>
        <w:t>7.3 调查结果</w:t>
      </w:r>
      <w:bookmarkEnd w:id="121"/>
      <w:bookmarkEnd w:id="122"/>
      <w:bookmarkEnd w:id="124"/>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本次调查，共计发放调查表</w:t>
      </w:r>
      <w:r>
        <w:rPr>
          <w:rFonts w:hint="default" w:ascii="Times New Roman" w:hAnsi="Times New Roman" w:eastAsia="宋体" w:cs="Times New Roman"/>
          <w:color w:val="auto"/>
          <w:sz w:val="28"/>
          <w:szCs w:val="28"/>
          <w:lang w:val="en-US" w:eastAsia="zh-CN"/>
        </w:rPr>
        <w:t>30</w:t>
      </w:r>
      <w:r>
        <w:rPr>
          <w:rFonts w:hint="default" w:ascii="Times New Roman" w:hAnsi="Times New Roman" w:eastAsia="宋体" w:cs="Times New Roman"/>
          <w:color w:val="auto"/>
          <w:sz w:val="28"/>
          <w:szCs w:val="28"/>
        </w:rPr>
        <w:t>份，回收</w:t>
      </w:r>
      <w:r>
        <w:rPr>
          <w:rFonts w:hint="default" w:ascii="Times New Roman" w:hAnsi="Times New Roman" w:eastAsia="宋体" w:cs="Times New Roman"/>
          <w:color w:val="auto"/>
          <w:sz w:val="28"/>
          <w:szCs w:val="28"/>
          <w:lang w:val="en-US" w:eastAsia="zh-CN"/>
        </w:rPr>
        <w:t>30</w:t>
      </w:r>
      <w:r>
        <w:rPr>
          <w:rFonts w:hint="default" w:ascii="Times New Roman" w:hAnsi="Times New Roman" w:eastAsia="宋体" w:cs="Times New Roman"/>
          <w:color w:val="auto"/>
          <w:sz w:val="28"/>
          <w:szCs w:val="28"/>
        </w:rPr>
        <w:t>份，回收率</w:t>
      </w:r>
      <w:r>
        <w:rPr>
          <w:rFonts w:hint="default" w:ascii="Times New Roman" w:hAnsi="Times New Roman" w:eastAsia="宋体" w:cs="Times New Roman"/>
          <w:color w:val="auto"/>
          <w:sz w:val="28"/>
          <w:szCs w:val="28"/>
          <w:lang w:val="en-US" w:eastAsia="zh-CN"/>
        </w:rPr>
        <w:t>100</w:t>
      </w:r>
      <w:r>
        <w:rPr>
          <w:rFonts w:hint="default" w:ascii="Times New Roman" w:hAnsi="Times New Roman" w:eastAsia="宋体" w:cs="Times New Roman"/>
          <w:color w:val="auto"/>
          <w:sz w:val="28"/>
          <w:szCs w:val="28"/>
        </w:rPr>
        <w:t>%。调查结束后，通过汇总统计，结果如下：</w:t>
      </w:r>
    </w:p>
    <w:p>
      <w:pPr>
        <w:widowControl w:val="0"/>
        <w:numPr>
          <w:ilvl w:val="0"/>
          <w:numId w:val="7"/>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人员组成</w:t>
      </w: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性别：男性占</w:t>
      </w:r>
      <w:r>
        <w:rPr>
          <w:rFonts w:hint="default" w:ascii="Times New Roman" w:hAnsi="Times New Roman" w:eastAsia="宋体" w:cs="Times New Roman"/>
          <w:color w:val="auto"/>
          <w:sz w:val="28"/>
          <w:szCs w:val="28"/>
          <w:lang w:val="en-US" w:eastAsia="zh-CN"/>
        </w:rPr>
        <w:t>43</w:t>
      </w:r>
      <w:r>
        <w:rPr>
          <w:rFonts w:hint="default" w:ascii="Times New Roman" w:hAnsi="Times New Roman" w:eastAsia="宋体" w:cs="Times New Roman"/>
          <w:color w:val="auto"/>
          <w:sz w:val="28"/>
          <w:szCs w:val="28"/>
        </w:rPr>
        <w:t>%，女性占</w:t>
      </w:r>
      <w:r>
        <w:rPr>
          <w:rFonts w:hint="default" w:ascii="Times New Roman" w:hAnsi="Times New Roman" w:eastAsia="宋体" w:cs="Times New Roman"/>
          <w:color w:val="auto"/>
          <w:sz w:val="28"/>
          <w:szCs w:val="28"/>
          <w:lang w:val="en-US" w:eastAsia="zh-CN"/>
        </w:rPr>
        <w:t>57</w:t>
      </w:r>
      <w:r>
        <w:rPr>
          <w:rFonts w:hint="default" w:ascii="Times New Roman" w:hAnsi="Times New Roman" w:eastAsia="宋体" w:cs="Times New Roman"/>
          <w:color w:val="auto"/>
          <w:sz w:val="28"/>
          <w:szCs w:val="28"/>
        </w:rPr>
        <w:t>%；年龄：</w:t>
      </w:r>
      <w:r>
        <w:rPr>
          <w:rFonts w:hint="default" w:ascii="Times New Roman" w:hAnsi="Times New Roman" w:eastAsia="宋体" w:cs="Times New Roman"/>
          <w:color w:val="auto"/>
          <w:sz w:val="28"/>
          <w:szCs w:val="28"/>
          <w:lang w:val="en-US" w:eastAsia="zh-CN"/>
        </w:rPr>
        <w:t>30</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0岁占</w:t>
      </w:r>
      <w:r>
        <w:rPr>
          <w:rFonts w:hint="default" w:ascii="Times New Roman" w:hAnsi="Times New Roman" w:eastAsia="宋体" w:cs="Times New Roman"/>
          <w:color w:val="auto"/>
          <w:sz w:val="28"/>
          <w:szCs w:val="28"/>
          <w:lang w:val="en-US" w:eastAsia="zh-CN"/>
        </w:rPr>
        <w:t>28</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1-</w:t>
      </w:r>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0占</w:t>
      </w:r>
      <w:r>
        <w:rPr>
          <w:rFonts w:hint="default" w:ascii="Times New Roman" w:hAnsi="Times New Roman" w:eastAsia="宋体" w:cs="Times New Roman"/>
          <w:color w:val="auto"/>
          <w:sz w:val="28"/>
          <w:szCs w:val="28"/>
          <w:lang w:val="en-US" w:eastAsia="zh-CN"/>
        </w:rPr>
        <w:t>72</w:t>
      </w:r>
      <w:r>
        <w:rPr>
          <w:rFonts w:hint="default" w:ascii="Times New Roman" w:hAnsi="Times New Roman" w:eastAsia="宋体" w:cs="Times New Roman"/>
          <w:color w:val="auto"/>
          <w:sz w:val="28"/>
          <w:szCs w:val="28"/>
        </w:rPr>
        <w:t>%，民族：汉族占</w:t>
      </w:r>
      <w:r>
        <w:rPr>
          <w:rFonts w:hint="default" w:ascii="Times New Roman" w:hAnsi="Times New Roman" w:eastAsia="宋体" w:cs="Times New Roman"/>
          <w:color w:val="auto"/>
          <w:sz w:val="28"/>
          <w:szCs w:val="28"/>
          <w:lang w:val="en-US" w:eastAsia="zh-CN"/>
        </w:rPr>
        <w:t>90</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回</w:t>
      </w:r>
      <w:r>
        <w:rPr>
          <w:rFonts w:hint="default" w:ascii="Times New Roman" w:hAnsi="Times New Roman" w:eastAsia="宋体" w:cs="Times New Roman"/>
          <w:color w:val="auto"/>
          <w:sz w:val="28"/>
          <w:szCs w:val="28"/>
        </w:rPr>
        <w:t>族占</w:t>
      </w: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哈萨克族占</w:t>
      </w:r>
      <w:r>
        <w:rPr>
          <w:rFonts w:hint="default"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；职业：个体占</w:t>
      </w:r>
      <w:r>
        <w:rPr>
          <w:rFonts w:hint="default" w:ascii="Times New Roman" w:hAnsi="Times New Roman" w:eastAsia="宋体" w:cs="Times New Roman"/>
          <w:color w:val="auto"/>
          <w:sz w:val="28"/>
          <w:szCs w:val="28"/>
          <w:lang w:val="en-US" w:eastAsia="zh-CN"/>
        </w:rPr>
        <w:t>43</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农民</w:t>
      </w:r>
      <w:r>
        <w:rPr>
          <w:rFonts w:hint="default" w:ascii="Times New Roman" w:hAnsi="Times New Roman" w:eastAsia="宋体" w:cs="Times New Roman"/>
          <w:color w:val="auto"/>
          <w:sz w:val="28"/>
          <w:szCs w:val="28"/>
        </w:rPr>
        <w:t>占</w:t>
      </w:r>
      <w:r>
        <w:rPr>
          <w:rFonts w:hint="default"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司机</w:t>
      </w:r>
      <w:r>
        <w:rPr>
          <w:rFonts w:hint="default" w:ascii="Times New Roman" w:hAnsi="Times New Roman" w:eastAsia="宋体" w:cs="Times New Roman"/>
          <w:color w:val="auto"/>
          <w:sz w:val="28"/>
          <w:szCs w:val="28"/>
        </w:rPr>
        <w:t>占</w:t>
      </w:r>
      <w:r>
        <w:rPr>
          <w:rFonts w:hint="default" w:ascii="Times New Roman" w:hAnsi="Times New Roman" w:eastAsia="宋体" w:cs="Times New Roman"/>
          <w:color w:val="auto"/>
          <w:sz w:val="28"/>
          <w:szCs w:val="28"/>
          <w:lang w:val="en-US" w:eastAsia="zh-CN"/>
        </w:rPr>
        <w:t>9</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干部占</w:t>
      </w:r>
      <w:r>
        <w:rPr>
          <w:rFonts w:hint="default" w:ascii="Times New Roman" w:hAnsi="Times New Roman" w:eastAsia="宋体" w:cs="Times New Roman"/>
          <w:color w:val="auto"/>
          <w:sz w:val="28"/>
          <w:szCs w:val="28"/>
          <w:lang w:val="en-US" w:eastAsia="zh-CN"/>
        </w:rPr>
        <w:t>20%，收银占3%，营业员占3%，科员占3%，前台占3%，维护员占3%，工人3%</w:t>
      </w:r>
      <w:r>
        <w:rPr>
          <w:rFonts w:hint="default" w:ascii="Times New Roman" w:hAnsi="Times New Roman" w:eastAsia="宋体" w:cs="Times New Roman"/>
          <w:color w:val="auto"/>
          <w:sz w:val="28"/>
          <w:szCs w:val="28"/>
        </w:rPr>
        <w:t>；文化程度：中学占</w:t>
      </w:r>
      <w:r>
        <w:rPr>
          <w:rFonts w:hint="default" w:ascii="Times New Roman" w:hAnsi="Times New Roman" w:eastAsia="宋体" w:cs="Times New Roman"/>
          <w:color w:val="auto"/>
          <w:sz w:val="28"/>
          <w:szCs w:val="28"/>
          <w:lang w:val="en-US" w:eastAsia="zh-CN"/>
        </w:rPr>
        <w:t>51</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中专占</w:t>
      </w:r>
      <w:r>
        <w:rPr>
          <w:rFonts w:hint="default" w:ascii="Times New Roman" w:hAnsi="Times New Roman" w:eastAsia="宋体" w:cs="Times New Roman"/>
          <w:color w:val="auto"/>
          <w:sz w:val="28"/>
          <w:szCs w:val="28"/>
          <w:lang w:val="en-US" w:eastAsia="zh-CN"/>
        </w:rPr>
        <w:t>13%，大专占33%，</w:t>
      </w:r>
      <w:r>
        <w:rPr>
          <w:rFonts w:hint="default" w:ascii="Times New Roman" w:hAnsi="Times New Roman" w:eastAsia="宋体" w:cs="Times New Roman"/>
          <w:color w:val="auto"/>
          <w:sz w:val="28"/>
          <w:szCs w:val="28"/>
        </w:rPr>
        <w:t>大学</w:t>
      </w:r>
      <w:r>
        <w:rPr>
          <w:rFonts w:hint="default" w:ascii="Times New Roman" w:hAnsi="Times New Roman" w:eastAsia="宋体" w:cs="Times New Roman"/>
          <w:color w:val="auto"/>
          <w:sz w:val="28"/>
          <w:szCs w:val="28"/>
          <w:lang w:eastAsia="zh-CN"/>
        </w:rPr>
        <w:t>本科</w:t>
      </w:r>
      <w:r>
        <w:rPr>
          <w:rFonts w:hint="default" w:ascii="Times New Roman" w:hAnsi="Times New Roman" w:eastAsia="宋体" w:cs="Times New Roman"/>
          <w:color w:val="auto"/>
          <w:sz w:val="28"/>
          <w:szCs w:val="28"/>
        </w:rPr>
        <w:t>占</w:t>
      </w: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w:t>
      </w:r>
    </w:p>
    <w:p>
      <w:pPr>
        <w:widowControl w:val="0"/>
        <w:numPr>
          <w:ilvl w:val="0"/>
          <w:numId w:val="7"/>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距离项目地位置</w:t>
      </w:r>
    </w:p>
    <w:p>
      <w:pPr>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1公里范围内占</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rPr>
        <w:t>%，1-5公里占</w:t>
      </w: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%，5-10公里占</w:t>
      </w:r>
      <w:r>
        <w:rPr>
          <w:rFonts w:hint="default" w:ascii="Times New Roman" w:hAnsi="Times New Roman" w:eastAsia="宋体" w:cs="Times New Roman"/>
          <w:color w:val="auto"/>
          <w:sz w:val="28"/>
          <w:szCs w:val="28"/>
          <w:lang w:val="en-US" w:eastAsia="zh-CN"/>
        </w:rPr>
        <w:t>62</w:t>
      </w:r>
      <w:r>
        <w:rPr>
          <w:rFonts w:hint="default" w:ascii="Times New Roman" w:hAnsi="Times New Roman" w:eastAsia="宋体" w:cs="Times New Roman"/>
          <w:color w:val="auto"/>
          <w:sz w:val="28"/>
          <w:szCs w:val="28"/>
        </w:rPr>
        <w:t>%，10公里外占</w:t>
      </w:r>
      <w:r>
        <w:rPr>
          <w:rFonts w:hint="default" w:ascii="Times New Roman" w:hAnsi="Times New Roman" w:eastAsia="宋体" w:cs="Times New Roman"/>
          <w:color w:val="auto"/>
          <w:sz w:val="28"/>
          <w:szCs w:val="28"/>
          <w:lang w:val="en-US" w:eastAsia="zh-CN"/>
        </w:rPr>
        <w:t>34</w:t>
      </w:r>
      <w:r>
        <w:rPr>
          <w:rFonts w:hint="default" w:ascii="Times New Roman" w:hAnsi="Times New Roman" w:eastAsia="宋体" w:cs="Times New Roman"/>
          <w:color w:val="auto"/>
          <w:sz w:val="28"/>
          <w:szCs w:val="28"/>
        </w:rPr>
        <w:t>%。</w:t>
      </w:r>
    </w:p>
    <w:p>
      <w:pPr>
        <w:widowControl w:val="0"/>
        <w:numPr>
          <w:ilvl w:val="0"/>
          <w:numId w:val="7"/>
        </w:numPr>
        <w:wordWrap/>
        <w:spacing w:line="52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环境影响满意度调查</w:t>
      </w:r>
    </w:p>
    <w:p>
      <w:pPr>
        <w:pStyle w:val="31"/>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Cs w:val="0"/>
          <w:color w:val="auto"/>
          <w:kern w:val="24"/>
          <w:sz w:val="28"/>
          <w:szCs w:val="28"/>
        </w:rPr>
      </w:pPr>
      <w:r>
        <w:rPr>
          <w:rFonts w:hint="default" w:ascii="Times New Roman" w:hAnsi="Times New Roman" w:eastAsia="宋体" w:cs="Times New Roman"/>
          <w:bCs w:val="0"/>
          <w:color w:val="auto"/>
          <w:kern w:val="24"/>
          <w:sz w:val="28"/>
          <w:szCs w:val="28"/>
        </w:rPr>
        <w:t>施工期间对被调查人员生活工作产生的不利影响：</w:t>
      </w:r>
      <w:r>
        <w:rPr>
          <w:rFonts w:hint="default" w:ascii="Times New Roman" w:hAnsi="Times New Roman" w:eastAsia="宋体" w:cs="Times New Roman"/>
          <w:bCs w:val="0"/>
          <w:color w:val="auto"/>
          <w:kern w:val="24"/>
          <w:sz w:val="28"/>
          <w:szCs w:val="28"/>
          <w:lang w:val="en-US" w:eastAsia="zh-CN"/>
        </w:rPr>
        <w:t>100</w:t>
      </w:r>
      <w:r>
        <w:rPr>
          <w:rFonts w:hint="default" w:ascii="Times New Roman" w:hAnsi="Times New Roman" w:eastAsia="宋体" w:cs="Times New Roman"/>
          <w:bCs w:val="0"/>
          <w:color w:val="auto"/>
          <w:kern w:val="24"/>
          <w:sz w:val="28"/>
          <w:szCs w:val="28"/>
        </w:rPr>
        <w:t>%的被调查者认为无影响。</w:t>
      </w:r>
    </w:p>
    <w:p>
      <w:pPr>
        <w:pStyle w:val="31"/>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Cs w:val="0"/>
          <w:color w:val="auto"/>
          <w:kern w:val="24"/>
          <w:sz w:val="28"/>
          <w:szCs w:val="28"/>
        </w:rPr>
      </w:pPr>
      <w:r>
        <w:rPr>
          <w:rFonts w:hint="default" w:ascii="Times New Roman" w:hAnsi="Times New Roman" w:eastAsia="宋体" w:cs="Times New Roman"/>
          <w:bCs w:val="0"/>
          <w:color w:val="auto"/>
          <w:kern w:val="24"/>
          <w:sz w:val="28"/>
          <w:szCs w:val="28"/>
        </w:rPr>
        <w:t>试生产期间对被调查人员的生活工作产生的不利影响：</w:t>
      </w:r>
      <w:r>
        <w:rPr>
          <w:rFonts w:hint="default" w:ascii="Times New Roman" w:hAnsi="Times New Roman" w:eastAsia="宋体" w:cs="Times New Roman"/>
          <w:bCs w:val="0"/>
          <w:color w:val="auto"/>
          <w:kern w:val="24"/>
          <w:sz w:val="28"/>
          <w:szCs w:val="28"/>
          <w:lang w:val="en-US" w:eastAsia="zh-CN"/>
        </w:rPr>
        <w:t>100</w:t>
      </w:r>
      <w:r>
        <w:rPr>
          <w:rFonts w:hint="default" w:ascii="Times New Roman" w:hAnsi="Times New Roman" w:eastAsia="宋体" w:cs="Times New Roman"/>
          <w:bCs w:val="0"/>
          <w:color w:val="auto"/>
          <w:kern w:val="24"/>
          <w:sz w:val="28"/>
          <w:szCs w:val="28"/>
        </w:rPr>
        <w:t>%的被调查者认为无影响。</w:t>
      </w:r>
    </w:p>
    <w:p>
      <w:pPr>
        <w:pStyle w:val="31"/>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Cs w:val="0"/>
          <w:color w:val="auto"/>
          <w:kern w:val="24"/>
          <w:sz w:val="28"/>
          <w:szCs w:val="28"/>
        </w:rPr>
      </w:pPr>
      <w:r>
        <w:rPr>
          <w:rFonts w:hint="default" w:ascii="Times New Roman" w:hAnsi="Times New Roman" w:eastAsia="宋体" w:cs="Times New Roman"/>
          <w:bCs w:val="0"/>
          <w:color w:val="auto"/>
          <w:kern w:val="24"/>
          <w:sz w:val="28"/>
          <w:szCs w:val="28"/>
        </w:rPr>
        <w:t>运营期间的噪声对被调查人员的生活工作产生的不利影响：</w:t>
      </w:r>
      <w:r>
        <w:rPr>
          <w:rFonts w:hint="default" w:ascii="Times New Roman" w:hAnsi="Times New Roman" w:eastAsia="宋体" w:cs="Times New Roman"/>
          <w:bCs w:val="0"/>
          <w:color w:val="auto"/>
          <w:kern w:val="24"/>
          <w:sz w:val="28"/>
          <w:szCs w:val="28"/>
          <w:lang w:val="en-US" w:eastAsia="zh-CN"/>
        </w:rPr>
        <w:t>100</w:t>
      </w:r>
      <w:r>
        <w:rPr>
          <w:rFonts w:hint="default" w:ascii="Times New Roman" w:hAnsi="Times New Roman" w:eastAsia="宋体" w:cs="Times New Roman"/>
          <w:bCs w:val="0"/>
          <w:color w:val="auto"/>
          <w:kern w:val="24"/>
          <w:sz w:val="28"/>
          <w:szCs w:val="28"/>
        </w:rPr>
        <w:t>%的被调查者认为无影响。</w:t>
      </w:r>
    </w:p>
    <w:p>
      <w:pPr>
        <w:pStyle w:val="31"/>
        <w:widowControl w:val="0"/>
        <w:wordWrap/>
        <w:spacing w:line="520" w:lineRule="exact"/>
        <w:ind w:left="0" w:leftChars="0" w:right="0" w:firstLine="560" w:firstLineChars="200"/>
        <w:jc w:val="both"/>
        <w:textAlignment w:val="auto"/>
        <w:outlineLvl w:val="9"/>
        <w:rPr>
          <w:rFonts w:hint="default" w:ascii="Times New Roman" w:hAnsi="Times New Roman" w:eastAsia="宋体" w:cs="Times New Roman"/>
          <w:bCs w:val="0"/>
          <w:color w:val="auto"/>
          <w:kern w:val="24"/>
          <w:sz w:val="28"/>
          <w:szCs w:val="28"/>
        </w:rPr>
      </w:pPr>
      <w:r>
        <w:rPr>
          <w:rFonts w:hint="default" w:ascii="Times New Roman" w:hAnsi="Times New Roman" w:eastAsia="宋体" w:cs="Times New Roman"/>
          <w:bCs w:val="0"/>
          <w:color w:val="auto"/>
          <w:kern w:val="24"/>
          <w:sz w:val="28"/>
          <w:szCs w:val="28"/>
        </w:rPr>
        <w:t>对该厂的环境保护工作满意度调查：</w:t>
      </w:r>
      <w:r>
        <w:rPr>
          <w:rFonts w:hint="default" w:ascii="Times New Roman" w:hAnsi="Times New Roman" w:eastAsia="宋体" w:cs="Times New Roman"/>
          <w:bCs w:val="0"/>
          <w:color w:val="auto"/>
          <w:kern w:val="24"/>
          <w:sz w:val="28"/>
          <w:szCs w:val="28"/>
          <w:lang w:val="en-US" w:eastAsia="zh-CN"/>
        </w:rPr>
        <w:t>100</w:t>
      </w:r>
      <w:r>
        <w:rPr>
          <w:rFonts w:hint="default" w:ascii="Times New Roman" w:hAnsi="Times New Roman" w:eastAsia="宋体" w:cs="Times New Roman"/>
          <w:bCs w:val="0"/>
          <w:color w:val="auto"/>
          <w:kern w:val="24"/>
          <w:sz w:val="28"/>
          <w:szCs w:val="28"/>
        </w:rPr>
        <w:t>%被调查人员对本项目环境保护工作表示满意。</w:t>
      </w:r>
    </w:p>
    <w:p>
      <w:pPr>
        <w:pStyle w:val="31"/>
        <w:widowControl w:val="0"/>
        <w:wordWrap/>
        <w:overflowPunct w:val="0"/>
        <w:adjustRightInd w:val="0"/>
        <w:snapToGrid w:val="0"/>
        <w:spacing w:line="520" w:lineRule="exact"/>
        <w:ind w:left="0" w:leftChars="0" w:right="0" w:firstLine="560" w:firstLineChars="200"/>
        <w:jc w:val="both"/>
        <w:textAlignment w:val="auto"/>
        <w:outlineLvl w:val="9"/>
        <w:rPr>
          <w:rFonts w:hint="default" w:ascii="Times New Roman" w:hAnsi="Times New Roman" w:eastAsia="宋体" w:cs="Times New Roman"/>
          <w:color w:val="auto"/>
          <w:kern w:val="0"/>
          <w:sz w:val="28"/>
          <w:szCs w:val="28"/>
        </w:rPr>
      </w:pPr>
      <w:r>
        <w:rPr>
          <w:rFonts w:hint="default" w:ascii="Times New Roman" w:hAnsi="Times New Roman" w:eastAsia="宋体" w:cs="Times New Roman"/>
          <w:bCs w:val="0"/>
          <w:color w:val="auto"/>
          <w:sz w:val="28"/>
          <w:szCs w:val="28"/>
        </w:rPr>
        <w:t>被调查人员认为：</w:t>
      </w:r>
      <w:r>
        <w:rPr>
          <w:rFonts w:hint="default" w:ascii="Times New Roman" w:hAnsi="Times New Roman" w:eastAsia="宋体" w:cs="Times New Roman"/>
          <w:b w:val="0"/>
          <w:bCs w:val="0"/>
          <w:color w:val="auto"/>
          <w:sz w:val="28"/>
          <w:szCs w:val="28"/>
        </w:rPr>
        <w:t>施工和试生产期间对工作生活均没有产生不利影响；试生产期间的噪声对工作生活没有产生不利影响；对该厂的环境保护工作表示满意。</w:t>
      </w:r>
      <w:r>
        <w:rPr>
          <w:rFonts w:hint="default" w:ascii="Times New Roman" w:hAnsi="Times New Roman" w:eastAsia="宋体" w:cs="Times New Roman"/>
          <w:color w:val="auto"/>
          <w:sz w:val="28"/>
          <w:szCs w:val="28"/>
        </w:rPr>
        <w:t>公众调查显示，该项目的建成有力地推动</w:t>
      </w:r>
      <w:r>
        <w:rPr>
          <w:rFonts w:hint="default" w:ascii="Times New Roman" w:hAnsi="Times New Roman" w:eastAsia="宋体" w:cs="Times New Roman"/>
          <w:color w:val="auto"/>
          <w:sz w:val="28"/>
          <w:szCs w:val="28"/>
          <w:lang w:eastAsia="zh-CN"/>
        </w:rPr>
        <w:t>了哈密地区三塘湖风电场风力的有效利用，改变了当地的能源结构，取得了良好的经济效益和社会效益。</w:t>
      </w:r>
    </w:p>
    <w:bookmarkEnd w:id="123"/>
    <w:p>
      <w:pPr>
        <w:widowControl w:val="0"/>
        <w:wordWrap/>
        <w:adjustRightInd/>
        <w:snapToGrid/>
        <w:spacing w:before="313" w:beforeLines="100" w:after="313" w:afterLines="100" w:line="560" w:lineRule="exact"/>
        <w:ind w:left="0" w:leftChars="0" w:right="0" w:firstLine="0" w:firstLineChars="0"/>
        <w:jc w:val="center"/>
        <w:textAlignment w:val="auto"/>
        <w:outlineLvl w:val="0"/>
        <w:rPr>
          <w:rFonts w:hint="default" w:ascii="Times New Roman" w:hAnsi="Times New Roman" w:eastAsia="宋体" w:cs="Times New Roman"/>
          <w:bCs/>
          <w:color w:val="auto"/>
          <w:sz w:val="28"/>
          <w:szCs w:val="28"/>
        </w:rPr>
      </w:pPr>
      <w:bookmarkStart w:id="125" w:name="_Toc23167"/>
      <w:bookmarkStart w:id="126" w:name="_Toc154126954"/>
      <w:bookmarkStart w:id="127" w:name="_Toc162332093"/>
      <w:bookmarkStart w:id="128" w:name="_Toc144726696"/>
      <w:bookmarkStart w:id="129" w:name="_Toc263845901"/>
      <w:r>
        <w:rPr>
          <w:rFonts w:hint="eastAsia" w:ascii="黑体" w:hAnsi="黑体" w:eastAsia="黑体" w:cs="黑体"/>
          <w:bCs/>
          <w:color w:val="auto"/>
          <w:sz w:val="36"/>
          <w:szCs w:val="36"/>
        </w:rPr>
        <w:t>第</w:t>
      </w:r>
      <w:r>
        <w:rPr>
          <w:rFonts w:hint="eastAsia" w:ascii="黑体" w:hAnsi="黑体" w:eastAsia="黑体" w:cs="黑体"/>
          <w:bCs/>
          <w:color w:val="auto"/>
          <w:sz w:val="36"/>
          <w:szCs w:val="36"/>
          <w:lang w:eastAsia="zh-CN"/>
        </w:rPr>
        <w:t>八</w:t>
      </w:r>
      <w:r>
        <w:rPr>
          <w:rFonts w:hint="eastAsia" w:ascii="黑体" w:hAnsi="黑体" w:eastAsia="黑体" w:cs="黑体"/>
          <w:bCs/>
          <w:color w:val="auto"/>
          <w:sz w:val="36"/>
          <w:szCs w:val="36"/>
        </w:rPr>
        <w:t>章  结论和建议</w:t>
      </w:r>
      <w:bookmarkEnd w:id="125"/>
    </w:p>
    <w:p>
      <w:pPr>
        <w:widowControl w:val="0"/>
        <w:wordWrap/>
        <w:adjustRightInd/>
        <w:snapToGrid/>
        <w:spacing w:before="157" w:beforeLines="50" w:after="157" w:afterLines="50" w:line="560" w:lineRule="exact"/>
        <w:ind w:left="0" w:leftChars="0" w:right="0" w:firstLine="643" w:firstLineChars="200"/>
        <w:jc w:val="both"/>
        <w:textAlignment w:val="auto"/>
        <w:outlineLvl w:val="1"/>
        <w:rPr>
          <w:rFonts w:hint="default" w:ascii="Times New Roman" w:hAnsi="Times New Roman" w:eastAsia="宋体" w:cs="Times New Roman"/>
          <w:b/>
          <w:color w:val="auto"/>
          <w:sz w:val="28"/>
          <w:szCs w:val="28"/>
        </w:rPr>
      </w:pPr>
      <w:bookmarkStart w:id="130" w:name="_Toc1397"/>
      <w:r>
        <w:rPr>
          <w:rFonts w:hint="default" w:ascii="Times New Roman" w:hAnsi="Times New Roman" w:eastAsia="宋体" w:cs="Times New Roman"/>
          <w:b/>
          <w:color w:val="auto"/>
          <w:sz w:val="32"/>
          <w:szCs w:val="32"/>
          <w:lang w:val="en-US" w:eastAsia="zh-CN"/>
        </w:rPr>
        <w:t>8</w:t>
      </w:r>
      <w:r>
        <w:rPr>
          <w:rFonts w:hint="default" w:ascii="Times New Roman" w:hAnsi="Times New Roman" w:eastAsia="宋体" w:cs="Times New Roman"/>
          <w:b/>
          <w:color w:val="auto"/>
          <w:sz w:val="32"/>
          <w:szCs w:val="32"/>
        </w:rPr>
        <w:t>.1 验收</w:t>
      </w:r>
      <w:r>
        <w:rPr>
          <w:rFonts w:hint="eastAsia" w:ascii="Times New Roman" w:hAnsi="Times New Roman" w:eastAsia="宋体" w:cs="Times New Roman"/>
          <w:b/>
          <w:color w:val="auto"/>
          <w:sz w:val="32"/>
          <w:szCs w:val="32"/>
          <w:lang w:eastAsia="zh-CN"/>
        </w:rPr>
        <w:t>监测</w:t>
      </w:r>
      <w:r>
        <w:rPr>
          <w:rFonts w:hint="default" w:ascii="Times New Roman" w:hAnsi="Times New Roman" w:eastAsia="宋体" w:cs="Times New Roman"/>
          <w:b/>
          <w:color w:val="auto"/>
          <w:sz w:val="32"/>
          <w:szCs w:val="32"/>
        </w:rPr>
        <w:t>结论</w:t>
      </w:r>
      <w:bookmarkEnd w:id="130"/>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本项目在建设及运行期间，基本执行了建设项目环境保护“三同时”的相关法律法规及其批复提出的要求。通过资料调查、现场检查及环境监测，对本项目验收结论如下：</w:t>
      </w:r>
    </w:p>
    <w:bookmarkEnd w:id="126"/>
    <w:bookmarkEnd w:id="127"/>
    <w:bookmarkEnd w:id="128"/>
    <w:bookmarkEnd w:id="129"/>
    <w:p>
      <w:pPr>
        <w:widowControl w:val="0"/>
        <w:wordWrap/>
        <w:adjustRightInd/>
        <w:snapToGrid/>
        <w:spacing w:before="157" w:beforeLines="50" w:after="157" w:afterLines="50" w:line="56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lang w:val="en-US" w:eastAsia="zh-CN"/>
        </w:rPr>
        <w:t>8</w:t>
      </w:r>
      <w:r>
        <w:rPr>
          <w:rFonts w:hint="default" w:ascii="Times New Roman" w:hAnsi="Times New Roman" w:eastAsia="宋体" w:cs="Times New Roman"/>
          <w:b/>
          <w:bCs/>
          <w:color w:val="auto"/>
          <w:sz w:val="30"/>
          <w:szCs w:val="30"/>
        </w:rPr>
        <w:t xml:space="preserve">.1.1 </w:t>
      </w:r>
      <w:r>
        <w:rPr>
          <w:rFonts w:hint="default" w:ascii="Times New Roman" w:hAnsi="Times New Roman" w:eastAsia="宋体" w:cs="Times New Roman"/>
          <w:b/>
          <w:bCs/>
          <w:color w:val="auto"/>
          <w:sz w:val="30"/>
          <w:szCs w:val="30"/>
          <w:lang w:eastAsia="zh-CN"/>
        </w:rPr>
        <w:t>电磁环境</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验收监测结果显示：项目区</w:t>
      </w:r>
      <w:r>
        <w:rPr>
          <w:rFonts w:hint="default" w:ascii="Times New Roman" w:hAnsi="Times New Roman" w:eastAsia="宋体" w:cs="Times New Roman"/>
          <w:color w:val="auto"/>
          <w:sz w:val="28"/>
          <w:szCs w:val="28"/>
          <w:lang w:eastAsia="zh-CN"/>
        </w:rPr>
        <w:t>电</w:t>
      </w:r>
      <w:r>
        <w:rPr>
          <w:rFonts w:hint="default" w:ascii="Times New Roman" w:hAnsi="Times New Roman" w:eastAsia="宋体" w:cs="Times New Roman"/>
          <w:color w:val="auto"/>
          <w:sz w:val="28"/>
          <w:szCs w:val="28"/>
          <w:lang w:val="en-US" w:eastAsia="zh-CN"/>
        </w:rPr>
        <w:t>场强度</w:t>
      </w:r>
      <w:r>
        <w:rPr>
          <w:rFonts w:hint="default" w:ascii="Times New Roman" w:hAnsi="Times New Roman" w:eastAsia="宋体" w:cs="Times New Roman"/>
          <w:color w:val="auto"/>
          <w:sz w:val="28"/>
          <w:szCs w:val="28"/>
        </w:rPr>
        <w:t>最大值为</w:t>
      </w:r>
      <w:r>
        <w:rPr>
          <w:rFonts w:hint="default" w:ascii="Times New Roman" w:hAnsi="Times New Roman" w:eastAsia="宋体" w:cs="Times New Roman"/>
          <w:color w:val="auto"/>
          <w:sz w:val="28"/>
          <w:szCs w:val="28"/>
          <w:lang w:val="en-US" w:eastAsia="zh-CN"/>
        </w:rPr>
        <w:t>716.980V/m，磁场强度最大值为1.111µT，位于场站西北处</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远低于</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val="en-US" w:eastAsia="zh-CN"/>
        </w:rPr>
        <w:t>电磁环境控制限值</w:t>
      </w:r>
      <w:r>
        <w:rPr>
          <w:rFonts w:hint="default" w:ascii="Times New Roman" w:hAnsi="Times New Roman" w:eastAsia="宋体" w:cs="Times New Roman"/>
          <w:color w:val="auto"/>
          <w:sz w:val="28"/>
          <w:szCs w:val="28"/>
        </w:rPr>
        <w:t>》（GB</w:t>
      </w:r>
      <w:r>
        <w:rPr>
          <w:rFonts w:hint="default" w:ascii="Times New Roman" w:hAnsi="Times New Roman" w:eastAsia="宋体" w:cs="Times New Roman"/>
          <w:color w:val="auto"/>
          <w:sz w:val="28"/>
          <w:szCs w:val="28"/>
          <w:lang w:val="en-US" w:eastAsia="zh-CN"/>
        </w:rPr>
        <w:t>8702-2014</w:t>
      </w:r>
      <w:r>
        <w:rPr>
          <w:rFonts w:hint="default" w:ascii="Times New Roman" w:hAnsi="Times New Roman" w:eastAsia="宋体" w:cs="Times New Roman"/>
          <w:color w:val="auto"/>
          <w:sz w:val="28"/>
          <w:szCs w:val="28"/>
        </w:rPr>
        <w:t>）限值要求。</w:t>
      </w:r>
    </w:p>
    <w:p>
      <w:pPr>
        <w:widowControl w:val="0"/>
        <w:wordWrap/>
        <w:adjustRightInd/>
        <w:snapToGrid/>
        <w:spacing w:before="157" w:beforeLines="50" w:after="157" w:afterLines="50" w:line="56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8.1.2 废水</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eastAsia="zh-CN"/>
        </w:rPr>
        <w:t>据调查，本项目不产生生产废水，生活设施依托</w:t>
      </w:r>
      <w:r>
        <w:rPr>
          <w:rFonts w:hint="eastAsia" w:ascii="Times New Roman" w:hAnsi="Times New Roman" w:eastAsia="宋体" w:cs="Times New Roman"/>
          <w:color w:val="auto"/>
          <w:sz w:val="28"/>
          <w:szCs w:val="28"/>
          <w:lang w:val="en-US" w:eastAsia="zh-CN"/>
        </w:rPr>
        <w:t>110kV升压站。</w:t>
      </w:r>
    </w:p>
    <w:p>
      <w:pPr>
        <w:widowControl w:val="0"/>
        <w:wordWrap/>
        <w:adjustRightInd/>
        <w:snapToGrid/>
        <w:spacing w:before="157" w:beforeLines="50" w:after="157" w:afterLines="50" w:line="56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8.1.3 噪声</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验收期间</w:t>
      </w:r>
      <w:r>
        <w:rPr>
          <w:rFonts w:hint="default" w:ascii="Times New Roman" w:hAnsi="Times New Roman" w:eastAsia="宋体" w:cs="Times New Roman"/>
          <w:color w:val="auto"/>
          <w:sz w:val="28"/>
          <w:szCs w:val="28"/>
        </w:rPr>
        <w:t>噪声监测结果显示，昼间噪声</w:t>
      </w:r>
      <w:r>
        <w:rPr>
          <w:rFonts w:hint="default" w:ascii="Times New Roman" w:hAnsi="Times New Roman" w:eastAsia="宋体" w:cs="Times New Roman"/>
          <w:color w:val="auto"/>
          <w:sz w:val="28"/>
          <w:szCs w:val="28"/>
          <w:lang w:val="en-US" w:eastAsia="zh-CN"/>
        </w:rPr>
        <w:t>为32.3～42.3dB（A</w:t>
      </w:r>
      <w:r>
        <w:rPr>
          <w:rFonts w:hint="default" w:ascii="Times New Roman" w:hAnsi="Times New Roman" w:eastAsia="宋体" w:cs="Times New Roman"/>
          <w:color w:val="auto"/>
          <w:sz w:val="28"/>
          <w:szCs w:val="28"/>
        </w:rPr>
        <w:t>），夜间噪声</w:t>
      </w:r>
      <w:r>
        <w:rPr>
          <w:rFonts w:hint="default" w:ascii="Times New Roman" w:hAnsi="Times New Roman" w:eastAsia="宋体" w:cs="Times New Roman"/>
          <w:color w:val="auto"/>
          <w:sz w:val="28"/>
          <w:szCs w:val="28"/>
          <w:lang w:val="en-US" w:eastAsia="zh-CN"/>
        </w:rPr>
        <w:t>为32.1～42.1dB（A），</w:t>
      </w:r>
      <w:r>
        <w:rPr>
          <w:rFonts w:hint="default" w:ascii="Times New Roman" w:hAnsi="Times New Roman" w:eastAsia="宋体" w:cs="Times New Roman"/>
          <w:color w:val="auto"/>
          <w:sz w:val="28"/>
          <w:szCs w:val="28"/>
        </w:rPr>
        <w:t>厂界外昼间及夜间噪声值均未超过《</w:t>
      </w:r>
      <w:r>
        <w:rPr>
          <w:rFonts w:hint="default" w:ascii="Times New Roman" w:hAnsi="Times New Roman" w:eastAsia="宋体" w:cs="Times New Roman"/>
          <w:color w:val="auto"/>
          <w:sz w:val="28"/>
          <w:szCs w:val="28"/>
          <w:lang w:eastAsia="zh-CN"/>
        </w:rPr>
        <w:t>风电场界噪声限值及监测规范</w:t>
      </w:r>
      <w:r>
        <w:rPr>
          <w:rFonts w:hint="default" w:ascii="Times New Roman" w:hAnsi="Times New Roman" w:eastAsia="宋体" w:cs="Times New Roman"/>
          <w:color w:val="auto"/>
          <w:sz w:val="28"/>
          <w:szCs w:val="28"/>
        </w:rPr>
        <w:t>》（GB12348-2008）</w:t>
      </w: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类</w:t>
      </w:r>
      <w:r>
        <w:rPr>
          <w:rFonts w:hint="default" w:ascii="Times New Roman" w:hAnsi="Times New Roman" w:eastAsia="宋体" w:cs="Times New Roman"/>
          <w:color w:val="auto"/>
          <w:sz w:val="28"/>
          <w:szCs w:val="28"/>
          <w:lang w:eastAsia="zh-CN"/>
        </w:rPr>
        <w:t>区域</w:t>
      </w:r>
      <w:r>
        <w:rPr>
          <w:rFonts w:hint="default" w:ascii="Times New Roman" w:hAnsi="Times New Roman" w:eastAsia="宋体" w:cs="Times New Roman"/>
          <w:color w:val="auto"/>
          <w:sz w:val="28"/>
          <w:szCs w:val="28"/>
        </w:rPr>
        <w:t>标准限值。</w:t>
      </w:r>
    </w:p>
    <w:p>
      <w:pPr>
        <w:widowControl w:val="0"/>
        <w:wordWrap/>
        <w:adjustRightInd/>
        <w:snapToGrid/>
        <w:spacing w:before="157" w:beforeLines="50" w:after="157" w:afterLines="50" w:line="56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8.1.4 废气</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本工程为清洁能源发电项目，无工艺废气产生；管理区采用电热设施取暖，不设置锅炉等热源，不会对周围大气环境产生影响。</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本项目区内不设生活区，生活设施依托已建成的110kV升压站。项目区不产生饮食油烟。</w:t>
      </w:r>
    </w:p>
    <w:p>
      <w:pPr>
        <w:widowControl w:val="0"/>
        <w:wordWrap/>
        <w:adjustRightInd/>
        <w:snapToGrid/>
        <w:spacing w:before="157" w:beforeLines="50" w:after="157" w:afterLines="50" w:line="56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8.1.5 生态环境</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升压站占地面积10879.28m2；厂内检修道路70.5km，</w:t>
      </w:r>
      <w:r>
        <w:rPr>
          <w:rFonts w:hint="eastAsia" w:ascii="Times New Roman" w:hAnsi="Times New Roman" w:eastAsia="宋体" w:cs="Times New Roman"/>
          <w:color w:val="auto"/>
          <w:sz w:val="28"/>
          <w:szCs w:val="28"/>
          <w:lang w:val="en-US" w:eastAsia="zh-CN"/>
        </w:rPr>
        <w:t>由巴里坤县政府牵头，风电企业</w:t>
      </w:r>
      <w:r>
        <w:rPr>
          <w:rFonts w:hint="default" w:ascii="Times New Roman" w:hAnsi="Times New Roman" w:eastAsia="宋体" w:cs="Times New Roman"/>
          <w:color w:val="auto"/>
          <w:sz w:val="28"/>
          <w:szCs w:val="28"/>
          <w:lang w:val="en-US" w:eastAsia="zh-CN"/>
        </w:rPr>
        <w:t>共建66km道路，道路占地面积813000m2；项目永久占地829897.28m2，改变了原有用地性质。</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项目区周边植被覆盖度较低，占地以外的植被类型主要为木本猪毛菜及疏叶骆驼刺，其余大部分为裸地，植被稀疏。</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经调查结果显示，项目区临时占地已进行平整和恢复，减少了水土流失；监控中心和升压站已进行了地面硬化</w:t>
      </w:r>
      <w:r>
        <w:rPr>
          <w:rFonts w:hint="default" w:ascii="Times New Roman" w:hAnsi="Times New Roman" w:eastAsia="宋体" w:cs="Times New Roman"/>
          <w:color w:val="auto"/>
          <w:sz w:val="28"/>
          <w:szCs w:val="28"/>
          <w:lang w:val="en-US" w:eastAsia="zh-CN"/>
        </w:rPr>
        <w:t>。</w:t>
      </w:r>
    </w:p>
    <w:p>
      <w:pPr>
        <w:widowControl w:val="0"/>
        <w:wordWrap/>
        <w:adjustRightInd/>
        <w:snapToGrid/>
        <w:spacing w:before="157" w:beforeLines="50" w:after="157" w:afterLines="50" w:line="56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8.1.6固体废物</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本项目固体废物主要是设备维修时产生的废油、事故废油及生活垃圾。</w:t>
      </w:r>
      <w:r>
        <w:rPr>
          <w:rFonts w:hint="eastAsia" w:ascii="Times New Roman" w:hAnsi="Times New Roman" w:eastAsia="宋体" w:cs="Times New Roman"/>
          <w:color w:val="auto"/>
          <w:sz w:val="28"/>
          <w:szCs w:val="28"/>
          <w:lang w:val="en-US" w:eastAsia="zh-CN"/>
        </w:rPr>
        <w:t>经调查，验收期间未产生设备维修的废油、事故废油，在今后运行过程中，若有废油产生，产生的废油须</w:t>
      </w:r>
      <w:r>
        <w:rPr>
          <w:rFonts w:hint="default" w:ascii="Times New Roman" w:hAnsi="Times New Roman" w:eastAsia="宋体" w:cs="Times New Roman"/>
          <w:color w:val="auto"/>
          <w:sz w:val="28"/>
          <w:szCs w:val="28"/>
          <w:lang w:val="en-US" w:eastAsia="zh-CN"/>
        </w:rPr>
        <w:t>交由有资质的危废</w:t>
      </w:r>
      <w:r>
        <w:rPr>
          <w:rFonts w:hint="eastAsia" w:ascii="Times New Roman" w:hAnsi="Times New Roman" w:eastAsia="宋体" w:cs="Times New Roman"/>
          <w:color w:val="auto"/>
          <w:sz w:val="28"/>
          <w:szCs w:val="28"/>
          <w:lang w:val="en-US" w:eastAsia="zh-CN"/>
        </w:rPr>
        <w:t>处置</w:t>
      </w:r>
      <w:r>
        <w:rPr>
          <w:rFonts w:hint="default" w:ascii="Times New Roman" w:hAnsi="Times New Roman" w:eastAsia="宋体" w:cs="Times New Roman"/>
          <w:color w:val="auto"/>
          <w:sz w:val="28"/>
          <w:szCs w:val="28"/>
          <w:lang w:val="en-US" w:eastAsia="zh-CN"/>
        </w:rPr>
        <w:t>部门处理。</w:t>
      </w:r>
      <w:r>
        <w:rPr>
          <w:rFonts w:hint="eastAsia" w:ascii="Times New Roman" w:hAnsi="Times New Roman" w:eastAsia="宋体" w:cs="Times New Roman"/>
          <w:color w:val="auto"/>
          <w:sz w:val="28"/>
          <w:szCs w:val="28"/>
          <w:lang w:val="en-US" w:eastAsia="zh-CN"/>
        </w:rPr>
        <w:t>项目区内不设生活区，生活设施依托已建成的110kV升压站。产生的生活垃圾集中收集后定期清运至三塘湖生活垃圾填埋场。</w:t>
      </w:r>
    </w:p>
    <w:p>
      <w:pPr>
        <w:widowControl w:val="0"/>
        <w:wordWrap/>
        <w:adjustRightInd/>
        <w:snapToGrid/>
        <w:spacing w:before="157" w:beforeLines="50" w:after="157" w:afterLines="50" w:line="56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8.1.</w:t>
      </w:r>
      <w:r>
        <w:rPr>
          <w:rFonts w:hint="eastAsia" w:ascii="Times New Roman" w:hAnsi="Times New Roman" w:eastAsia="宋体" w:cs="Times New Roman"/>
          <w:b/>
          <w:bCs/>
          <w:color w:val="auto"/>
          <w:sz w:val="30"/>
          <w:szCs w:val="30"/>
          <w:lang w:val="en-US" w:eastAsia="zh-CN"/>
        </w:rPr>
        <w:t>7</w:t>
      </w:r>
      <w:r>
        <w:rPr>
          <w:rFonts w:hint="default" w:ascii="Times New Roman" w:hAnsi="Times New Roman" w:eastAsia="宋体" w:cs="Times New Roman"/>
          <w:b/>
          <w:bCs/>
          <w:color w:val="auto"/>
          <w:sz w:val="30"/>
          <w:szCs w:val="30"/>
          <w:lang w:val="en-US" w:eastAsia="zh-CN"/>
        </w:rPr>
        <w:t xml:space="preserve"> 环境管理机构设置及规章制度</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龙源巴里坤风力发电有限公司</w:t>
      </w:r>
      <w:r>
        <w:rPr>
          <w:rFonts w:hint="default" w:ascii="Times New Roman" w:hAnsi="Times New Roman" w:eastAsia="宋体" w:cs="Times New Roman"/>
          <w:color w:val="auto"/>
          <w:sz w:val="28"/>
          <w:szCs w:val="28"/>
          <w:lang w:eastAsia="zh-CN"/>
        </w:rPr>
        <w:t>成立有环境保护领导小组。设立有环境管理岗位，做到明确各部门职责，确定各级、各岗位的责任人。</w:t>
      </w:r>
      <w:r>
        <w:rPr>
          <w:rFonts w:hint="default" w:ascii="Times New Roman" w:hAnsi="Times New Roman" w:eastAsia="宋体" w:cs="Times New Roman"/>
          <w:color w:val="auto"/>
          <w:sz w:val="28"/>
          <w:szCs w:val="28"/>
          <w:lang w:val="en-US" w:eastAsia="zh-CN"/>
        </w:rPr>
        <w:t>公司</w:t>
      </w:r>
      <w:r>
        <w:rPr>
          <w:rFonts w:hint="default" w:ascii="Times New Roman" w:hAnsi="Times New Roman" w:eastAsia="宋体" w:cs="Times New Roman"/>
          <w:color w:val="auto"/>
          <w:sz w:val="28"/>
          <w:szCs w:val="28"/>
          <w:lang w:eastAsia="zh-CN"/>
        </w:rPr>
        <w:t>制定有相关的环境管理制度。</w:t>
      </w:r>
    </w:p>
    <w:p>
      <w:pPr>
        <w:widowControl w:val="0"/>
        <w:wordWrap/>
        <w:adjustRightInd/>
        <w:snapToGrid/>
        <w:spacing w:before="157" w:beforeLines="50" w:after="157" w:afterLines="50" w:line="560" w:lineRule="exact"/>
        <w:ind w:left="0" w:leftChars="0" w:right="0" w:firstLine="602" w:firstLineChars="200"/>
        <w:jc w:val="both"/>
        <w:textAlignment w:val="auto"/>
        <w:outlineLvl w:val="2"/>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8.1.</w:t>
      </w:r>
      <w:r>
        <w:rPr>
          <w:rFonts w:hint="eastAsia" w:ascii="Times New Roman" w:hAnsi="Times New Roman" w:eastAsia="宋体" w:cs="Times New Roman"/>
          <w:b/>
          <w:bCs/>
          <w:color w:val="auto"/>
          <w:sz w:val="30"/>
          <w:szCs w:val="30"/>
          <w:lang w:val="en-US" w:eastAsia="zh-CN"/>
        </w:rPr>
        <w:t>8</w:t>
      </w:r>
      <w:r>
        <w:rPr>
          <w:rFonts w:hint="default" w:ascii="Times New Roman" w:hAnsi="Times New Roman" w:eastAsia="宋体" w:cs="Times New Roman"/>
          <w:b/>
          <w:bCs/>
          <w:color w:val="auto"/>
          <w:sz w:val="30"/>
          <w:szCs w:val="30"/>
          <w:lang w:val="en-US" w:eastAsia="zh-CN"/>
        </w:rPr>
        <w:t xml:space="preserve"> 公众调查</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被调查人员认为：施工和试生产期间对工作生活均没有产生不利影响；</w:t>
      </w:r>
      <w:r>
        <w:rPr>
          <w:rFonts w:hint="default" w:ascii="Times New Roman" w:hAnsi="Times New Roman" w:eastAsia="宋体" w:cs="Times New Roman"/>
          <w:color w:val="auto"/>
          <w:sz w:val="28"/>
          <w:szCs w:val="28"/>
          <w:lang w:val="en-US" w:eastAsia="zh-CN"/>
        </w:rPr>
        <w:t>试生产期间的噪声对工作生活没有产生不利影响；对该厂的环境保护工作表示满意。</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bCs w:val="0"/>
          <w:color w:val="auto"/>
          <w:kern w:val="2"/>
          <w:sz w:val="28"/>
          <w:szCs w:val="28"/>
          <w:lang w:val="en-US" w:eastAsia="zh-CN" w:bidi="ar-SA"/>
        </w:rPr>
      </w:pPr>
      <w:r>
        <w:rPr>
          <w:rFonts w:hint="default" w:ascii="Times New Roman" w:hAnsi="Times New Roman" w:eastAsia="宋体" w:cs="Times New Roman"/>
          <w:color w:val="auto"/>
          <w:sz w:val="28"/>
          <w:szCs w:val="28"/>
          <w:lang w:val="en-US" w:eastAsia="zh-CN"/>
        </w:rPr>
        <w:t>公众调查显示，该项目的建成有力地推动了新疆哈密风电资源的利用，</w:t>
      </w:r>
      <w:r>
        <w:rPr>
          <w:rFonts w:hint="default" w:ascii="Times New Roman" w:hAnsi="Times New Roman" w:eastAsia="宋体" w:cs="Times New Roman"/>
          <w:color w:val="auto"/>
          <w:sz w:val="28"/>
          <w:szCs w:val="28"/>
          <w:lang w:eastAsia="zh-CN"/>
        </w:rPr>
        <w:t>改变了当地的能源结构，取得了良好的经济效益和社会效益。</w:t>
      </w:r>
    </w:p>
    <w:p>
      <w:pPr>
        <w:widowControl w:val="0"/>
        <w:wordWrap/>
        <w:adjustRightInd/>
        <w:snapToGrid/>
        <w:spacing w:before="157" w:beforeLines="50" w:after="157" w:afterLines="50" w:line="560" w:lineRule="exact"/>
        <w:ind w:left="0" w:leftChars="0" w:right="0" w:firstLine="0" w:firstLineChars="0"/>
        <w:jc w:val="both"/>
        <w:textAlignment w:val="auto"/>
        <w:outlineLvl w:val="1"/>
        <w:rPr>
          <w:rFonts w:hint="default" w:ascii="Times New Roman" w:hAnsi="Times New Roman" w:eastAsia="宋体" w:cs="Times New Roman"/>
          <w:color w:val="auto"/>
          <w:sz w:val="32"/>
          <w:szCs w:val="32"/>
        </w:rPr>
      </w:pPr>
      <w:bookmarkStart w:id="131" w:name="_Toc162332094"/>
      <w:bookmarkStart w:id="132" w:name="_Toc263845902"/>
      <w:bookmarkStart w:id="133" w:name="_Toc3303"/>
      <w:r>
        <w:rPr>
          <w:rFonts w:hint="default" w:ascii="Times New Roman" w:hAnsi="Times New Roman" w:eastAsia="宋体" w:cs="Times New Roman"/>
          <w:b/>
          <w:bCs/>
          <w:color w:val="auto"/>
          <w:sz w:val="32"/>
          <w:szCs w:val="32"/>
          <w:lang w:val="en-US" w:eastAsia="zh-CN"/>
        </w:rPr>
        <w:t>8</w:t>
      </w:r>
      <w:r>
        <w:rPr>
          <w:rFonts w:hint="default" w:ascii="Times New Roman" w:hAnsi="Times New Roman" w:eastAsia="宋体" w:cs="Times New Roman"/>
          <w:b/>
          <w:bCs/>
          <w:color w:val="auto"/>
          <w:sz w:val="32"/>
          <w:szCs w:val="32"/>
        </w:rPr>
        <w:t>.2 验收建议</w:t>
      </w:r>
      <w:bookmarkEnd w:id="131"/>
      <w:bookmarkEnd w:id="132"/>
      <w:bookmarkEnd w:id="133"/>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根据本次验收监测及调查的结果，现提出以下建议：</w:t>
      </w:r>
    </w:p>
    <w:p>
      <w:pPr>
        <w:widowControl w:val="0"/>
        <w:numPr>
          <w:ilvl w:val="0"/>
          <w:numId w:val="8"/>
        </w:numPr>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进一步健全环境管理制度及环境保护专项事故应急预案，使其具备更强的针对性和可操作性</w:t>
      </w:r>
      <w:r>
        <w:rPr>
          <w:rFonts w:hint="default" w:ascii="Times New Roman" w:hAnsi="Times New Roman" w:eastAsia="宋体" w:cs="Times New Roman"/>
          <w:color w:val="auto"/>
          <w:sz w:val="28"/>
          <w:szCs w:val="28"/>
          <w:lang w:eastAsia="zh-CN"/>
        </w:rPr>
        <w:t>，并报备环保有关部门</w:t>
      </w:r>
      <w:r>
        <w:rPr>
          <w:rFonts w:hint="default" w:ascii="Times New Roman" w:hAnsi="Times New Roman" w:eastAsia="宋体" w:cs="Times New Roman"/>
          <w:color w:val="auto"/>
          <w:sz w:val="28"/>
          <w:szCs w:val="28"/>
        </w:rPr>
        <w:t>。</w:t>
      </w:r>
    </w:p>
    <w:p>
      <w:pPr>
        <w:widowControl w:val="0"/>
        <w:wordWrap/>
        <w:adjustRightInd/>
        <w:snapToGrid/>
        <w:spacing w:line="560" w:lineRule="exact"/>
        <w:ind w:left="0" w:leftChars="0" w:right="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（2）定期对</w:t>
      </w:r>
      <w:r>
        <w:rPr>
          <w:rFonts w:hint="default" w:ascii="Times New Roman" w:hAnsi="Times New Roman" w:eastAsia="宋体" w:cs="Times New Roman"/>
          <w:color w:val="auto"/>
          <w:sz w:val="28"/>
          <w:szCs w:val="28"/>
          <w:lang w:eastAsia="zh-CN"/>
        </w:rPr>
        <w:t>各设备设施进行维护保养，</w:t>
      </w:r>
      <w:r>
        <w:rPr>
          <w:rFonts w:hint="default" w:ascii="Times New Roman" w:hAnsi="Times New Roman" w:eastAsia="宋体" w:cs="Times New Roman"/>
          <w:color w:val="auto"/>
          <w:sz w:val="28"/>
          <w:szCs w:val="28"/>
        </w:rPr>
        <w:t>加强管理，</w:t>
      </w:r>
      <w:r>
        <w:rPr>
          <w:rFonts w:hint="default" w:ascii="Times New Roman" w:hAnsi="Times New Roman" w:eastAsia="宋体" w:cs="Times New Roman"/>
          <w:color w:val="auto"/>
          <w:sz w:val="28"/>
          <w:szCs w:val="28"/>
          <w:lang w:val="en-US" w:eastAsia="zh-CN"/>
        </w:rPr>
        <w:t>完善各项管理制度，</w:t>
      </w:r>
      <w:r>
        <w:rPr>
          <w:rFonts w:hint="default" w:ascii="Times New Roman" w:hAnsi="Times New Roman" w:eastAsia="宋体" w:cs="Times New Roman"/>
          <w:color w:val="auto"/>
          <w:sz w:val="28"/>
          <w:szCs w:val="28"/>
        </w:rPr>
        <w:t>严格杜绝</w:t>
      </w:r>
      <w:r>
        <w:rPr>
          <w:rFonts w:hint="default" w:ascii="Times New Roman" w:hAnsi="Times New Roman" w:eastAsia="宋体" w:cs="Times New Roman"/>
          <w:color w:val="auto"/>
          <w:sz w:val="28"/>
          <w:szCs w:val="28"/>
          <w:lang w:val="en-US" w:eastAsia="zh-CN"/>
        </w:rPr>
        <w:t>污水处理系统</w:t>
      </w:r>
      <w:r>
        <w:rPr>
          <w:rFonts w:hint="default" w:ascii="Times New Roman" w:hAnsi="Times New Roman" w:eastAsia="宋体" w:cs="Times New Roman"/>
          <w:color w:val="auto"/>
          <w:sz w:val="28"/>
          <w:szCs w:val="28"/>
        </w:rPr>
        <w:t>跑、冒、滴、漏现象的发生，维持设备处于良好的运转状态，</w:t>
      </w:r>
      <w:r>
        <w:rPr>
          <w:rFonts w:hint="default" w:ascii="Times New Roman" w:hAnsi="Times New Roman" w:eastAsia="宋体" w:cs="Times New Roman"/>
          <w:color w:val="auto"/>
          <w:sz w:val="28"/>
          <w:szCs w:val="28"/>
          <w:lang w:val="en-US" w:eastAsia="zh-CN"/>
        </w:rPr>
        <w:t>确保各项污染物长期稳定达标排放。</w:t>
      </w:r>
    </w:p>
    <w:p>
      <w:pPr>
        <w:pStyle w:val="57"/>
        <w:widowControl w:val="0"/>
        <w:wordWrap/>
        <w:adjustRightInd/>
        <w:snapToGrid/>
        <w:spacing w:before="157" w:beforeLines="50" w:after="157" w:afterLines="50" w:line="560" w:lineRule="exact"/>
        <w:ind w:left="0" w:leftChars="0" w:right="0" w:firstLine="0" w:firstLineChars="0"/>
        <w:jc w:val="both"/>
        <w:textAlignment w:val="auto"/>
        <w:outlineLvl w:val="1"/>
        <w:rPr>
          <w:rFonts w:hint="default" w:ascii="Times New Roman" w:hAnsi="Times New Roman" w:eastAsia="宋体" w:cs="Times New Roman"/>
          <w:b/>
          <w:bCs/>
          <w:color w:val="auto"/>
          <w:sz w:val="32"/>
          <w:szCs w:val="32"/>
        </w:rPr>
      </w:pPr>
      <w:bookmarkStart w:id="134" w:name="_Toc4994"/>
      <w:r>
        <w:rPr>
          <w:rFonts w:hint="default" w:ascii="Times New Roman" w:hAnsi="Times New Roman" w:eastAsia="宋体" w:cs="Times New Roman"/>
          <w:b/>
          <w:bCs/>
          <w:color w:val="auto"/>
          <w:sz w:val="32"/>
          <w:szCs w:val="32"/>
          <w:lang w:val="en-US" w:eastAsia="zh-CN"/>
        </w:rPr>
        <w:t>8</w:t>
      </w:r>
      <w:r>
        <w:rPr>
          <w:rFonts w:hint="default" w:ascii="Times New Roman" w:hAnsi="Times New Roman" w:eastAsia="宋体" w:cs="Times New Roman"/>
          <w:b/>
          <w:bCs/>
          <w:color w:val="auto"/>
          <w:sz w:val="32"/>
          <w:szCs w:val="32"/>
        </w:rPr>
        <w:t>.3 验收</w:t>
      </w:r>
      <w:r>
        <w:rPr>
          <w:rFonts w:hint="eastAsia" w:ascii="Times New Roman" w:hAnsi="Times New Roman" w:eastAsia="宋体" w:cs="Times New Roman"/>
          <w:b/>
          <w:bCs/>
          <w:color w:val="auto"/>
          <w:sz w:val="32"/>
          <w:szCs w:val="32"/>
          <w:lang w:eastAsia="zh-CN"/>
        </w:rPr>
        <w:t>总</w:t>
      </w:r>
      <w:r>
        <w:rPr>
          <w:rFonts w:hint="default" w:ascii="Times New Roman" w:hAnsi="Times New Roman" w:eastAsia="宋体" w:cs="Times New Roman"/>
          <w:b/>
          <w:bCs/>
          <w:color w:val="auto"/>
          <w:sz w:val="32"/>
          <w:szCs w:val="32"/>
        </w:rPr>
        <w:t>结论</w:t>
      </w:r>
      <w:bookmarkEnd w:id="134"/>
    </w:p>
    <w:p>
      <w:pPr>
        <w:pStyle w:val="18"/>
        <w:widowControl w:val="0"/>
        <w:wordWrap/>
        <w:adjustRightInd/>
        <w:snapToGrid/>
        <w:spacing w:before="0" w:after="0" w:line="560" w:lineRule="exact"/>
        <w:ind w:left="0" w:leftChars="0" w:right="0" w:firstLine="56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b w:val="0"/>
          <w:bCs w:val="0"/>
          <w:color w:val="auto"/>
          <w:sz w:val="28"/>
          <w:szCs w:val="28"/>
        </w:rPr>
        <w:t>综上所述，建设单位基本落实了“环评”及批复中提出的生态保护和污染治理措施，主要污染物达标排放，在保证现有环保设施正常运行</w:t>
      </w:r>
      <w:r>
        <w:rPr>
          <w:rFonts w:hint="default" w:ascii="Times New Roman" w:hAnsi="Times New Roman" w:eastAsia="宋体" w:cs="Times New Roman"/>
          <w:b w:val="0"/>
          <w:bCs w:val="0"/>
          <w:color w:val="auto"/>
          <w:sz w:val="28"/>
          <w:szCs w:val="28"/>
          <w:lang w:eastAsia="zh-CN"/>
        </w:rPr>
        <w:t>，</w:t>
      </w:r>
      <w:r>
        <w:rPr>
          <w:rFonts w:hint="default" w:ascii="Times New Roman" w:hAnsi="Times New Roman" w:eastAsia="宋体" w:cs="Times New Roman"/>
          <w:b w:val="0"/>
          <w:bCs w:val="0"/>
          <w:color w:val="auto"/>
          <w:sz w:val="28"/>
          <w:szCs w:val="28"/>
        </w:rPr>
        <w:t>采取本</w:t>
      </w:r>
      <w:r>
        <w:rPr>
          <w:rFonts w:hint="default" w:ascii="Times New Roman" w:hAnsi="Times New Roman" w:eastAsia="宋体" w:cs="Times New Roman"/>
          <w:b w:val="0"/>
          <w:bCs w:val="0"/>
          <w:color w:val="auto"/>
          <w:sz w:val="28"/>
          <w:szCs w:val="28"/>
          <w:lang w:eastAsia="zh-CN"/>
        </w:rPr>
        <w:t>验收</w:t>
      </w:r>
      <w:r>
        <w:rPr>
          <w:rFonts w:hint="default" w:ascii="Times New Roman" w:hAnsi="Times New Roman" w:eastAsia="宋体" w:cs="Times New Roman"/>
          <w:b w:val="0"/>
          <w:bCs w:val="0"/>
          <w:color w:val="auto"/>
          <w:sz w:val="28"/>
          <w:szCs w:val="28"/>
          <w:lang w:val="en-US" w:eastAsia="zh-CN"/>
        </w:rPr>
        <w:t>监测</w:t>
      </w:r>
      <w:r>
        <w:rPr>
          <w:rFonts w:hint="default" w:ascii="Times New Roman" w:hAnsi="Times New Roman" w:eastAsia="宋体" w:cs="Times New Roman"/>
          <w:b w:val="0"/>
          <w:bCs w:val="0"/>
          <w:color w:val="auto"/>
          <w:sz w:val="28"/>
          <w:szCs w:val="28"/>
          <w:lang w:eastAsia="zh-CN"/>
        </w:rPr>
        <w:t>报告</w:t>
      </w:r>
      <w:r>
        <w:rPr>
          <w:rFonts w:hint="default" w:ascii="Times New Roman" w:hAnsi="Times New Roman" w:eastAsia="宋体" w:cs="Times New Roman"/>
          <w:b w:val="0"/>
          <w:bCs w:val="0"/>
          <w:color w:val="auto"/>
          <w:sz w:val="28"/>
          <w:szCs w:val="28"/>
        </w:rPr>
        <w:t>提出的要求及建议或等同效果的措施后，</w:t>
      </w:r>
      <w:r>
        <w:rPr>
          <w:rFonts w:hint="default" w:ascii="Times New Roman" w:hAnsi="Times New Roman" w:eastAsia="宋体" w:cs="Times New Roman"/>
          <w:b w:val="0"/>
          <w:bCs w:val="0"/>
          <w:color w:val="auto"/>
          <w:sz w:val="28"/>
          <w:szCs w:val="28"/>
          <w:lang w:eastAsia="zh-CN"/>
        </w:rPr>
        <w:t>本项目能够达到项目竣工环境保护验收的相关要求，</w:t>
      </w:r>
      <w:r>
        <w:rPr>
          <w:rFonts w:hint="default" w:ascii="Times New Roman" w:hAnsi="Times New Roman" w:eastAsia="宋体" w:cs="Times New Roman"/>
          <w:b w:val="0"/>
          <w:bCs w:val="0"/>
          <w:color w:val="auto"/>
          <w:sz w:val="28"/>
          <w:szCs w:val="28"/>
        </w:rPr>
        <w:t>建议</w:t>
      </w:r>
      <w:r>
        <w:rPr>
          <w:rFonts w:hint="default" w:ascii="Times New Roman" w:hAnsi="Times New Roman" w:eastAsia="宋体" w:cs="Times New Roman"/>
          <w:b w:val="0"/>
          <w:bCs w:val="0"/>
          <w:color w:val="auto"/>
          <w:sz w:val="28"/>
          <w:szCs w:val="28"/>
          <w:lang w:eastAsia="zh-CN"/>
        </w:rPr>
        <w:t>建设单位组织开展本项目竣工环境保护</w:t>
      </w:r>
      <w:r>
        <w:rPr>
          <w:rFonts w:hint="default" w:ascii="Times New Roman" w:hAnsi="Times New Roman" w:eastAsia="宋体" w:cs="Times New Roman"/>
          <w:b w:val="0"/>
          <w:bCs w:val="0"/>
          <w:color w:val="auto"/>
          <w:sz w:val="28"/>
          <w:szCs w:val="28"/>
        </w:rPr>
        <w:t>验收</w:t>
      </w:r>
      <w:r>
        <w:rPr>
          <w:rFonts w:hint="default" w:ascii="Times New Roman" w:hAnsi="Times New Roman" w:eastAsia="宋体" w:cs="Times New Roman"/>
          <w:b w:val="0"/>
          <w:bCs w:val="0"/>
          <w:color w:val="auto"/>
          <w:sz w:val="28"/>
          <w:szCs w:val="28"/>
          <w:lang w:eastAsia="zh-CN"/>
        </w:rPr>
        <w:t>工作</w:t>
      </w:r>
      <w:r>
        <w:rPr>
          <w:rFonts w:hint="default" w:ascii="Times New Roman" w:hAnsi="Times New Roman" w:eastAsia="宋体" w:cs="Times New Roman"/>
          <w:b w:val="0"/>
          <w:bCs w:val="0"/>
          <w:color w:val="auto"/>
          <w:sz w:val="28"/>
          <w:szCs w:val="28"/>
        </w:rPr>
        <w:t>。</w:t>
      </w: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pStyle w:val="2"/>
        <w:rPr>
          <w:rFonts w:hint="default" w:ascii="Times New Roman" w:hAnsi="Times New Roman" w:eastAsia="宋体" w:cs="Times New Roman"/>
          <w:color w:val="auto"/>
          <w:lang w:val="en-US" w:eastAsia="zh-CN"/>
        </w:rPr>
      </w:pPr>
    </w:p>
    <w:sectPr>
      <w:footerReference r:id="rId10"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隶书">
    <w:altName w:val="微软雅黑"/>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jc w:val="center"/>
    </w:pPr>
  </w:p>
  <w:p>
    <w:pPr>
      <w:jc w:val="right"/>
    </w:pPr>
    <w:r>
      <w:rPr>
        <w:rFonts w:hint="eastAsia" w:ascii="宋体" w:hAnsi="宋体"/>
        <w:sz w:val="18"/>
        <w:szCs w:val="18"/>
      </w:rPr>
      <w:t>新疆天蓝蓝保护技术服务有限公司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framePr w:wrap="around" w:vAnchor="text" w:hAnchor="margin" w:xAlign="right" w:y="2"/>
      <w:rPr>
        <w:rStyle w:val="23"/>
      </w:rPr>
    </w:pPr>
    <w:r>
      <w:fldChar w:fldCharType="begin"/>
    </w:r>
    <w:r>
      <w:rPr>
        <w:rStyle w:val="23"/>
      </w:rPr>
      <w:instrText xml:space="preserve">PAGE  </w:instrText>
    </w:r>
    <w:r>
      <w:fldChar w:fldCharType="end"/>
    </w:r>
  </w:p>
  <w:p>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jc w:val="center"/>
    </w:pPr>
    <w:r>
      <w:rPr>
        <w:kern w:val="2"/>
        <w:sz w:val="18"/>
        <w:szCs w:val="18"/>
        <w:lang w:val="en-US" w:eastAsia="zh-CN" w:bidi="ar-SA"/>
      </w:rPr>
      <w:pict>
        <v:shape id="文本框 1029" o:spid="_x0000_s1027" type="#_x0000_t202" style="position:absolute;left:0;margin-top:0pt;height:144pt;width:144pt;mso-position-horizontal:center;mso-position-horizontal-relative:margin;mso-wrap-style:none;rotation:0f;z-index:2516592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8</w:t>
                </w:r>
                <w:r>
                  <w:rPr>
                    <w:rFonts w:hint="eastAsia"/>
                    <w:sz w:val="18"/>
                  </w:rPr>
                  <w:fldChar w:fldCharType="end"/>
                </w:r>
              </w:p>
            </w:txbxContent>
          </v:textbox>
        </v:shape>
      </w:pict>
    </w:r>
  </w:p>
  <w:p>
    <w:pPr>
      <w:jc w:val="right"/>
    </w:pPr>
    <w:r>
      <w:rPr>
        <w:rFonts w:hint="eastAsia" w:ascii="宋体" w:hAnsi="宋体"/>
        <w:sz w:val="18"/>
        <w:szCs w:val="18"/>
      </w:rPr>
      <w:t>新疆天蓝蓝保护技术服务有限公司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pPr>
    <w:r>
      <w:rPr>
        <w:kern w:val="2"/>
        <w:sz w:val="18"/>
        <w:szCs w:val="18"/>
        <w:lang w:val="en-US" w:eastAsia="zh-CN" w:bidi="ar-SA"/>
      </w:rPr>
      <w:pict>
        <v:shape id="文本框 1030" o:spid="_x0000_s1028" type="#_x0000_t202" style="position:absolute;left:0;margin-top:0pt;height:144pt;width:144pt;mso-position-horizontal:center;mso-position-horizontal-relative:margin;mso-wrap-style:none;rotation:0f;z-index:2516602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jc w:val="center"/>
    </w:pPr>
    <w:r>
      <w:rPr>
        <w:kern w:val="2"/>
        <w:sz w:val="18"/>
        <w:szCs w:val="18"/>
        <w:lang w:val="en-US" w:eastAsia="zh-CN" w:bidi="ar-SA"/>
      </w:rPr>
      <w:pict>
        <v:shape id="文本框 1031" o:spid="_x0000_s1029" type="#_x0000_t202" style="position:absolute;left:0;margin-top:0pt;height:144pt;width:144pt;mso-position-horizontal:center;mso-position-horizontal-relative:margin;mso-wrap-style:none;rotation:0f;z-index:25166233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w:r>
  </w:p>
  <w:p>
    <w:pPr>
      <w:jc w:val="right"/>
    </w:pPr>
    <w:r>
      <w:rPr>
        <w:rFonts w:hint="eastAsia" w:ascii="宋体" w:hAnsi="宋体"/>
        <w:sz w:val="18"/>
        <w:szCs w:val="18"/>
      </w:rPr>
      <w:t>新疆天蓝蓝保护技术服务有限公司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single" w:color="auto" w:sz="4" w:space="0"/>
      </w:pBdr>
      <w:jc w:val="center"/>
      <w:rPr>
        <w:rFonts w:hint="eastAsia" w:ascii="宋体" w:hAnsi="宋体" w:cs="宋体"/>
        <w:sz w:val="18"/>
        <w:szCs w:val="18"/>
      </w:rPr>
    </w:pPr>
    <w:r>
      <w:rPr>
        <w:rFonts w:hint="eastAsia" w:ascii="宋体" w:hAnsi="宋体" w:cs="宋体"/>
        <w:sz w:val="18"/>
        <w:szCs w:val="18"/>
        <w:lang w:val="en-US" w:eastAsia="zh-CN"/>
      </w:rPr>
      <w:t>新疆哈密风电基地二期三塘湖第三风电场B区200MW项目竣工环境保护验收调查报告</w:t>
    </w:r>
    <w:r>
      <w:rPr>
        <w:rFonts w:hint="eastAsia" w:ascii="宋体" w:hAnsi="宋体" w:cs="宋体"/>
        <w:kern w:val="2"/>
        <w:sz w:val="18"/>
        <w:szCs w:val="18"/>
        <w:lang w:val="en-US" w:eastAsia="zh-CN" w:bidi="ar-SA"/>
      </w:rPr>
      <w:pict>
        <v:shape id="Picture 1" o:spid="_x0000_s1025" type="#_x0000_t75" style="position:absolute;left:0;margin-left:-55.25pt;margin-top:-20.45pt;height:53.7pt;width:54pt;rotation:0f;z-index:251661312;" o:ole="f" fillcolor="#FFFFFF" filled="f" o:preferrelative="t" stroked="f" coordorigin="0,0" coordsize="21600,21600">
          <v:fill on="f" color2="#FFFFFF" focus="0%"/>
          <v:imagedata gain="93622f" blacklevel="7863f" gamma="0" o:title="" r:id="rId1"/>
          <o:lock v:ext="edit" position="f" selection="f" grouping="f" rotation="f" cropping="f" text="f" aspectratio="t"/>
        </v:shape>
      </w:pict>
    </w:r>
    <w:r>
      <w:rPr>
        <w:rFonts w:hint="eastAsia" w:ascii="宋体" w:hAnsi="宋体" w:cs="宋体"/>
        <w:kern w:val="2"/>
        <w:sz w:val="18"/>
        <w:szCs w:val="18"/>
        <w:lang w:val="en-US" w:eastAsia="zh-CN" w:bidi="ar-SA"/>
      </w:rPr>
      <w:pict>
        <v:shape id="Picture 1" o:spid="_x0000_s1026" type="#_x0000_t75" style="position:absolute;left:0;margin-left:-55.25pt;margin-top:-20.45pt;height:53.7pt;width:54pt;rotation:0f;z-index:251658240;" o:ole="f" fillcolor="#FFFFFF" filled="f" o:preferrelative="t" stroked="f" coordorigin="0,0" coordsize="21600,21600">
          <v:fill on="f" color2="#FFFFFF" focus="0%"/>
          <v:imagedata gain="93622f" blacklevel="7863f" gamma="0" o:title="" r:id="rId1"/>
          <o:lock v:ext="edit" position="f" selection="f" grouping="f" rotation="f" cropping="f" text="f"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05706636">
    <w:nsid w:val="59BF428C"/>
    <w:multiLevelType w:val="singleLevel"/>
    <w:tmpl w:val="59BF428C"/>
    <w:lvl w:ilvl="0" w:tentative="1">
      <w:start w:val="1"/>
      <w:numFmt w:val="decimal"/>
      <w:suff w:val="nothing"/>
      <w:lvlText w:val="（%1）"/>
      <w:lvlJc w:val="left"/>
    </w:lvl>
  </w:abstractNum>
  <w:abstractNum w:abstractNumId="1502183248">
    <w:nsid w:val="59897F50"/>
    <w:multiLevelType w:val="singleLevel"/>
    <w:tmpl w:val="59897F50"/>
    <w:lvl w:ilvl="0" w:tentative="1">
      <w:start w:val="1"/>
      <w:numFmt w:val="decimal"/>
      <w:suff w:val="nothing"/>
      <w:lvlText w:val="（%1）"/>
      <w:lvlJc w:val="left"/>
    </w:lvl>
  </w:abstractNum>
  <w:abstractNum w:abstractNumId="1496871880">
    <w:nsid w:val="593873C8"/>
    <w:multiLevelType w:val="singleLevel"/>
    <w:tmpl w:val="593873C8"/>
    <w:lvl w:ilvl="0" w:tentative="1">
      <w:start w:val="1"/>
      <w:numFmt w:val="decimal"/>
      <w:suff w:val="nothing"/>
      <w:lvlText w:val="（%1）"/>
      <w:lvlJc w:val="left"/>
    </w:lvl>
  </w:abstractNum>
  <w:abstractNum w:abstractNumId="378626778">
    <w:nsid w:val="169162DA"/>
    <w:multiLevelType w:val="multilevel"/>
    <w:tmpl w:val="169162DA"/>
    <w:lvl w:ilvl="0" w:tentative="1">
      <w:start w:val="1"/>
      <w:numFmt w:val="decimal"/>
      <w:suff w:val="nothing"/>
      <w:lvlText w:val="第%1章  "/>
      <w:lvlJc w:val="left"/>
      <w:pPr>
        <w:ind w:left="0" w:firstLine="0"/>
      </w:pPr>
      <w:rPr>
        <w:rFonts w:hint="eastAsia" w:ascii="隶书" w:hAnsi="Times New Roman" w:eastAsia="隶书" w:cs="Times New Roman"/>
        <w:b/>
        <w:bCs w:val="0"/>
        <w:i w:val="0"/>
        <w:iCs w:val="0"/>
        <w:caps w:val="0"/>
        <w:smallCaps w:val="0"/>
        <w:strike w:val="0"/>
        <w:dstrike w:val="0"/>
        <w:outline w:val="0"/>
        <w:shadow w:val="0"/>
        <w:spacing w:val="0"/>
        <w:position w:val="0"/>
        <w:sz w:val="48"/>
        <w:szCs w:val="48"/>
        <w:u w:val="none"/>
      </w:rPr>
    </w:lvl>
    <w:lvl w:ilvl="1" w:tentative="1">
      <w:start w:val="1"/>
      <w:numFmt w:val="decimal"/>
      <w:isLgl/>
      <w:suff w:val="nothing"/>
      <w:lvlText w:val="%1.%2 "/>
      <w:lvlJc w:val="left"/>
      <w:pPr>
        <w:ind w:left="0" w:firstLine="0"/>
      </w:pPr>
      <w:rPr>
        <w:rFonts w:hint="eastAsia" w:ascii="黑体" w:hAnsi="Times New Roman" w:eastAsia="黑体" w:cs="Times New Roman"/>
        <w:b/>
        <w:bCs w:val="0"/>
        <w:i w:val="0"/>
        <w:iCs w:val="0"/>
        <w:caps w:val="0"/>
        <w:strike w:val="0"/>
        <w:dstrike w:val="0"/>
        <w:outline w:val="0"/>
        <w:shadow w:val="0"/>
        <w:spacing w:val="0"/>
        <w:position w:val="0"/>
        <w:sz w:val="30"/>
        <w:szCs w:val="30"/>
        <w:u w:val="none"/>
      </w:rPr>
    </w:lvl>
    <w:lvl w:ilvl="2" w:tentative="1">
      <w:start w:val="1"/>
      <w:numFmt w:val="decimal"/>
      <w:pStyle w:val="41"/>
      <w:isLgl/>
      <w:suff w:val="nothing"/>
      <w:lvlText w:val="%1.%2.%3 "/>
      <w:lvlJc w:val="left"/>
      <w:pPr>
        <w:ind w:left="0" w:firstLine="0"/>
      </w:pPr>
      <w:rPr>
        <w:rFonts w:hint="eastAsia" w:ascii="宋体" w:hAnsi="Times New Roman" w:eastAsia="宋体" w:cs="Times New Roman"/>
        <w:b/>
        <w:bCs w:val="0"/>
        <w:i w:val="0"/>
        <w:iCs w:val="0"/>
        <w:caps w:val="0"/>
        <w:smallCaps w:val="0"/>
        <w:strike w:val="0"/>
        <w:dstrike w:val="0"/>
        <w:outline w:val="0"/>
        <w:shadow w:val="0"/>
        <w:spacing w:val="0"/>
        <w:position w:val="0"/>
        <w:sz w:val="28"/>
        <w:szCs w:val="28"/>
        <w:u w:val="none"/>
      </w:rPr>
    </w:lvl>
    <w:lvl w:ilvl="3" w:tentative="1">
      <w:start w:val="1"/>
      <w:numFmt w:val="decimal"/>
      <w:isLgl/>
      <w:suff w:val="nothing"/>
      <w:lvlText w:val="%1.%2.%3.%4 "/>
      <w:lvlJc w:val="left"/>
      <w:pPr>
        <w:ind w:left="0" w:firstLine="0"/>
      </w:pPr>
    </w:lvl>
    <w:lvl w:ilvl="4" w:tentative="1">
      <w:start w:val="1"/>
      <w:numFmt w:val="decimal"/>
      <w:isLgl/>
      <w:suff w:val="nothing"/>
      <w:lvlText w:val="%1.%2.%3.%4.%5  "/>
      <w:lvlJc w:val="left"/>
      <w:pPr>
        <w:ind w:left="0" w:firstLine="0"/>
      </w:pPr>
      <w:rPr>
        <w:rFonts w:hint="default" w:ascii="Arial" w:hAnsi="Arial" w:eastAsia="黑体" w:cs="Arial"/>
        <w:sz w:val="21"/>
        <w:szCs w:val="21"/>
      </w:rPr>
    </w:lvl>
    <w:lvl w:ilvl="5" w:tentative="1">
      <w:start w:val="1"/>
      <w:numFmt w:val="lowerLetter"/>
      <w:lvlText w:val="%6."/>
      <w:lvlJc w:val="left"/>
      <w:pPr>
        <w:tabs>
          <w:tab w:val="left" w:pos="971"/>
        </w:tabs>
        <w:ind w:left="971" w:hanging="425"/>
      </w:pPr>
      <w:rPr>
        <w:rFonts w:hint="eastAsia"/>
      </w:rPr>
    </w:lvl>
    <w:lvl w:ilvl="6" w:tentative="1">
      <w:start w:val="1"/>
      <w:numFmt w:val="lowerRoman"/>
      <w:lvlText w:val="%7."/>
      <w:lvlJc w:val="left"/>
      <w:pPr>
        <w:tabs>
          <w:tab w:val="left" w:pos="1397"/>
        </w:tabs>
        <w:ind w:left="1397" w:hanging="426"/>
      </w:pPr>
      <w:rPr>
        <w:rFonts w:hint="eastAsia"/>
      </w:rPr>
    </w:lvl>
    <w:lvl w:ilvl="7" w:tentative="1">
      <w:start w:val="1"/>
      <w:numFmt w:val="lowerLetter"/>
      <w:lvlText w:val="%8."/>
      <w:lvlJc w:val="left"/>
      <w:pPr>
        <w:tabs>
          <w:tab w:val="left" w:pos="1822"/>
        </w:tabs>
        <w:ind w:left="1822" w:hanging="425"/>
      </w:pPr>
      <w:rPr>
        <w:rFonts w:hint="eastAsia"/>
      </w:rPr>
    </w:lvl>
    <w:lvl w:ilvl="8" w:tentative="1">
      <w:start w:val="1"/>
      <w:numFmt w:val="lowerRoman"/>
      <w:lvlText w:val="%9."/>
      <w:lvlJc w:val="left"/>
      <w:pPr>
        <w:tabs>
          <w:tab w:val="left" w:pos="2247"/>
        </w:tabs>
        <w:ind w:left="2247" w:hanging="425"/>
      </w:pPr>
      <w:rPr>
        <w:rFonts w:hint="eastAsia"/>
      </w:rPr>
    </w:lvl>
  </w:abstractNum>
  <w:abstractNum w:abstractNumId="1507606497">
    <w:nsid w:val="59DC3FE1"/>
    <w:multiLevelType w:val="singleLevel"/>
    <w:tmpl w:val="59DC3FE1"/>
    <w:lvl w:ilvl="0" w:tentative="1">
      <w:start w:val="1"/>
      <w:numFmt w:val="decimal"/>
      <w:suff w:val="nothing"/>
      <w:lvlText w:val="（%1）"/>
      <w:lvlJc w:val="left"/>
    </w:lvl>
  </w:abstractNum>
  <w:abstractNum w:abstractNumId="1509517671">
    <w:nsid w:val="59F96967"/>
    <w:multiLevelType w:val="singleLevel"/>
    <w:tmpl w:val="59F96967"/>
    <w:lvl w:ilvl="0" w:tentative="1">
      <w:start w:val="1"/>
      <w:numFmt w:val="decimal"/>
      <w:suff w:val="nothing"/>
      <w:lvlText w:val="（%1）"/>
      <w:lvlJc w:val="left"/>
    </w:lvl>
  </w:abstractNum>
  <w:abstractNum w:abstractNumId="1513837283">
    <w:nsid w:val="5A3B52E3"/>
    <w:multiLevelType w:val="singleLevel"/>
    <w:tmpl w:val="5A3B52E3"/>
    <w:lvl w:ilvl="0" w:tentative="1">
      <w:start w:val="1"/>
      <w:numFmt w:val="decimal"/>
      <w:suff w:val="nothing"/>
      <w:lvlText w:val="（%1）"/>
      <w:lvlJc w:val="left"/>
    </w:lvl>
  </w:abstractNum>
  <w:abstractNum w:abstractNumId="1513838007">
    <w:nsid w:val="5A3B55B7"/>
    <w:multiLevelType w:val="singleLevel"/>
    <w:tmpl w:val="5A3B55B7"/>
    <w:lvl w:ilvl="0" w:tentative="1">
      <w:start w:val="1"/>
      <w:numFmt w:val="chineseCounting"/>
      <w:suff w:val="nothing"/>
      <w:lvlText w:val="%1、"/>
      <w:lvlJc w:val="left"/>
    </w:lvl>
  </w:abstractNum>
  <w:num w:numId="1">
    <w:abstractNumId w:val="378626778"/>
  </w:num>
  <w:num w:numId="2">
    <w:abstractNumId w:val="1505706636"/>
  </w:num>
  <w:num w:numId="3">
    <w:abstractNumId w:val="1513837283"/>
  </w:num>
  <w:num w:numId="4">
    <w:abstractNumId w:val="1513838007"/>
  </w:num>
  <w:num w:numId="5">
    <w:abstractNumId w:val="1507606497"/>
  </w:num>
  <w:num w:numId="6">
    <w:abstractNumId w:val="1509517671"/>
  </w:num>
  <w:num w:numId="7">
    <w:abstractNumId w:val="1496871880"/>
  </w:num>
  <w:num w:numId="8">
    <w:abstractNumId w:val="15021832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splitPgBreakAndParaMark/>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6E5DA6"/>
    <w:rsid w:val="0000281E"/>
    <w:rsid w:val="00004492"/>
    <w:rsid w:val="00004D08"/>
    <w:rsid w:val="000108B2"/>
    <w:rsid w:val="00026A9B"/>
    <w:rsid w:val="00040181"/>
    <w:rsid w:val="00043FEA"/>
    <w:rsid w:val="00051B82"/>
    <w:rsid w:val="000669C1"/>
    <w:rsid w:val="00074C0E"/>
    <w:rsid w:val="00077723"/>
    <w:rsid w:val="000867E2"/>
    <w:rsid w:val="000973C8"/>
    <w:rsid w:val="000A1701"/>
    <w:rsid w:val="000A305D"/>
    <w:rsid w:val="000A6A43"/>
    <w:rsid w:val="000B3245"/>
    <w:rsid w:val="000B5870"/>
    <w:rsid w:val="000B6DEB"/>
    <w:rsid w:val="000E14E5"/>
    <w:rsid w:val="000E282C"/>
    <w:rsid w:val="000E4AF9"/>
    <w:rsid w:val="000F17BA"/>
    <w:rsid w:val="000F181F"/>
    <w:rsid w:val="000F2127"/>
    <w:rsid w:val="00113749"/>
    <w:rsid w:val="00113DD4"/>
    <w:rsid w:val="00130ED2"/>
    <w:rsid w:val="00132F6D"/>
    <w:rsid w:val="00135A81"/>
    <w:rsid w:val="0013658D"/>
    <w:rsid w:val="00143A95"/>
    <w:rsid w:val="00146064"/>
    <w:rsid w:val="00154E1A"/>
    <w:rsid w:val="001635D1"/>
    <w:rsid w:val="0016685D"/>
    <w:rsid w:val="00176147"/>
    <w:rsid w:val="001834EC"/>
    <w:rsid w:val="00185518"/>
    <w:rsid w:val="001857C8"/>
    <w:rsid w:val="0019466D"/>
    <w:rsid w:val="00197EDA"/>
    <w:rsid w:val="001A02AB"/>
    <w:rsid w:val="001B35A8"/>
    <w:rsid w:val="001D1378"/>
    <w:rsid w:val="001D2759"/>
    <w:rsid w:val="001E57EF"/>
    <w:rsid w:val="001E6D10"/>
    <w:rsid w:val="001F1D28"/>
    <w:rsid w:val="00200CEF"/>
    <w:rsid w:val="0021410C"/>
    <w:rsid w:val="00217512"/>
    <w:rsid w:val="002204ED"/>
    <w:rsid w:val="002210CD"/>
    <w:rsid w:val="00222D98"/>
    <w:rsid w:val="00222DAC"/>
    <w:rsid w:val="00236A38"/>
    <w:rsid w:val="0024042D"/>
    <w:rsid w:val="002419C5"/>
    <w:rsid w:val="0026166E"/>
    <w:rsid w:val="002616D0"/>
    <w:rsid w:val="00271437"/>
    <w:rsid w:val="00274D57"/>
    <w:rsid w:val="00276CDC"/>
    <w:rsid w:val="002834B4"/>
    <w:rsid w:val="00293F28"/>
    <w:rsid w:val="00294DAA"/>
    <w:rsid w:val="002A20F6"/>
    <w:rsid w:val="002B0D1F"/>
    <w:rsid w:val="002B5009"/>
    <w:rsid w:val="002C45FC"/>
    <w:rsid w:val="002D0001"/>
    <w:rsid w:val="002D262F"/>
    <w:rsid w:val="002E3FB0"/>
    <w:rsid w:val="002E4335"/>
    <w:rsid w:val="002E4CCB"/>
    <w:rsid w:val="002F1ED5"/>
    <w:rsid w:val="003114A9"/>
    <w:rsid w:val="003146C4"/>
    <w:rsid w:val="003164A6"/>
    <w:rsid w:val="00334334"/>
    <w:rsid w:val="003458B0"/>
    <w:rsid w:val="00347239"/>
    <w:rsid w:val="00356252"/>
    <w:rsid w:val="0035651E"/>
    <w:rsid w:val="00363880"/>
    <w:rsid w:val="00364428"/>
    <w:rsid w:val="003779B3"/>
    <w:rsid w:val="0038596E"/>
    <w:rsid w:val="0039653C"/>
    <w:rsid w:val="003A3515"/>
    <w:rsid w:val="003A6423"/>
    <w:rsid w:val="003B3082"/>
    <w:rsid w:val="003B7D31"/>
    <w:rsid w:val="003C752F"/>
    <w:rsid w:val="003D147B"/>
    <w:rsid w:val="003E1B1D"/>
    <w:rsid w:val="003E510A"/>
    <w:rsid w:val="003E5C9F"/>
    <w:rsid w:val="003E71C4"/>
    <w:rsid w:val="003F0B5E"/>
    <w:rsid w:val="003F5F24"/>
    <w:rsid w:val="003F751A"/>
    <w:rsid w:val="0040464F"/>
    <w:rsid w:val="004124A3"/>
    <w:rsid w:val="00431062"/>
    <w:rsid w:val="0045661B"/>
    <w:rsid w:val="0045792F"/>
    <w:rsid w:val="004603AB"/>
    <w:rsid w:val="004607EB"/>
    <w:rsid w:val="004611EA"/>
    <w:rsid w:val="00462694"/>
    <w:rsid w:val="0046407A"/>
    <w:rsid w:val="00465599"/>
    <w:rsid w:val="00465CA8"/>
    <w:rsid w:val="00474AD5"/>
    <w:rsid w:val="00483D91"/>
    <w:rsid w:val="00495E06"/>
    <w:rsid w:val="004A1DB9"/>
    <w:rsid w:val="004B71F2"/>
    <w:rsid w:val="004C1D5F"/>
    <w:rsid w:val="004D0118"/>
    <w:rsid w:val="004D1D47"/>
    <w:rsid w:val="004D4B1B"/>
    <w:rsid w:val="004D4FA4"/>
    <w:rsid w:val="004D6C5B"/>
    <w:rsid w:val="004E6116"/>
    <w:rsid w:val="004F51FB"/>
    <w:rsid w:val="005128AE"/>
    <w:rsid w:val="00514FE4"/>
    <w:rsid w:val="0051500E"/>
    <w:rsid w:val="00520DF0"/>
    <w:rsid w:val="005336B1"/>
    <w:rsid w:val="00534FE2"/>
    <w:rsid w:val="0053731B"/>
    <w:rsid w:val="005511CE"/>
    <w:rsid w:val="00556C47"/>
    <w:rsid w:val="00556CF4"/>
    <w:rsid w:val="00564030"/>
    <w:rsid w:val="00567608"/>
    <w:rsid w:val="00583791"/>
    <w:rsid w:val="005A6C56"/>
    <w:rsid w:val="005B3C60"/>
    <w:rsid w:val="005C7989"/>
    <w:rsid w:val="005D2FFB"/>
    <w:rsid w:val="005E558A"/>
    <w:rsid w:val="005F671F"/>
    <w:rsid w:val="00603303"/>
    <w:rsid w:val="0060399C"/>
    <w:rsid w:val="00613D17"/>
    <w:rsid w:val="006410FB"/>
    <w:rsid w:val="0064437F"/>
    <w:rsid w:val="00644C14"/>
    <w:rsid w:val="00645DB3"/>
    <w:rsid w:val="006503EC"/>
    <w:rsid w:val="00666BE9"/>
    <w:rsid w:val="006801AE"/>
    <w:rsid w:val="0068146F"/>
    <w:rsid w:val="0068322E"/>
    <w:rsid w:val="0068547B"/>
    <w:rsid w:val="00685516"/>
    <w:rsid w:val="0069239E"/>
    <w:rsid w:val="006A1503"/>
    <w:rsid w:val="006A4587"/>
    <w:rsid w:val="006B2806"/>
    <w:rsid w:val="006B4A0C"/>
    <w:rsid w:val="006B6B04"/>
    <w:rsid w:val="006B6E5D"/>
    <w:rsid w:val="006C46B7"/>
    <w:rsid w:val="006D2294"/>
    <w:rsid w:val="006D28EC"/>
    <w:rsid w:val="006E0254"/>
    <w:rsid w:val="006E5DA6"/>
    <w:rsid w:val="006E7F4F"/>
    <w:rsid w:val="006F213A"/>
    <w:rsid w:val="006F5117"/>
    <w:rsid w:val="00715881"/>
    <w:rsid w:val="00722737"/>
    <w:rsid w:val="007245D1"/>
    <w:rsid w:val="00731843"/>
    <w:rsid w:val="00743489"/>
    <w:rsid w:val="00747F2F"/>
    <w:rsid w:val="00753B00"/>
    <w:rsid w:val="00762385"/>
    <w:rsid w:val="00763FFA"/>
    <w:rsid w:val="007745D8"/>
    <w:rsid w:val="00795B36"/>
    <w:rsid w:val="007A211E"/>
    <w:rsid w:val="007A2CC4"/>
    <w:rsid w:val="007C18C7"/>
    <w:rsid w:val="007F0EE1"/>
    <w:rsid w:val="007F3EC6"/>
    <w:rsid w:val="00812490"/>
    <w:rsid w:val="008148C4"/>
    <w:rsid w:val="008235AB"/>
    <w:rsid w:val="00837923"/>
    <w:rsid w:val="0084017F"/>
    <w:rsid w:val="00840343"/>
    <w:rsid w:val="00845012"/>
    <w:rsid w:val="008476A6"/>
    <w:rsid w:val="00856526"/>
    <w:rsid w:val="00857731"/>
    <w:rsid w:val="00877934"/>
    <w:rsid w:val="00884A2D"/>
    <w:rsid w:val="008866AA"/>
    <w:rsid w:val="008B1291"/>
    <w:rsid w:val="008C543A"/>
    <w:rsid w:val="008D70CE"/>
    <w:rsid w:val="008E28C9"/>
    <w:rsid w:val="008E4D62"/>
    <w:rsid w:val="008E577E"/>
    <w:rsid w:val="008F0E89"/>
    <w:rsid w:val="008F58E3"/>
    <w:rsid w:val="00902F18"/>
    <w:rsid w:val="009049E0"/>
    <w:rsid w:val="009106C9"/>
    <w:rsid w:val="00911E25"/>
    <w:rsid w:val="009127FD"/>
    <w:rsid w:val="00914A56"/>
    <w:rsid w:val="00917732"/>
    <w:rsid w:val="0092107A"/>
    <w:rsid w:val="00935F8C"/>
    <w:rsid w:val="00943B04"/>
    <w:rsid w:val="009476E2"/>
    <w:rsid w:val="00950125"/>
    <w:rsid w:val="009505B6"/>
    <w:rsid w:val="009525A3"/>
    <w:rsid w:val="009600E0"/>
    <w:rsid w:val="009608BF"/>
    <w:rsid w:val="009679B2"/>
    <w:rsid w:val="00976986"/>
    <w:rsid w:val="00982331"/>
    <w:rsid w:val="00983E78"/>
    <w:rsid w:val="00994E65"/>
    <w:rsid w:val="009A61C6"/>
    <w:rsid w:val="009A720D"/>
    <w:rsid w:val="009D6FE1"/>
    <w:rsid w:val="009D7BF1"/>
    <w:rsid w:val="009E50EE"/>
    <w:rsid w:val="009F013B"/>
    <w:rsid w:val="00A03792"/>
    <w:rsid w:val="00A1139C"/>
    <w:rsid w:val="00A129B7"/>
    <w:rsid w:val="00A12E66"/>
    <w:rsid w:val="00A16BC4"/>
    <w:rsid w:val="00A2121B"/>
    <w:rsid w:val="00A24A55"/>
    <w:rsid w:val="00A34B6E"/>
    <w:rsid w:val="00A35585"/>
    <w:rsid w:val="00A3764F"/>
    <w:rsid w:val="00A603D7"/>
    <w:rsid w:val="00A6196B"/>
    <w:rsid w:val="00A66B8F"/>
    <w:rsid w:val="00A66D1B"/>
    <w:rsid w:val="00A719E8"/>
    <w:rsid w:val="00A72EE1"/>
    <w:rsid w:val="00A81D66"/>
    <w:rsid w:val="00A85225"/>
    <w:rsid w:val="00A91E68"/>
    <w:rsid w:val="00A95910"/>
    <w:rsid w:val="00AA6F1A"/>
    <w:rsid w:val="00AC2D98"/>
    <w:rsid w:val="00AC63CE"/>
    <w:rsid w:val="00AD54A0"/>
    <w:rsid w:val="00AE5336"/>
    <w:rsid w:val="00AF428F"/>
    <w:rsid w:val="00B175D3"/>
    <w:rsid w:val="00B203DA"/>
    <w:rsid w:val="00B22398"/>
    <w:rsid w:val="00B31DD5"/>
    <w:rsid w:val="00B52FC5"/>
    <w:rsid w:val="00B5619B"/>
    <w:rsid w:val="00B56AB6"/>
    <w:rsid w:val="00B62543"/>
    <w:rsid w:val="00B65F71"/>
    <w:rsid w:val="00B750A5"/>
    <w:rsid w:val="00B752E3"/>
    <w:rsid w:val="00B76CBF"/>
    <w:rsid w:val="00B8140A"/>
    <w:rsid w:val="00B81FF5"/>
    <w:rsid w:val="00B87CBB"/>
    <w:rsid w:val="00B9725A"/>
    <w:rsid w:val="00BA4783"/>
    <w:rsid w:val="00BB3705"/>
    <w:rsid w:val="00BB6C94"/>
    <w:rsid w:val="00BB77F5"/>
    <w:rsid w:val="00BC3547"/>
    <w:rsid w:val="00BC71BA"/>
    <w:rsid w:val="00BE3935"/>
    <w:rsid w:val="00C001E1"/>
    <w:rsid w:val="00C04449"/>
    <w:rsid w:val="00C05006"/>
    <w:rsid w:val="00C0509C"/>
    <w:rsid w:val="00C066CB"/>
    <w:rsid w:val="00C15A10"/>
    <w:rsid w:val="00C32405"/>
    <w:rsid w:val="00C32461"/>
    <w:rsid w:val="00C41E0D"/>
    <w:rsid w:val="00C44EA4"/>
    <w:rsid w:val="00C522F3"/>
    <w:rsid w:val="00C54A76"/>
    <w:rsid w:val="00C60120"/>
    <w:rsid w:val="00C62CAD"/>
    <w:rsid w:val="00C66D95"/>
    <w:rsid w:val="00C67A32"/>
    <w:rsid w:val="00C819CA"/>
    <w:rsid w:val="00C85012"/>
    <w:rsid w:val="00CB3910"/>
    <w:rsid w:val="00CE3D9D"/>
    <w:rsid w:val="00CE4AEB"/>
    <w:rsid w:val="00D105AF"/>
    <w:rsid w:val="00D12589"/>
    <w:rsid w:val="00D34819"/>
    <w:rsid w:val="00D37C41"/>
    <w:rsid w:val="00D53668"/>
    <w:rsid w:val="00D62A97"/>
    <w:rsid w:val="00D63750"/>
    <w:rsid w:val="00D71F23"/>
    <w:rsid w:val="00D80220"/>
    <w:rsid w:val="00D85C11"/>
    <w:rsid w:val="00D91E36"/>
    <w:rsid w:val="00D92225"/>
    <w:rsid w:val="00D922A4"/>
    <w:rsid w:val="00D952AA"/>
    <w:rsid w:val="00DA650B"/>
    <w:rsid w:val="00DB23FF"/>
    <w:rsid w:val="00DB37A3"/>
    <w:rsid w:val="00DC6148"/>
    <w:rsid w:val="00DD1D4E"/>
    <w:rsid w:val="00DD5246"/>
    <w:rsid w:val="00DE764E"/>
    <w:rsid w:val="00E00521"/>
    <w:rsid w:val="00E04D6F"/>
    <w:rsid w:val="00E05BE1"/>
    <w:rsid w:val="00E17190"/>
    <w:rsid w:val="00E303C2"/>
    <w:rsid w:val="00E4551C"/>
    <w:rsid w:val="00E46B1F"/>
    <w:rsid w:val="00E575C6"/>
    <w:rsid w:val="00E57A8C"/>
    <w:rsid w:val="00E60534"/>
    <w:rsid w:val="00E67D84"/>
    <w:rsid w:val="00E83557"/>
    <w:rsid w:val="00EA23B1"/>
    <w:rsid w:val="00EA2E03"/>
    <w:rsid w:val="00EB0217"/>
    <w:rsid w:val="00EB125C"/>
    <w:rsid w:val="00EB15E4"/>
    <w:rsid w:val="00EC2A58"/>
    <w:rsid w:val="00EC3FA5"/>
    <w:rsid w:val="00EE0047"/>
    <w:rsid w:val="00EE4047"/>
    <w:rsid w:val="00EF4106"/>
    <w:rsid w:val="00EF6DD3"/>
    <w:rsid w:val="00EF753D"/>
    <w:rsid w:val="00F00E4F"/>
    <w:rsid w:val="00F1041C"/>
    <w:rsid w:val="00F10E2F"/>
    <w:rsid w:val="00F278AB"/>
    <w:rsid w:val="00F3413A"/>
    <w:rsid w:val="00F3515A"/>
    <w:rsid w:val="00F40A0B"/>
    <w:rsid w:val="00F43DEE"/>
    <w:rsid w:val="00F43FE2"/>
    <w:rsid w:val="00F73060"/>
    <w:rsid w:val="00F80833"/>
    <w:rsid w:val="00F835A1"/>
    <w:rsid w:val="00F86A2D"/>
    <w:rsid w:val="00F91861"/>
    <w:rsid w:val="00FA1E2A"/>
    <w:rsid w:val="00FB0852"/>
    <w:rsid w:val="00FB1ECF"/>
    <w:rsid w:val="00FB4A6F"/>
    <w:rsid w:val="00FB7CF6"/>
    <w:rsid w:val="00FC2828"/>
    <w:rsid w:val="00FC366B"/>
    <w:rsid w:val="00FD0991"/>
    <w:rsid w:val="00FD12B5"/>
    <w:rsid w:val="00FD7A22"/>
    <w:rsid w:val="00FF38F8"/>
    <w:rsid w:val="00FF50A9"/>
    <w:rsid w:val="0105296D"/>
    <w:rsid w:val="01265F52"/>
    <w:rsid w:val="01DC6837"/>
    <w:rsid w:val="01E726CB"/>
    <w:rsid w:val="01F71ABD"/>
    <w:rsid w:val="01F85CB5"/>
    <w:rsid w:val="01F976DD"/>
    <w:rsid w:val="01FF6127"/>
    <w:rsid w:val="0217388B"/>
    <w:rsid w:val="02997A6B"/>
    <w:rsid w:val="02BA5B2F"/>
    <w:rsid w:val="02F33231"/>
    <w:rsid w:val="02F458D9"/>
    <w:rsid w:val="02FB4C88"/>
    <w:rsid w:val="031053A6"/>
    <w:rsid w:val="03175914"/>
    <w:rsid w:val="031D2E5B"/>
    <w:rsid w:val="033C168B"/>
    <w:rsid w:val="034D7A71"/>
    <w:rsid w:val="04004649"/>
    <w:rsid w:val="040D3C72"/>
    <w:rsid w:val="04323696"/>
    <w:rsid w:val="044B31C2"/>
    <w:rsid w:val="04511C9E"/>
    <w:rsid w:val="047C31B3"/>
    <w:rsid w:val="048E7205"/>
    <w:rsid w:val="04A73B4F"/>
    <w:rsid w:val="04B027F3"/>
    <w:rsid w:val="04BA2101"/>
    <w:rsid w:val="04E01D2C"/>
    <w:rsid w:val="04E321D3"/>
    <w:rsid w:val="052E14DB"/>
    <w:rsid w:val="05343174"/>
    <w:rsid w:val="055D0AFA"/>
    <w:rsid w:val="0565047B"/>
    <w:rsid w:val="05A02798"/>
    <w:rsid w:val="05A924CD"/>
    <w:rsid w:val="05AF0596"/>
    <w:rsid w:val="05D1686A"/>
    <w:rsid w:val="05F70CA0"/>
    <w:rsid w:val="060B4085"/>
    <w:rsid w:val="06157B03"/>
    <w:rsid w:val="06163736"/>
    <w:rsid w:val="06194157"/>
    <w:rsid w:val="06292B8F"/>
    <w:rsid w:val="06307307"/>
    <w:rsid w:val="067D3AEA"/>
    <w:rsid w:val="06882697"/>
    <w:rsid w:val="06C36898"/>
    <w:rsid w:val="07097BE9"/>
    <w:rsid w:val="070F37A0"/>
    <w:rsid w:val="07422938"/>
    <w:rsid w:val="074A7B08"/>
    <w:rsid w:val="077113A7"/>
    <w:rsid w:val="0775223E"/>
    <w:rsid w:val="0780714A"/>
    <w:rsid w:val="07866CFA"/>
    <w:rsid w:val="07991E3B"/>
    <w:rsid w:val="079E20FF"/>
    <w:rsid w:val="08234FE8"/>
    <w:rsid w:val="08816ED3"/>
    <w:rsid w:val="088E0FFD"/>
    <w:rsid w:val="08C45381"/>
    <w:rsid w:val="08D42CEF"/>
    <w:rsid w:val="09151C0D"/>
    <w:rsid w:val="092B5AC4"/>
    <w:rsid w:val="096558B6"/>
    <w:rsid w:val="09917A1E"/>
    <w:rsid w:val="09994F1C"/>
    <w:rsid w:val="0A152D3B"/>
    <w:rsid w:val="0A345419"/>
    <w:rsid w:val="0A3C177D"/>
    <w:rsid w:val="0A7D53C1"/>
    <w:rsid w:val="0AA75FDC"/>
    <w:rsid w:val="0ACC0AFC"/>
    <w:rsid w:val="0AE63898"/>
    <w:rsid w:val="0B0B6EA2"/>
    <w:rsid w:val="0B541E86"/>
    <w:rsid w:val="0B742801"/>
    <w:rsid w:val="0B7608FC"/>
    <w:rsid w:val="0BBF6259"/>
    <w:rsid w:val="0BC92E70"/>
    <w:rsid w:val="0BCB5045"/>
    <w:rsid w:val="0BCC1343"/>
    <w:rsid w:val="0BFD347D"/>
    <w:rsid w:val="0C0C56EE"/>
    <w:rsid w:val="0C1F1E5B"/>
    <w:rsid w:val="0C27449B"/>
    <w:rsid w:val="0C2C66B5"/>
    <w:rsid w:val="0C3B4865"/>
    <w:rsid w:val="0C3D3529"/>
    <w:rsid w:val="0C587F53"/>
    <w:rsid w:val="0C964011"/>
    <w:rsid w:val="0C985BD8"/>
    <w:rsid w:val="0CC049C9"/>
    <w:rsid w:val="0CC512D2"/>
    <w:rsid w:val="0CD26FC7"/>
    <w:rsid w:val="0CDE61F6"/>
    <w:rsid w:val="0CE468BE"/>
    <w:rsid w:val="0D003BF8"/>
    <w:rsid w:val="0D007952"/>
    <w:rsid w:val="0D2A74A6"/>
    <w:rsid w:val="0D2A7AD4"/>
    <w:rsid w:val="0D3D4894"/>
    <w:rsid w:val="0D645458"/>
    <w:rsid w:val="0D681E10"/>
    <w:rsid w:val="0D696B8C"/>
    <w:rsid w:val="0D9C38EF"/>
    <w:rsid w:val="0DA767B8"/>
    <w:rsid w:val="0DC4306D"/>
    <w:rsid w:val="0DF477F4"/>
    <w:rsid w:val="0E0C504D"/>
    <w:rsid w:val="0E157EB6"/>
    <w:rsid w:val="0E175208"/>
    <w:rsid w:val="0E2F6CBE"/>
    <w:rsid w:val="0E3E375F"/>
    <w:rsid w:val="0E4E772A"/>
    <w:rsid w:val="0E5054DD"/>
    <w:rsid w:val="0E6C321B"/>
    <w:rsid w:val="0E6C403B"/>
    <w:rsid w:val="0EB9228D"/>
    <w:rsid w:val="0EBE21B8"/>
    <w:rsid w:val="0EF823E2"/>
    <w:rsid w:val="0EF972DC"/>
    <w:rsid w:val="0F3343D8"/>
    <w:rsid w:val="0F4D0B95"/>
    <w:rsid w:val="0F9601B6"/>
    <w:rsid w:val="0FD12F13"/>
    <w:rsid w:val="0FD844C6"/>
    <w:rsid w:val="0FDB492E"/>
    <w:rsid w:val="0FFC5405"/>
    <w:rsid w:val="10430651"/>
    <w:rsid w:val="106B0735"/>
    <w:rsid w:val="10811AB5"/>
    <w:rsid w:val="10AE1BE3"/>
    <w:rsid w:val="1105454F"/>
    <w:rsid w:val="113C2576"/>
    <w:rsid w:val="118D5AB6"/>
    <w:rsid w:val="11A30A8E"/>
    <w:rsid w:val="11B91709"/>
    <w:rsid w:val="11BD2B8F"/>
    <w:rsid w:val="11BE124A"/>
    <w:rsid w:val="11FA495F"/>
    <w:rsid w:val="122229C7"/>
    <w:rsid w:val="122F4A9B"/>
    <w:rsid w:val="12EF7129"/>
    <w:rsid w:val="12FF2752"/>
    <w:rsid w:val="131006D4"/>
    <w:rsid w:val="131B5D8B"/>
    <w:rsid w:val="134354A2"/>
    <w:rsid w:val="1380794E"/>
    <w:rsid w:val="13910701"/>
    <w:rsid w:val="13AF3FCF"/>
    <w:rsid w:val="141D23F4"/>
    <w:rsid w:val="141D2A75"/>
    <w:rsid w:val="14462EBF"/>
    <w:rsid w:val="144A008C"/>
    <w:rsid w:val="14AD5F8F"/>
    <w:rsid w:val="14B748D9"/>
    <w:rsid w:val="14F223C5"/>
    <w:rsid w:val="152C0C96"/>
    <w:rsid w:val="152D1C14"/>
    <w:rsid w:val="15A067AA"/>
    <w:rsid w:val="162814BE"/>
    <w:rsid w:val="163830C3"/>
    <w:rsid w:val="16967371"/>
    <w:rsid w:val="16B36663"/>
    <w:rsid w:val="16C93904"/>
    <w:rsid w:val="16DD74C9"/>
    <w:rsid w:val="16E60A6B"/>
    <w:rsid w:val="16F26BC6"/>
    <w:rsid w:val="170E7EA0"/>
    <w:rsid w:val="171A677B"/>
    <w:rsid w:val="176263DE"/>
    <w:rsid w:val="1777347F"/>
    <w:rsid w:val="177D0A8D"/>
    <w:rsid w:val="17C75CF3"/>
    <w:rsid w:val="17DA0B68"/>
    <w:rsid w:val="182330AD"/>
    <w:rsid w:val="183C3C07"/>
    <w:rsid w:val="18402D9F"/>
    <w:rsid w:val="18D126B0"/>
    <w:rsid w:val="18F962B8"/>
    <w:rsid w:val="18FF17CD"/>
    <w:rsid w:val="1902006D"/>
    <w:rsid w:val="192C0BE7"/>
    <w:rsid w:val="192D38BA"/>
    <w:rsid w:val="194F72A7"/>
    <w:rsid w:val="19641941"/>
    <w:rsid w:val="19B00EC7"/>
    <w:rsid w:val="19BF1EC6"/>
    <w:rsid w:val="19D619D2"/>
    <w:rsid w:val="1A7136A4"/>
    <w:rsid w:val="1AB977B6"/>
    <w:rsid w:val="1ACC4B81"/>
    <w:rsid w:val="1ADA2BB5"/>
    <w:rsid w:val="1AE36DB9"/>
    <w:rsid w:val="1AEF6DE2"/>
    <w:rsid w:val="1AFF5AC4"/>
    <w:rsid w:val="1B48574C"/>
    <w:rsid w:val="1BAE34BE"/>
    <w:rsid w:val="1BCF0CD7"/>
    <w:rsid w:val="1BD1375C"/>
    <w:rsid w:val="1BE606D7"/>
    <w:rsid w:val="1BEE3FF7"/>
    <w:rsid w:val="1BFE4333"/>
    <w:rsid w:val="1C1B0F83"/>
    <w:rsid w:val="1C2F1174"/>
    <w:rsid w:val="1C5506DC"/>
    <w:rsid w:val="1C7B5157"/>
    <w:rsid w:val="1C8435BA"/>
    <w:rsid w:val="1CD51540"/>
    <w:rsid w:val="1CED69D1"/>
    <w:rsid w:val="1CFF05DF"/>
    <w:rsid w:val="1D116053"/>
    <w:rsid w:val="1D167312"/>
    <w:rsid w:val="1D192CD4"/>
    <w:rsid w:val="1D3525C6"/>
    <w:rsid w:val="1D453A0B"/>
    <w:rsid w:val="1D5E2578"/>
    <w:rsid w:val="1DDC6C1E"/>
    <w:rsid w:val="1DFD7D03"/>
    <w:rsid w:val="1E2B7FA6"/>
    <w:rsid w:val="1E484583"/>
    <w:rsid w:val="1E692A2E"/>
    <w:rsid w:val="1EA25171"/>
    <w:rsid w:val="1EA55F19"/>
    <w:rsid w:val="1ECA335A"/>
    <w:rsid w:val="1ECB75C1"/>
    <w:rsid w:val="1F552210"/>
    <w:rsid w:val="1FA21907"/>
    <w:rsid w:val="1FC9381B"/>
    <w:rsid w:val="1FCC4676"/>
    <w:rsid w:val="20060CBF"/>
    <w:rsid w:val="201C26F3"/>
    <w:rsid w:val="205A4234"/>
    <w:rsid w:val="205D2A37"/>
    <w:rsid w:val="20AB5858"/>
    <w:rsid w:val="20C27E89"/>
    <w:rsid w:val="20E625FB"/>
    <w:rsid w:val="211547E0"/>
    <w:rsid w:val="211E28B1"/>
    <w:rsid w:val="213041E5"/>
    <w:rsid w:val="21523C42"/>
    <w:rsid w:val="21873E3A"/>
    <w:rsid w:val="221E3472"/>
    <w:rsid w:val="22406B79"/>
    <w:rsid w:val="224431E6"/>
    <w:rsid w:val="22515F93"/>
    <w:rsid w:val="22640A18"/>
    <w:rsid w:val="22BA4F3D"/>
    <w:rsid w:val="22BC622B"/>
    <w:rsid w:val="22D71AF1"/>
    <w:rsid w:val="230958B8"/>
    <w:rsid w:val="23356A8D"/>
    <w:rsid w:val="233D397F"/>
    <w:rsid w:val="234E6430"/>
    <w:rsid w:val="23B97D1F"/>
    <w:rsid w:val="23CC7979"/>
    <w:rsid w:val="23FA7798"/>
    <w:rsid w:val="24092A64"/>
    <w:rsid w:val="240C423B"/>
    <w:rsid w:val="240F1919"/>
    <w:rsid w:val="241F73E0"/>
    <w:rsid w:val="24260996"/>
    <w:rsid w:val="243706FE"/>
    <w:rsid w:val="24F508F2"/>
    <w:rsid w:val="25401405"/>
    <w:rsid w:val="2542764D"/>
    <w:rsid w:val="25936B94"/>
    <w:rsid w:val="25971B00"/>
    <w:rsid w:val="259944A3"/>
    <w:rsid w:val="2603759B"/>
    <w:rsid w:val="260669AE"/>
    <w:rsid w:val="262F3ACF"/>
    <w:rsid w:val="266D7B3E"/>
    <w:rsid w:val="268931AE"/>
    <w:rsid w:val="26A504D7"/>
    <w:rsid w:val="2707615D"/>
    <w:rsid w:val="270E4591"/>
    <w:rsid w:val="272F5295"/>
    <w:rsid w:val="273F19A6"/>
    <w:rsid w:val="273F6931"/>
    <w:rsid w:val="275201F7"/>
    <w:rsid w:val="27580201"/>
    <w:rsid w:val="275E1481"/>
    <w:rsid w:val="27625706"/>
    <w:rsid w:val="277E73CD"/>
    <w:rsid w:val="27853D30"/>
    <w:rsid w:val="27AF2515"/>
    <w:rsid w:val="27CE1C8D"/>
    <w:rsid w:val="286C62FB"/>
    <w:rsid w:val="28730866"/>
    <w:rsid w:val="287D71C7"/>
    <w:rsid w:val="28877862"/>
    <w:rsid w:val="28901E21"/>
    <w:rsid w:val="2897027D"/>
    <w:rsid w:val="28991191"/>
    <w:rsid w:val="28B132FE"/>
    <w:rsid w:val="28F22C0C"/>
    <w:rsid w:val="28F7710D"/>
    <w:rsid w:val="28FF5C41"/>
    <w:rsid w:val="292578FE"/>
    <w:rsid w:val="292A0B4C"/>
    <w:rsid w:val="295F7D1D"/>
    <w:rsid w:val="296955EC"/>
    <w:rsid w:val="29786698"/>
    <w:rsid w:val="29801437"/>
    <w:rsid w:val="29A45F6B"/>
    <w:rsid w:val="29C977C1"/>
    <w:rsid w:val="29D31268"/>
    <w:rsid w:val="29FA2F39"/>
    <w:rsid w:val="2A4010B4"/>
    <w:rsid w:val="2A946933"/>
    <w:rsid w:val="2AB80517"/>
    <w:rsid w:val="2AE47DBE"/>
    <w:rsid w:val="2AE7267A"/>
    <w:rsid w:val="2AEB3A3D"/>
    <w:rsid w:val="2AF56811"/>
    <w:rsid w:val="2AFD4AF7"/>
    <w:rsid w:val="2AFF1B0E"/>
    <w:rsid w:val="2B325A79"/>
    <w:rsid w:val="2B4D49FF"/>
    <w:rsid w:val="2B4F72DA"/>
    <w:rsid w:val="2B5B6012"/>
    <w:rsid w:val="2BAA27A8"/>
    <w:rsid w:val="2BAA7BD3"/>
    <w:rsid w:val="2BB43D63"/>
    <w:rsid w:val="2BC11CE6"/>
    <w:rsid w:val="2BC4454F"/>
    <w:rsid w:val="2BE25F22"/>
    <w:rsid w:val="2C6F404D"/>
    <w:rsid w:val="2C902004"/>
    <w:rsid w:val="2C952244"/>
    <w:rsid w:val="2CC175FA"/>
    <w:rsid w:val="2CCC2D10"/>
    <w:rsid w:val="2CF700F5"/>
    <w:rsid w:val="2D053D03"/>
    <w:rsid w:val="2D084471"/>
    <w:rsid w:val="2D2025D3"/>
    <w:rsid w:val="2D606F28"/>
    <w:rsid w:val="2D6C0872"/>
    <w:rsid w:val="2D702C84"/>
    <w:rsid w:val="2D9719C5"/>
    <w:rsid w:val="2D977E10"/>
    <w:rsid w:val="2DCA0742"/>
    <w:rsid w:val="2E4F130B"/>
    <w:rsid w:val="2E765BE5"/>
    <w:rsid w:val="2EAA33B7"/>
    <w:rsid w:val="2EC21AE5"/>
    <w:rsid w:val="2ECE443C"/>
    <w:rsid w:val="2ED90F8D"/>
    <w:rsid w:val="2F0D0BF6"/>
    <w:rsid w:val="2F1107B3"/>
    <w:rsid w:val="2F3176D5"/>
    <w:rsid w:val="2F7B0211"/>
    <w:rsid w:val="2FA54032"/>
    <w:rsid w:val="2FCC110D"/>
    <w:rsid w:val="2FF41A31"/>
    <w:rsid w:val="2FF470A8"/>
    <w:rsid w:val="3023287A"/>
    <w:rsid w:val="30274194"/>
    <w:rsid w:val="305661CD"/>
    <w:rsid w:val="30B116E8"/>
    <w:rsid w:val="30B77BF6"/>
    <w:rsid w:val="30C94E78"/>
    <w:rsid w:val="30DA0D13"/>
    <w:rsid w:val="310D56B5"/>
    <w:rsid w:val="31647E33"/>
    <w:rsid w:val="316C3FE3"/>
    <w:rsid w:val="31AE2E55"/>
    <w:rsid w:val="31B6524E"/>
    <w:rsid w:val="31B65619"/>
    <w:rsid w:val="31DF7CEB"/>
    <w:rsid w:val="323C64A7"/>
    <w:rsid w:val="323E7DA6"/>
    <w:rsid w:val="324C1ACD"/>
    <w:rsid w:val="325C01C9"/>
    <w:rsid w:val="326640C6"/>
    <w:rsid w:val="327778B3"/>
    <w:rsid w:val="32787F2A"/>
    <w:rsid w:val="32896567"/>
    <w:rsid w:val="32AC6A83"/>
    <w:rsid w:val="3344064E"/>
    <w:rsid w:val="337010E8"/>
    <w:rsid w:val="339F0FCA"/>
    <w:rsid w:val="33A335E8"/>
    <w:rsid w:val="34053C3C"/>
    <w:rsid w:val="343F4990"/>
    <w:rsid w:val="34646288"/>
    <w:rsid w:val="34922046"/>
    <w:rsid w:val="34B85385"/>
    <w:rsid w:val="3502618B"/>
    <w:rsid w:val="35647325"/>
    <w:rsid w:val="35AD6BEA"/>
    <w:rsid w:val="35FD4492"/>
    <w:rsid w:val="36256064"/>
    <w:rsid w:val="36526381"/>
    <w:rsid w:val="366E558B"/>
    <w:rsid w:val="367E0735"/>
    <w:rsid w:val="36892940"/>
    <w:rsid w:val="36922805"/>
    <w:rsid w:val="36AE24E9"/>
    <w:rsid w:val="36FE4FEF"/>
    <w:rsid w:val="37382D78"/>
    <w:rsid w:val="375117B8"/>
    <w:rsid w:val="376553D5"/>
    <w:rsid w:val="37DB5FCA"/>
    <w:rsid w:val="37F075F9"/>
    <w:rsid w:val="37F60CBE"/>
    <w:rsid w:val="3803542B"/>
    <w:rsid w:val="3806768E"/>
    <w:rsid w:val="381B0CD1"/>
    <w:rsid w:val="389E4FD8"/>
    <w:rsid w:val="38A11C7C"/>
    <w:rsid w:val="38BA631B"/>
    <w:rsid w:val="38BD52B5"/>
    <w:rsid w:val="38CC29DE"/>
    <w:rsid w:val="38D24CB7"/>
    <w:rsid w:val="38F15FF3"/>
    <w:rsid w:val="38FE2AFD"/>
    <w:rsid w:val="394B5560"/>
    <w:rsid w:val="394B7385"/>
    <w:rsid w:val="39512DB2"/>
    <w:rsid w:val="39B92D28"/>
    <w:rsid w:val="39C91EB3"/>
    <w:rsid w:val="39DB6411"/>
    <w:rsid w:val="39F2369C"/>
    <w:rsid w:val="39FC6DEF"/>
    <w:rsid w:val="3A1002C7"/>
    <w:rsid w:val="3A2F722D"/>
    <w:rsid w:val="3A560D01"/>
    <w:rsid w:val="3A636AF2"/>
    <w:rsid w:val="3AAC310B"/>
    <w:rsid w:val="3AB771E3"/>
    <w:rsid w:val="3AC37DEA"/>
    <w:rsid w:val="3ADB2D35"/>
    <w:rsid w:val="3AF248C1"/>
    <w:rsid w:val="3B0B2C76"/>
    <w:rsid w:val="3B156BBA"/>
    <w:rsid w:val="3B4912F4"/>
    <w:rsid w:val="3B9379E7"/>
    <w:rsid w:val="3BA410EC"/>
    <w:rsid w:val="3BA951C3"/>
    <w:rsid w:val="3BAC1FF0"/>
    <w:rsid w:val="3BC43906"/>
    <w:rsid w:val="3BE1403A"/>
    <w:rsid w:val="3BFF7A1F"/>
    <w:rsid w:val="3C096717"/>
    <w:rsid w:val="3C573C49"/>
    <w:rsid w:val="3CA07913"/>
    <w:rsid w:val="3CB4652A"/>
    <w:rsid w:val="3CD46FDC"/>
    <w:rsid w:val="3D104940"/>
    <w:rsid w:val="3D5631D9"/>
    <w:rsid w:val="3D700D08"/>
    <w:rsid w:val="3D8E644F"/>
    <w:rsid w:val="3DAF1B76"/>
    <w:rsid w:val="3DCF134F"/>
    <w:rsid w:val="3DD13AAE"/>
    <w:rsid w:val="3E0279E0"/>
    <w:rsid w:val="3E380E16"/>
    <w:rsid w:val="3E3C7761"/>
    <w:rsid w:val="3E5104FF"/>
    <w:rsid w:val="3E514E18"/>
    <w:rsid w:val="3E525ABE"/>
    <w:rsid w:val="3ECD7050"/>
    <w:rsid w:val="3ED00604"/>
    <w:rsid w:val="3EDE678F"/>
    <w:rsid w:val="3EE05F2A"/>
    <w:rsid w:val="3F151EFE"/>
    <w:rsid w:val="3F27137A"/>
    <w:rsid w:val="3F8E2076"/>
    <w:rsid w:val="3F966DC0"/>
    <w:rsid w:val="3F984749"/>
    <w:rsid w:val="3FA92B6C"/>
    <w:rsid w:val="3FAC6D21"/>
    <w:rsid w:val="3FBA2074"/>
    <w:rsid w:val="3FE21C33"/>
    <w:rsid w:val="3FF538B7"/>
    <w:rsid w:val="3FF612D3"/>
    <w:rsid w:val="40123795"/>
    <w:rsid w:val="40241CA5"/>
    <w:rsid w:val="403E780E"/>
    <w:rsid w:val="4042743F"/>
    <w:rsid w:val="40B04167"/>
    <w:rsid w:val="40B2464B"/>
    <w:rsid w:val="40D53634"/>
    <w:rsid w:val="40E028F2"/>
    <w:rsid w:val="413E3360"/>
    <w:rsid w:val="415607A5"/>
    <w:rsid w:val="418C5F8E"/>
    <w:rsid w:val="41907908"/>
    <w:rsid w:val="419465F3"/>
    <w:rsid w:val="41AD4F78"/>
    <w:rsid w:val="41CC4720"/>
    <w:rsid w:val="41EC30A2"/>
    <w:rsid w:val="42AF305A"/>
    <w:rsid w:val="42B26581"/>
    <w:rsid w:val="43433049"/>
    <w:rsid w:val="4357268F"/>
    <w:rsid w:val="435A4A7E"/>
    <w:rsid w:val="43981E9C"/>
    <w:rsid w:val="439C67BC"/>
    <w:rsid w:val="44052CC7"/>
    <w:rsid w:val="44494E0B"/>
    <w:rsid w:val="448C71EB"/>
    <w:rsid w:val="44A112E9"/>
    <w:rsid w:val="44D96A1E"/>
    <w:rsid w:val="44DF11B7"/>
    <w:rsid w:val="450C75DB"/>
    <w:rsid w:val="4513438F"/>
    <w:rsid w:val="45412BAF"/>
    <w:rsid w:val="45507E21"/>
    <w:rsid w:val="45622ECF"/>
    <w:rsid w:val="45644546"/>
    <w:rsid w:val="45864A97"/>
    <w:rsid w:val="458E7AC0"/>
    <w:rsid w:val="45B61602"/>
    <w:rsid w:val="45BA76A8"/>
    <w:rsid w:val="460B0235"/>
    <w:rsid w:val="460C2899"/>
    <w:rsid w:val="46547114"/>
    <w:rsid w:val="466319EF"/>
    <w:rsid w:val="46691970"/>
    <w:rsid w:val="4673343D"/>
    <w:rsid w:val="467A2DE6"/>
    <w:rsid w:val="46D3444D"/>
    <w:rsid w:val="46DF7756"/>
    <w:rsid w:val="46E840D5"/>
    <w:rsid w:val="46F0495F"/>
    <w:rsid w:val="47045C01"/>
    <w:rsid w:val="471346A6"/>
    <w:rsid w:val="472C4153"/>
    <w:rsid w:val="472D34FA"/>
    <w:rsid w:val="47890F45"/>
    <w:rsid w:val="47C54D04"/>
    <w:rsid w:val="47F014D1"/>
    <w:rsid w:val="482A765E"/>
    <w:rsid w:val="483B4B35"/>
    <w:rsid w:val="4871662B"/>
    <w:rsid w:val="48E22410"/>
    <w:rsid w:val="495138A4"/>
    <w:rsid w:val="495A7630"/>
    <w:rsid w:val="49AC356E"/>
    <w:rsid w:val="49C05A45"/>
    <w:rsid w:val="49D14858"/>
    <w:rsid w:val="4A3240B2"/>
    <w:rsid w:val="4A467E27"/>
    <w:rsid w:val="4A821DE3"/>
    <w:rsid w:val="4AA54779"/>
    <w:rsid w:val="4AB53F27"/>
    <w:rsid w:val="4AC65135"/>
    <w:rsid w:val="4B10009C"/>
    <w:rsid w:val="4B1F3FCE"/>
    <w:rsid w:val="4B2B6673"/>
    <w:rsid w:val="4B4B2159"/>
    <w:rsid w:val="4B811D97"/>
    <w:rsid w:val="4BBE2177"/>
    <w:rsid w:val="4BC3256D"/>
    <w:rsid w:val="4C0A2C77"/>
    <w:rsid w:val="4C0D45D9"/>
    <w:rsid w:val="4C4B65E0"/>
    <w:rsid w:val="4C561916"/>
    <w:rsid w:val="4C673589"/>
    <w:rsid w:val="4C760EDF"/>
    <w:rsid w:val="4C7D39CF"/>
    <w:rsid w:val="4CB17F37"/>
    <w:rsid w:val="4CC94D11"/>
    <w:rsid w:val="4CF56F5F"/>
    <w:rsid w:val="4D287235"/>
    <w:rsid w:val="4D7353DE"/>
    <w:rsid w:val="4DBC4645"/>
    <w:rsid w:val="4DF31E27"/>
    <w:rsid w:val="4DFE2CE8"/>
    <w:rsid w:val="4E05460F"/>
    <w:rsid w:val="4E0D2631"/>
    <w:rsid w:val="4E16333C"/>
    <w:rsid w:val="4E2051D9"/>
    <w:rsid w:val="4E5A3C9E"/>
    <w:rsid w:val="4E7D78AD"/>
    <w:rsid w:val="4E903E64"/>
    <w:rsid w:val="4ED51FB0"/>
    <w:rsid w:val="4EE06DF3"/>
    <w:rsid w:val="4EFA6305"/>
    <w:rsid w:val="4F3F67CD"/>
    <w:rsid w:val="4F465F72"/>
    <w:rsid w:val="4FA174B4"/>
    <w:rsid w:val="4FCD2666"/>
    <w:rsid w:val="4FCF5FD2"/>
    <w:rsid w:val="502E0DF8"/>
    <w:rsid w:val="503612F8"/>
    <w:rsid w:val="50501917"/>
    <w:rsid w:val="506863BD"/>
    <w:rsid w:val="507836B4"/>
    <w:rsid w:val="50816927"/>
    <w:rsid w:val="50887948"/>
    <w:rsid w:val="50990F3B"/>
    <w:rsid w:val="50C04CFA"/>
    <w:rsid w:val="514015F7"/>
    <w:rsid w:val="5143099C"/>
    <w:rsid w:val="518B3C46"/>
    <w:rsid w:val="520A2668"/>
    <w:rsid w:val="52100071"/>
    <w:rsid w:val="521B0F0D"/>
    <w:rsid w:val="521F3C3B"/>
    <w:rsid w:val="52566E30"/>
    <w:rsid w:val="52761249"/>
    <w:rsid w:val="52A122F1"/>
    <w:rsid w:val="52AB3901"/>
    <w:rsid w:val="530734F9"/>
    <w:rsid w:val="530E2BF2"/>
    <w:rsid w:val="53174F9F"/>
    <w:rsid w:val="53337A49"/>
    <w:rsid w:val="533E35EF"/>
    <w:rsid w:val="53543AEE"/>
    <w:rsid w:val="53A67214"/>
    <w:rsid w:val="53AA1E1D"/>
    <w:rsid w:val="53AB5CFD"/>
    <w:rsid w:val="53B620E8"/>
    <w:rsid w:val="545515ED"/>
    <w:rsid w:val="54692E6A"/>
    <w:rsid w:val="54773D38"/>
    <w:rsid w:val="54BB0516"/>
    <w:rsid w:val="54DC6C56"/>
    <w:rsid w:val="54E94D62"/>
    <w:rsid w:val="54FB2FE2"/>
    <w:rsid w:val="55050CB2"/>
    <w:rsid w:val="55077E53"/>
    <w:rsid w:val="55213470"/>
    <w:rsid w:val="552F62E0"/>
    <w:rsid w:val="55364AD7"/>
    <w:rsid w:val="55474DA2"/>
    <w:rsid w:val="557A5F5E"/>
    <w:rsid w:val="558C12BA"/>
    <w:rsid w:val="55991084"/>
    <w:rsid w:val="559F1A89"/>
    <w:rsid w:val="55A623DF"/>
    <w:rsid w:val="55A84D25"/>
    <w:rsid w:val="55C8630E"/>
    <w:rsid w:val="55D46931"/>
    <w:rsid w:val="55EB5000"/>
    <w:rsid w:val="55EF6589"/>
    <w:rsid w:val="561055B1"/>
    <w:rsid w:val="566F7395"/>
    <w:rsid w:val="568C13F5"/>
    <w:rsid w:val="569A0D84"/>
    <w:rsid w:val="56C24DF4"/>
    <w:rsid w:val="56CD5496"/>
    <w:rsid w:val="56D03F6F"/>
    <w:rsid w:val="56F7081D"/>
    <w:rsid w:val="57333309"/>
    <w:rsid w:val="573750C7"/>
    <w:rsid w:val="57420069"/>
    <w:rsid w:val="57446080"/>
    <w:rsid w:val="57905EDA"/>
    <w:rsid w:val="57A713C7"/>
    <w:rsid w:val="57AC27B4"/>
    <w:rsid w:val="57E3632D"/>
    <w:rsid w:val="581A0003"/>
    <w:rsid w:val="589275BB"/>
    <w:rsid w:val="58C57791"/>
    <w:rsid w:val="58D4624A"/>
    <w:rsid w:val="58DA3BFE"/>
    <w:rsid w:val="58E47FF9"/>
    <w:rsid w:val="58F75354"/>
    <w:rsid w:val="592C3355"/>
    <w:rsid w:val="592E6E8C"/>
    <w:rsid w:val="593303C7"/>
    <w:rsid w:val="595A5A6F"/>
    <w:rsid w:val="59BD4E7E"/>
    <w:rsid w:val="59EB2A17"/>
    <w:rsid w:val="59EE4CB2"/>
    <w:rsid w:val="5A0D38BC"/>
    <w:rsid w:val="5A2E645F"/>
    <w:rsid w:val="5A88627E"/>
    <w:rsid w:val="5AC03E42"/>
    <w:rsid w:val="5ACD2224"/>
    <w:rsid w:val="5ACF55FD"/>
    <w:rsid w:val="5AD360E3"/>
    <w:rsid w:val="5B1A0DB2"/>
    <w:rsid w:val="5B2472DC"/>
    <w:rsid w:val="5B4E05E6"/>
    <w:rsid w:val="5BB00020"/>
    <w:rsid w:val="5BC36D6B"/>
    <w:rsid w:val="5BCA34BF"/>
    <w:rsid w:val="5BCF57C9"/>
    <w:rsid w:val="5C293707"/>
    <w:rsid w:val="5C523C6F"/>
    <w:rsid w:val="5C8E72D1"/>
    <w:rsid w:val="5C9F209A"/>
    <w:rsid w:val="5CA43113"/>
    <w:rsid w:val="5CB94CF1"/>
    <w:rsid w:val="5CE27E13"/>
    <w:rsid w:val="5CE602FF"/>
    <w:rsid w:val="5D1A231B"/>
    <w:rsid w:val="5D2A6968"/>
    <w:rsid w:val="5D555BC1"/>
    <w:rsid w:val="5D8348D1"/>
    <w:rsid w:val="5E051212"/>
    <w:rsid w:val="5E1853D4"/>
    <w:rsid w:val="5E343FAA"/>
    <w:rsid w:val="5E3B795A"/>
    <w:rsid w:val="5E5411CD"/>
    <w:rsid w:val="5E581489"/>
    <w:rsid w:val="5E5A2001"/>
    <w:rsid w:val="5E801EA6"/>
    <w:rsid w:val="5E8501C4"/>
    <w:rsid w:val="5E8957B6"/>
    <w:rsid w:val="5EA3242E"/>
    <w:rsid w:val="5EA44A7A"/>
    <w:rsid w:val="5EBA0C43"/>
    <w:rsid w:val="5ED430E4"/>
    <w:rsid w:val="5F05062B"/>
    <w:rsid w:val="5F50314F"/>
    <w:rsid w:val="5F6E1519"/>
    <w:rsid w:val="5F754462"/>
    <w:rsid w:val="5F7E711D"/>
    <w:rsid w:val="5F8C293B"/>
    <w:rsid w:val="5FB8023F"/>
    <w:rsid w:val="5FCB6B0C"/>
    <w:rsid w:val="601E68CD"/>
    <w:rsid w:val="602F10BF"/>
    <w:rsid w:val="6051776E"/>
    <w:rsid w:val="609D2084"/>
    <w:rsid w:val="60B4067A"/>
    <w:rsid w:val="60C41EB7"/>
    <w:rsid w:val="60CE5F2F"/>
    <w:rsid w:val="60E910DA"/>
    <w:rsid w:val="61076AE5"/>
    <w:rsid w:val="61370E35"/>
    <w:rsid w:val="615821BA"/>
    <w:rsid w:val="6167225A"/>
    <w:rsid w:val="619F20B8"/>
    <w:rsid w:val="61A514F0"/>
    <w:rsid w:val="61DA6BF6"/>
    <w:rsid w:val="61FC2307"/>
    <w:rsid w:val="61FC33F6"/>
    <w:rsid w:val="620D05A6"/>
    <w:rsid w:val="627D0E56"/>
    <w:rsid w:val="627E3227"/>
    <w:rsid w:val="628E0A5E"/>
    <w:rsid w:val="62CD1E10"/>
    <w:rsid w:val="62CF71AD"/>
    <w:rsid w:val="62D70379"/>
    <w:rsid w:val="634169A1"/>
    <w:rsid w:val="636B1F63"/>
    <w:rsid w:val="63953A5E"/>
    <w:rsid w:val="63961B5D"/>
    <w:rsid w:val="63C36BD0"/>
    <w:rsid w:val="63C55436"/>
    <w:rsid w:val="63DE052B"/>
    <w:rsid w:val="63E11737"/>
    <w:rsid w:val="63F8154C"/>
    <w:rsid w:val="63FF618F"/>
    <w:rsid w:val="64325A78"/>
    <w:rsid w:val="643F11BA"/>
    <w:rsid w:val="64501B04"/>
    <w:rsid w:val="645316BD"/>
    <w:rsid w:val="645E10D1"/>
    <w:rsid w:val="647F6C8A"/>
    <w:rsid w:val="64833F35"/>
    <w:rsid w:val="648510BC"/>
    <w:rsid w:val="6486405C"/>
    <w:rsid w:val="648B09F8"/>
    <w:rsid w:val="648E197C"/>
    <w:rsid w:val="64EC28C0"/>
    <w:rsid w:val="652F109C"/>
    <w:rsid w:val="65573E97"/>
    <w:rsid w:val="6560186C"/>
    <w:rsid w:val="65772802"/>
    <w:rsid w:val="659641D6"/>
    <w:rsid w:val="65972B63"/>
    <w:rsid w:val="65AF493B"/>
    <w:rsid w:val="65D6786A"/>
    <w:rsid w:val="65FB379D"/>
    <w:rsid w:val="66105BD5"/>
    <w:rsid w:val="661C4AA9"/>
    <w:rsid w:val="66316099"/>
    <w:rsid w:val="663211A8"/>
    <w:rsid w:val="665B09B4"/>
    <w:rsid w:val="66B45F7A"/>
    <w:rsid w:val="67410BF6"/>
    <w:rsid w:val="674F2CEB"/>
    <w:rsid w:val="67555FCF"/>
    <w:rsid w:val="67841718"/>
    <w:rsid w:val="67C106AD"/>
    <w:rsid w:val="682A175C"/>
    <w:rsid w:val="683D61F3"/>
    <w:rsid w:val="68422205"/>
    <w:rsid w:val="685E3C5B"/>
    <w:rsid w:val="68936622"/>
    <w:rsid w:val="68B7423A"/>
    <w:rsid w:val="68B77F5F"/>
    <w:rsid w:val="68BC6A09"/>
    <w:rsid w:val="68CB2A02"/>
    <w:rsid w:val="690D74DB"/>
    <w:rsid w:val="6938246E"/>
    <w:rsid w:val="69651229"/>
    <w:rsid w:val="69850E41"/>
    <w:rsid w:val="69C119AC"/>
    <w:rsid w:val="69E51057"/>
    <w:rsid w:val="69F60795"/>
    <w:rsid w:val="6A015ED6"/>
    <w:rsid w:val="6A4B7A65"/>
    <w:rsid w:val="6A542951"/>
    <w:rsid w:val="6A580A31"/>
    <w:rsid w:val="6A5F1840"/>
    <w:rsid w:val="6A8A2434"/>
    <w:rsid w:val="6ABA70C6"/>
    <w:rsid w:val="6AF7234D"/>
    <w:rsid w:val="6BC67C7B"/>
    <w:rsid w:val="6BD5612A"/>
    <w:rsid w:val="6BDC7FB6"/>
    <w:rsid w:val="6BED0B4B"/>
    <w:rsid w:val="6BFF3344"/>
    <w:rsid w:val="6C076771"/>
    <w:rsid w:val="6C1567C5"/>
    <w:rsid w:val="6C1D667C"/>
    <w:rsid w:val="6C211DBD"/>
    <w:rsid w:val="6C222E67"/>
    <w:rsid w:val="6C2D5117"/>
    <w:rsid w:val="6C58133A"/>
    <w:rsid w:val="6C5F62A5"/>
    <w:rsid w:val="6C676065"/>
    <w:rsid w:val="6C70673B"/>
    <w:rsid w:val="6C78054B"/>
    <w:rsid w:val="6C830EF3"/>
    <w:rsid w:val="6C903238"/>
    <w:rsid w:val="6CAB6451"/>
    <w:rsid w:val="6CC97018"/>
    <w:rsid w:val="6CDF21D8"/>
    <w:rsid w:val="6CE37E3B"/>
    <w:rsid w:val="6D0B441B"/>
    <w:rsid w:val="6D2B161D"/>
    <w:rsid w:val="6D3D34C3"/>
    <w:rsid w:val="6D4D4BBC"/>
    <w:rsid w:val="6D562885"/>
    <w:rsid w:val="6D5C6304"/>
    <w:rsid w:val="6DC2605D"/>
    <w:rsid w:val="6DC46E71"/>
    <w:rsid w:val="6DC70894"/>
    <w:rsid w:val="6E080535"/>
    <w:rsid w:val="6E541118"/>
    <w:rsid w:val="6EBB3D6F"/>
    <w:rsid w:val="6EE72EE7"/>
    <w:rsid w:val="6F2D644C"/>
    <w:rsid w:val="6F402F35"/>
    <w:rsid w:val="6F72764F"/>
    <w:rsid w:val="6FAF1149"/>
    <w:rsid w:val="6FD53463"/>
    <w:rsid w:val="6FE73DBC"/>
    <w:rsid w:val="6FFD283B"/>
    <w:rsid w:val="70102143"/>
    <w:rsid w:val="70153C54"/>
    <w:rsid w:val="70154EB4"/>
    <w:rsid w:val="70272E76"/>
    <w:rsid w:val="70D26E24"/>
    <w:rsid w:val="71005E61"/>
    <w:rsid w:val="712D3C84"/>
    <w:rsid w:val="71362C12"/>
    <w:rsid w:val="717F5210"/>
    <w:rsid w:val="71D45325"/>
    <w:rsid w:val="71D715A4"/>
    <w:rsid w:val="71F06790"/>
    <w:rsid w:val="72084200"/>
    <w:rsid w:val="7260028B"/>
    <w:rsid w:val="72760FFE"/>
    <w:rsid w:val="72B441E5"/>
    <w:rsid w:val="72D17517"/>
    <w:rsid w:val="72D24311"/>
    <w:rsid w:val="72E77200"/>
    <w:rsid w:val="72F56C1F"/>
    <w:rsid w:val="73033078"/>
    <w:rsid w:val="73297AD1"/>
    <w:rsid w:val="73666400"/>
    <w:rsid w:val="739E6298"/>
    <w:rsid w:val="73B213B9"/>
    <w:rsid w:val="73C42AB3"/>
    <w:rsid w:val="73EC1E1D"/>
    <w:rsid w:val="740877B4"/>
    <w:rsid w:val="741E0FA1"/>
    <w:rsid w:val="74331667"/>
    <w:rsid w:val="745E27AE"/>
    <w:rsid w:val="74624E4D"/>
    <w:rsid w:val="747B5AA6"/>
    <w:rsid w:val="747E3569"/>
    <w:rsid w:val="749343E1"/>
    <w:rsid w:val="74B92FE2"/>
    <w:rsid w:val="74D02C6C"/>
    <w:rsid w:val="74DB3987"/>
    <w:rsid w:val="753362A2"/>
    <w:rsid w:val="75642C34"/>
    <w:rsid w:val="75F4016D"/>
    <w:rsid w:val="7614420C"/>
    <w:rsid w:val="761E1FC7"/>
    <w:rsid w:val="763213D7"/>
    <w:rsid w:val="764D140F"/>
    <w:rsid w:val="765967E7"/>
    <w:rsid w:val="76723890"/>
    <w:rsid w:val="767D3423"/>
    <w:rsid w:val="76892CAB"/>
    <w:rsid w:val="768C4950"/>
    <w:rsid w:val="76972934"/>
    <w:rsid w:val="76A208A1"/>
    <w:rsid w:val="76C64F47"/>
    <w:rsid w:val="76CC0936"/>
    <w:rsid w:val="76F72696"/>
    <w:rsid w:val="77491766"/>
    <w:rsid w:val="774F18C9"/>
    <w:rsid w:val="77802F9A"/>
    <w:rsid w:val="77AF4252"/>
    <w:rsid w:val="77B50755"/>
    <w:rsid w:val="77BC04A5"/>
    <w:rsid w:val="77C307CF"/>
    <w:rsid w:val="77CE700B"/>
    <w:rsid w:val="77EC714E"/>
    <w:rsid w:val="78041088"/>
    <w:rsid w:val="783B1199"/>
    <w:rsid w:val="783C2735"/>
    <w:rsid w:val="78BA3069"/>
    <w:rsid w:val="78D7352A"/>
    <w:rsid w:val="78F44883"/>
    <w:rsid w:val="79035311"/>
    <w:rsid w:val="7938253D"/>
    <w:rsid w:val="795E0E97"/>
    <w:rsid w:val="797F3C73"/>
    <w:rsid w:val="79860E1F"/>
    <w:rsid w:val="79AB29BC"/>
    <w:rsid w:val="79D21D28"/>
    <w:rsid w:val="79DE472D"/>
    <w:rsid w:val="7A054EA2"/>
    <w:rsid w:val="7A0B76FC"/>
    <w:rsid w:val="7A32430C"/>
    <w:rsid w:val="7A6831AC"/>
    <w:rsid w:val="7A6E13E6"/>
    <w:rsid w:val="7AAD110D"/>
    <w:rsid w:val="7AC039FE"/>
    <w:rsid w:val="7AC522B9"/>
    <w:rsid w:val="7AC6000C"/>
    <w:rsid w:val="7AC85CA5"/>
    <w:rsid w:val="7AE65753"/>
    <w:rsid w:val="7B155612"/>
    <w:rsid w:val="7B1F2F53"/>
    <w:rsid w:val="7B6F71B6"/>
    <w:rsid w:val="7B7A2208"/>
    <w:rsid w:val="7BA52CA9"/>
    <w:rsid w:val="7BA71456"/>
    <w:rsid w:val="7BB6223B"/>
    <w:rsid w:val="7BC2445E"/>
    <w:rsid w:val="7BE225F0"/>
    <w:rsid w:val="7BF22A13"/>
    <w:rsid w:val="7C0B3FF1"/>
    <w:rsid w:val="7C2A5C68"/>
    <w:rsid w:val="7C8A5831"/>
    <w:rsid w:val="7C8E3F93"/>
    <w:rsid w:val="7CB43A88"/>
    <w:rsid w:val="7CF04734"/>
    <w:rsid w:val="7D533AF2"/>
    <w:rsid w:val="7D690531"/>
    <w:rsid w:val="7DAF1F32"/>
    <w:rsid w:val="7DBC077C"/>
    <w:rsid w:val="7E0A3644"/>
    <w:rsid w:val="7E19329A"/>
    <w:rsid w:val="7E761790"/>
    <w:rsid w:val="7E895E5E"/>
    <w:rsid w:val="7EAD2A6F"/>
    <w:rsid w:val="7EBD1541"/>
    <w:rsid w:val="7EC31CF5"/>
    <w:rsid w:val="7EC467A1"/>
    <w:rsid w:val="7EEC45B9"/>
    <w:rsid w:val="7EF26448"/>
    <w:rsid w:val="7F3A0B7A"/>
    <w:rsid w:val="7F411EA7"/>
    <w:rsid w:val="7F6F5B0F"/>
    <w:rsid w:val="7F7A57F8"/>
    <w:rsid w:val="7F816F84"/>
    <w:rsid w:val="7F860264"/>
    <w:rsid w:val="7F980BB8"/>
    <w:rsid w:val="7F991007"/>
    <w:rsid w:val="7FB13C37"/>
    <w:rsid w:val="7FB47C79"/>
    <w:rsid w:val="7FD01B08"/>
    <w:rsid w:val="7FE43853"/>
    <w:rsid w:val="7FEE28A4"/>
  </w:rsids>
  <w:uiCompat97To2003/>
  <w:shapeDefaults>
    <o:shapedefaults fillcolor="#FFFFFF" fill="f" stroke="f">
      <v:fill on="f" color2="#FFFFFF" focus="0%"/>
    </o:shapedefaults>
    <o:shapelayout v:ext="edit">
      <o:rules v:ext="edit">
        <o:r id="V:Rule1" type="callout" idref="#自选图形 14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kern w:val="2"/>
      <w:sz w:val="28"/>
      <w:szCs w:val="24"/>
      <w:lang w:val="en-US" w:eastAsia="zh-CN" w:bidi="ar-SA"/>
    </w:rPr>
  </w:style>
  <w:style w:type="paragraph" w:styleId="3">
    <w:name w:val="heading 1"/>
    <w:basedOn w:val="1"/>
    <w:next w:val="1"/>
    <w:qFormat/>
    <w:uiPriority w:val="0"/>
    <w:pPr>
      <w:keepNext/>
      <w:keepLines/>
      <w:pageBreakBefore/>
      <w:spacing w:before="340" w:after="330" w:line="578" w:lineRule="auto"/>
      <w:jc w:val="center"/>
      <w:outlineLvl w:val="0"/>
    </w:pPr>
    <w:rPr>
      <w:b/>
      <w:bCs/>
      <w:kern w:val="44"/>
      <w:sz w:val="36"/>
      <w:szCs w:val="44"/>
    </w:rPr>
  </w:style>
  <w:style w:type="paragraph" w:styleId="4">
    <w:name w:val="heading 2"/>
    <w:basedOn w:val="1"/>
    <w:next w:val="1"/>
    <w:link w:val="73"/>
    <w:qFormat/>
    <w:uiPriority w:val="0"/>
    <w:pPr>
      <w:keepNext/>
      <w:keepLines/>
      <w:spacing w:before="260" w:after="260" w:line="416" w:lineRule="auto"/>
      <w:outlineLvl w:val="1"/>
    </w:pPr>
    <w:rPr>
      <w:rFonts w:ascii="Arial" w:hAnsi="Arial"/>
      <w:b/>
      <w:bCs/>
      <w:sz w:val="30"/>
      <w:szCs w:val="32"/>
    </w:rPr>
  </w:style>
  <w:style w:type="paragraph" w:styleId="5">
    <w:name w:val="heading 3"/>
    <w:basedOn w:val="1"/>
    <w:next w:val="1"/>
    <w:qFormat/>
    <w:uiPriority w:val="0"/>
    <w:pPr>
      <w:keepNext/>
      <w:keepLines/>
      <w:spacing w:before="260" w:after="260" w:line="416" w:lineRule="auto"/>
      <w:outlineLvl w:val="2"/>
    </w:pPr>
    <w:rPr>
      <w:b/>
      <w:bCs/>
      <w:sz w:val="30"/>
      <w:szCs w:val="32"/>
    </w:rPr>
  </w:style>
  <w:style w:type="paragraph" w:styleId="6">
    <w:name w:val="heading 4"/>
    <w:basedOn w:val="1"/>
    <w:next w:val="1"/>
    <w:qFormat/>
    <w:uiPriority w:val="0"/>
    <w:pPr>
      <w:keepNext/>
      <w:keepLines/>
      <w:widowControl w:val="0"/>
      <w:spacing w:before="60" w:beforeAutospacing="0" w:after="60" w:afterAutospacing="0" w:line="360" w:lineRule="auto"/>
      <w:ind w:left="0" w:right="0"/>
      <w:jc w:val="both"/>
      <w:outlineLvl w:val="3"/>
    </w:pPr>
    <w:rPr>
      <w:rFonts w:hint="default" w:ascii="Times New Roman" w:hAnsi="Times New Roman" w:eastAsia="宋体" w:cs="Times New Roman"/>
      <w:kern w:val="2"/>
      <w:sz w:val="24"/>
      <w:szCs w:val="20"/>
      <w:lang w:val="en-US" w:eastAsia="zh-CN" w:bidi="ar-SA"/>
    </w:rPr>
  </w:style>
  <w:style w:type="character" w:default="1" w:styleId="22">
    <w:name w:val="Default Paragraph Font"/>
    <w:semiHidden/>
    <w:uiPriority w:val="0"/>
    <w:rPr>
      <w:rFonts w:eastAsia="宋体"/>
      <w:sz w:val="21"/>
      <w:szCs w:val="20"/>
    </w:rPr>
  </w:style>
  <w:style w:type="table" w:default="1" w:styleId="27">
    <w:name w:val="Normal Table"/>
    <w:semiHidden/>
    <w:uiPriority w:val="0"/>
    <w:tblPr>
      <w:tblStyle w:val="27"/>
      <w:tblLayout w:type="fixed"/>
      <w:tblCellMar>
        <w:top w:w="0" w:type="dxa"/>
        <w:left w:w="108" w:type="dxa"/>
        <w:bottom w:w="0" w:type="dxa"/>
        <w:right w:w="108" w:type="dxa"/>
      </w:tblCellMar>
    </w:tblPr>
    <w:tcPr>
      <w:textDirection w:val="lrTb"/>
    </w:tcPr>
  </w:style>
  <w:style w:type="paragraph" w:customStyle="1" w:styleId="2">
    <w:name w:val="表头"/>
    <w:basedOn w:val="1"/>
    <w:next w:val="1"/>
    <w:link w:val="66"/>
    <w:qFormat/>
    <w:uiPriority w:val="0"/>
    <w:pPr>
      <w:adjustRightInd w:val="0"/>
      <w:snapToGrid w:val="0"/>
      <w:jc w:val="left"/>
    </w:pPr>
    <w:rPr>
      <w:rFonts w:ascii="宋体" w:hAnsi="宋体" w:eastAsia="黑体"/>
      <w:kern w:val="0"/>
      <w:sz w:val="24"/>
    </w:rPr>
  </w:style>
  <w:style w:type="paragraph" w:styleId="7">
    <w:name w:val="annotation subject"/>
    <w:basedOn w:val="8"/>
    <w:next w:val="8"/>
    <w:link w:val="61"/>
    <w:uiPriority w:val="0"/>
    <w:rPr>
      <w:b/>
      <w:bCs/>
    </w:rPr>
  </w:style>
  <w:style w:type="paragraph" w:styleId="8">
    <w:name w:val="annotation text"/>
    <w:basedOn w:val="1"/>
    <w:link w:val="62"/>
    <w:uiPriority w:val="0"/>
    <w:pPr>
      <w:jc w:val="left"/>
    </w:pPr>
  </w:style>
  <w:style w:type="paragraph" w:styleId="9">
    <w:name w:val="Body Text First Indent"/>
    <w:basedOn w:val="10"/>
    <w:uiPriority w:val="0"/>
    <w:pPr>
      <w:ind w:firstLine="420" w:firstLineChars="100"/>
    </w:pPr>
  </w:style>
  <w:style w:type="paragraph" w:styleId="10">
    <w:name w:val="Body Text"/>
    <w:basedOn w:val="1"/>
    <w:uiPriority w:val="0"/>
    <w:pPr>
      <w:spacing w:after="120"/>
    </w:pPr>
  </w:style>
  <w:style w:type="paragraph" w:styleId="11">
    <w:name w:val="Body Text Indent"/>
    <w:basedOn w:val="1"/>
    <w:uiPriority w:val="0"/>
    <w:pPr>
      <w:spacing w:line="240" w:lineRule="auto"/>
      <w:ind w:left="225"/>
    </w:pPr>
    <w:rPr>
      <w:sz w:val="30"/>
    </w:rPr>
  </w:style>
  <w:style w:type="paragraph" w:styleId="12">
    <w:name w:val="Plain Text"/>
    <w:basedOn w:val="1"/>
    <w:uiPriority w:val="0"/>
    <w:pPr>
      <w:spacing w:line="360" w:lineRule="auto"/>
    </w:pPr>
    <w:rPr>
      <w:rFonts w:ascii="宋体" w:hAnsi="Courier New" w:cs="Courier New"/>
      <w:szCs w:val="21"/>
    </w:rPr>
  </w:style>
  <w:style w:type="paragraph" w:styleId="13">
    <w:name w:val="Date"/>
    <w:basedOn w:val="1"/>
    <w:next w:val="1"/>
    <w:uiPriority w:val="0"/>
    <w:pPr>
      <w:spacing w:line="240" w:lineRule="auto"/>
    </w:pPr>
    <w:rPr>
      <w:rFonts w:eastAsia="仿宋_GB2312"/>
      <w:szCs w:val="20"/>
    </w:rPr>
  </w:style>
  <w:style w:type="paragraph" w:styleId="14">
    <w:name w:val="Body Text Indent 2"/>
    <w:basedOn w:val="1"/>
    <w:uiPriority w:val="0"/>
    <w:pPr>
      <w:widowControl w:val="0"/>
      <w:spacing w:before="0" w:beforeAutospacing="0" w:after="120" w:afterAutospacing="0" w:line="480" w:lineRule="auto"/>
      <w:ind w:left="420" w:leftChars="200" w:right="0"/>
      <w:jc w:val="both"/>
    </w:pPr>
    <w:rPr>
      <w:rFonts w:hint="default" w:ascii="Times New Roman" w:hAnsi="Times New Roman" w:eastAsia="宋体" w:cs="Times New Roman"/>
      <w:kern w:val="2"/>
      <w:sz w:val="21"/>
      <w:szCs w:val="20"/>
      <w:lang w:val="en-US" w:eastAsia="zh-CN" w:bidi="ar-SA"/>
    </w:rPr>
  </w:style>
  <w:style w:type="paragraph" w:styleId="15">
    <w:name w:val="Balloon Text"/>
    <w:basedOn w:val="1"/>
    <w:link w:val="69"/>
    <w:uiPriority w:val="0"/>
    <w:pPr>
      <w:spacing w:line="240" w:lineRule="auto"/>
    </w:pPr>
    <w:rPr>
      <w:sz w:val="18"/>
      <w:szCs w:val="18"/>
    </w:rPr>
  </w:style>
  <w:style w:type="paragraph" w:styleId="16">
    <w:name w:val="footer"/>
    <w:basedOn w:val="1"/>
    <w:uiPriority w:val="0"/>
    <w:pPr>
      <w:tabs>
        <w:tab w:val="center" w:pos="4153"/>
        <w:tab w:val="right" w:pos="8306"/>
      </w:tabs>
      <w:snapToGrid w:val="0"/>
      <w:jc w:val="left"/>
    </w:pPr>
    <w:rPr>
      <w:sz w:val="18"/>
      <w:szCs w:val="18"/>
    </w:rPr>
  </w:style>
  <w:style w:type="paragraph" w:styleId="1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iPriority w:val="0"/>
    <w:pPr>
      <w:spacing w:before="120" w:after="120"/>
      <w:jc w:val="left"/>
    </w:pPr>
    <w:rPr>
      <w:b/>
      <w:bCs/>
      <w:caps/>
      <w:sz w:val="20"/>
      <w:szCs w:val="20"/>
    </w:rPr>
  </w:style>
  <w:style w:type="paragraph" w:styleId="19">
    <w:name w:val="List"/>
    <w:basedOn w:val="1"/>
    <w:uiPriority w:val="0"/>
    <w:pPr>
      <w:spacing w:line="360" w:lineRule="auto"/>
      <w:ind w:left="200" w:hanging="200" w:hangingChars="200"/>
    </w:pPr>
    <w:rPr>
      <w:rFonts w:ascii="仿宋_GB2312"/>
    </w:rPr>
  </w:style>
  <w:style w:type="paragraph" w:styleId="20">
    <w:name w:val="footnote text"/>
    <w:basedOn w:val="1"/>
    <w:link w:val="70"/>
    <w:uiPriority w:val="0"/>
    <w:pPr>
      <w:snapToGrid w:val="0"/>
      <w:jc w:val="left"/>
    </w:pPr>
    <w:rPr>
      <w:sz w:val="18"/>
      <w:szCs w:val="18"/>
    </w:rPr>
  </w:style>
  <w:style w:type="paragraph" w:styleId="21">
    <w:name w:val="toc 2"/>
    <w:basedOn w:val="1"/>
    <w:next w:val="1"/>
    <w:uiPriority w:val="0"/>
    <w:pPr>
      <w:ind w:left="280"/>
      <w:jc w:val="left"/>
    </w:pPr>
    <w:rPr>
      <w:smallCaps/>
      <w:sz w:val="20"/>
      <w:szCs w:val="20"/>
    </w:rPr>
  </w:style>
  <w:style w:type="character" w:styleId="23">
    <w:name w:val="page number"/>
    <w:basedOn w:val="22"/>
    <w:uiPriority w:val="0"/>
    <w:rPr/>
  </w:style>
  <w:style w:type="character" w:styleId="24">
    <w:name w:val="Hyperlink"/>
    <w:uiPriority w:val="0"/>
    <w:rPr>
      <w:color w:val="0000FF"/>
      <w:u w:val="single"/>
    </w:rPr>
  </w:style>
  <w:style w:type="character" w:styleId="25">
    <w:name w:val="annotation reference"/>
    <w:basedOn w:val="22"/>
    <w:uiPriority w:val="0"/>
    <w:rPr>
      <w:sz w:val="21"/>
      <w:szCs w:val="21"/>
    </w:rPr>
  </w:style>
  <w:style w:type="character" w:styleId="26">
    <w:name w:val="footnote reference"/>
    <w:basedOn w:val="22"/>
    <w:uiPriority w:val="0"/>
    <w:rPr>
      <w:vertAlign w:val="superscript"/>
    </w:rPr>
  </w:style>
  <w:style w:type="table" w:styleId="28">
    <w:name w:val="Table Grid"/>
    <w:basedOn w:val="27"/>
    <w:uiPriority w:val="0"/>
    <w:pPr>
      <w:widowControl w:val="0"/>
      <w:jc w:val="both"/>
    </w:pPr>
    <w:tblPr>
      <w:tblStyle w:val="2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29">
    <w:name w:val="表后空行格式"/>
    <w:basedOn w:val="30"/>
    <w:qFormat/>
    <w:uiPriority w:val="0"/>
    <w:pPr>
      <w:widowControl w:val="0"/>
      <w:spacing w:line="240" w:lineRule="exact"/>
      <w:ind w:firstLine="0" w:firstLineChars="0"/>
      <w:jc w:val="both"/>
    </w:pPr>
    <w:rPr>
      <w:spacing w:val="8"/>
      <w:sz w:val="18"/>
    </w:rPr>
  </w:style>
  <w:style w:type="paragraph" w:customStyle="1" w:styleId="30">
    <w:name w:val="正文格式"/>
    <w:basedOn w:val="9"/>
    <w:link w:val="65"/>
    <w:qFormat/>
    <w:uiPriority w:val="0"/>
    <w:pPr>
      <w:widowControl/>
      <w:spacing w:after="0" w:line="360" w:lineRule="auto"/>
      <w:ind w:firstLineChars="200"/>
      <w:jc w:val="left"/>
    </w:pPr>
    <w:rPr>
      <w:rFonts w:ascii="宋体"/>
      <w:bCs/>
      <w:color w:val="323232"/>
      <w:sz w:val="24"/>
      <w:szCs w:val="21"/>
      <w:lang w:val="zh-CN"/>
    </w:rPr>
  </w:style>
  <w:style w:type="paragraph" w:customStyle="1" w:styleId="31">
    <w:name w:val="表格文字样式14"/>
    <w:basedOn w:val="32"/>
    <w:qFormat/>
    <w:uiPriority w:val="0"/>
    <w:pPr>
      <w:overflowPunct w:val="0"/>
      <w:adjustRightInd w:val="0"/>
      <w:snapToGrid w:val="0"/>
      <w:spacing w:line="360" w:lineRule="exact"/>
      <w:jc w:val="center"/>
    </w:pPr>
    <w:rPr>
      <w:rFonts w:ascii="宋体" w:hAnsi="宋体" w:eastAsia="宋体" w:cs="Times New Roman"/>
      <w:bCs/>
      <w:kern w:val="0"/>
      <w:szCs w:val="21"/>
    </w:rPr>
  </w:style>
  <w:style w:type="paragraph" w:customStyle="1" w:styleId="32">
    <w:name w:val="表格标题"/>
    <w:basedOn w:val="1"/>
    <w:next w:val="10"/>
    <w:qFormat/>
    <w:uiPriority w:val="0"/>
    <w:pPr>
      <w:autoSpaceDE w:val="0"/>
      <w:autoSpaceDN w:val="0"/>
      <w:adjustRightInd w:val="0"/>
      <w:snapToGrid w:val="0"/>
      <w:jc w:val="center"/>
      <w:textAlignment w:val="baseline"/>
    </w:pPr>
    <w:rPr>
      <w:kern w:val="0"/>
    </w:rPr>
  </w:style>
  <w:style w:type="paragraph" w:styleId="33">
    <w:name w:val=""/>
    <w:link w:val="72"/>
    <w:qFormat/>
    <w:uiPriority w:val="99"/>
    <w:pPr>
      <w:widowControl w:val="0"/>
      <w:jc w:val="both"/>
    </w:pPr>
    <w:rPr>
      <w:kern w:val="2"/>
      <w:sz w:val="28"/>
      <w:szCs w:val="24"/>
      <w:lang w:val="en-US" w:eastAsia="zh-CN" w:bidi="ar-SA"/>
    </w:rPr>
  </w:style>
  <w:style w:type="paragraph" w:customStyle="1" w:styleId="34">
    <w:name w:val="_Style 1"/>
    <w:qFormat/>
    <w:uiPriority w:val="99"/>
    <w:pPr>
      <w:widowControl w:val="0"/>
      <w:jc w:val="both"/>
    </w:pPr>
    <w:rPr>
      <w:kern w:val="2"/>
      <w:sz w:val="28"/>
      <w:szCs w:val="24"/>
      <w:lang w:val="en-US" w:eastAsia="zh-CN" w:bidi="ar-SA"/>
    </w:rPr>
  </w:style>
  <w:style w:type="paragraph" w:customStyle="1" w:styleId="35">
    <w:name w:val="正文 楷体"/>
    <w:basedOn w:val="1"/>
    <w:qFormat/>
    <w:uiPriority w:val="0"/>
    <w:pPr>
      <w:widowControl w:val="0"/>
      <w:spacing w:line="500" w:lineRule="exact"/>
      <w:jc w:val="both"/>
    </w:pPr>
    <w:rPr>
      <w:rFonts w:ascii="楷体_GB2312" w:hAnsi="楷体_GB2312" w:eastAsia="楷体_GB2312" w:cs="宋体"/>
      <w:sz w:val="24"/>
    </w:rPr>
  </w:style>
  <w:style w:type="paragraph" w:customStyle="1" w:styleId="36">
    <w:name w:val="表格文字2"/>
    <w:basedOn w:val="1"/>
    <w:qFormat/>
    <w:uiPriority w:val="0"/>
    <w:pPr>
      <w:tabs>
        <w:tab w:val="left" w:pos="277"/>
        <w:tab w:val="left" w:pos="600"/>
        <w:tab w:val="left" w:pos="780"/>
        <w:tab w:val="left" w:pos="2517"/>
      </w:tabs>
      <w:adjustRightInd w:val="0"/>
      <w:spacing w:before="60" w:line="360" w:lineRule="auto"/>
      <w:ind w:firstLine="480" w:firstLineChars="200"/>
      <w:textAlignment w:val="baseline"/>
    </w:pPr>
    <w:rPr>
      <w:b/>
      <w:kern w:val="0"/>
      <w:sz w:val="28"/>
    </w:rPr>
  </w:style>
  <w:style w:type="paragraph" w:customStyle="1" w:styleId="37">
    <w:name w:val="航标"/>
    <w:basedOn w:val="1"/>
    <w:next w:val="1"/>
    <w:link w:val="68"/>
    <w:uiPriority w:val="0"/>
    <w:pPr>
      <w:spacing w:line="360" w:lineRule="auto"/>
      <w:ind w:firstLine="482"/>
    </w:pPr>
    <w:rPr>
      <w:rFonts w:ascii="宋体" w:eastAsia="黑体"/>
      <w:sz w:val="24"/>
    </w:rPr>
  </w:style>
  <w:style w:type="paragraph" w:customStyle="1" w:styleId="38">
    <w:name w:val="表格文字"/>
    <w:basedOn w:val="1"/>
    <w:qFormat/>
    <w:uiPriority w:val="0"/>
    <w:pPr>
      <w:widowControl w:val="0"/>
      <w:spacing w:before="0" w:beforeAutospacing="0" w:after="0" w:afterAutospacing="0" w:line="400" w:lineRule="exact"/>
      <w:ind w:left="0" w:right="0"/>
      <w:jc w:val="center"/>
    </w:pPr>
  </w:style>
  <w:style w:type="paragraph" w:customStyle="1" w:styleId="39">
    <w:name w:val="无间隔2"/>
    <w:qFormat/>
    <w:uiPriority w:val="1"/>
    <w:pPr>
      <w:widowControl w:val="0"/>
      <w:jc w:val="both"/>
    </w:pPr>
    <w:rPr>
      <w:kern w:val="2"/>
      <w:sz w:val="21"/>
      <w:szCs w:val="24"/>
      <w:lang w:val="en-US" w:eastAsia="zh-CN" w:bidi="ar-SA"/>
    </w:rPr>
  </w:style>
  <w:style w:type="paragraph" w:customStyle="1" w:styleId="40">
    <w:name w:val="样式12"/>
    <w:basedOn w:val="41"/>
    <w:qFormat/>
    <w:uiPriority w:val="0"/>
  </w:style>
  <w:style w:type="paragraph" w:customStyle="1" w:styleId="41">
    <w:name w:val="样式1.1.1三级标题"/>
    <w:basedOn w:val="1"/>
    <w:next w:val="30"/>
    <w:qFormat/>
    <w:uiPriority w:val="0"/>
    <w:pPr>
      <w:numPr>
        <w:ilvl w:val="2"/>
        <w:numId w:val="1"/>
      </w:numPr>
      <w:outlineLvl w:val="2"/>
    </w:pPr>
    <w:rPr>
      <w:rFonts w:ascii="宋体" w:hAnsi="宋体"/>
      <w:b/>
    </w:rPr>
  </w:style>
  <w:style w:type="paragraph" w:customStyle="1" w:styleId="42">
    <w:name w:val="表内文字"/>
    <w:basedOn w:val="1"/>
    <w:qFormat/>
    <w:uiPriority w:val="0"/>
    <w:pPr>
      <w:adjustRightInd w:val="0"/>
      <w:snapToGrid w:val="0"/>
      <w:jc w:val="center"/>
    </w:pPr>
    <w:rPr>
      <w:sz w:val="21"/>
      <w:szCs w:val="21"/>
    </w:rPr>
  </w:style>
  <w:style w:type="paragraph" w:customStyle="1" w:styleId="43">
    <w:name w:val="样式 标题4 1.1.1.1"/>
    <w:basedOn w:val="6"/>
    <w:next w:val="30"/>
    <w:qFormat/>
    <w:uiPriority w:val="0"/>
    <w:rPr>
      <w:rFonts w:hAnsi="宋体"/>
      <w:szCs w:val="20"/>
    </w:rPr>
  </w:style>
  <w:style w:type="paragraph" w:customStyle="1" w:styleId="44">
    <w:name w:val="表头标题格式"/>
    <w:basedOn w:val="1"/>
    <w:link w:val="67"/>
    <w:qFormat/>
    <w:uiPriority w:val="0"/>
    <w:pPr>
      <w:tabs>
        <w:tab w:val="left" w:pos="360"/>
        <w:tab w:val="left" w:pos="1620"/>
      </w:tabs>
      <w:spacing w:line="360" w:lineRule="auto"/>
      <w:jc w:val="center"/>
    </w:pPr>
    <w:rPr>
      <w:rFonts w:ascii="黑体" w:hAnsi="宋体" w:eastAsia="黑体"/>
      <w:b/>
      <w:bCs/>
      <w:sz w:val="24"/>
    </w:rPr>
  </w:style>
  <w:style w:type="paragraph" w:customStyle="1" w:styleId="45">
    <w:name w:val="列出段落1"/>
    <w:basedOn w:val="1"/>
    <w:unhideWhenUsed/>
    <w:qFormat/>
    <w:uiPriority w:val="99"/>
    <w:pPr>
      <w:spacing w:beforeLines="0" w:afterLines="0"/>
      <w:ind w:firstLine="420" w:firstLineChars="200"/>
    </w:pPr>
    <w:rPr>
      <w:rFonts w:hint="eastAsia"/>
      <w:sz w:val="21"/>
    </w:rPr>
  </w:style>
  <w:style w:type="paragraph" w:customStyle="1" w:styleId="46">
    <w:name w:val="样式 左"/>
    <w:basedOn w:val="1"/>
    <w:qFormat/>
    <w:uiPriority w:val="0"/>
    <w:pPr>
      <w:widowControl w:val="0"/>
      <w:autoSpaceDE w:val="0"/>
      <w:autoSpaceDN w:val="0"/>
      <w:adjustRightInd w:val="0"/>
      <w:spacing w:before="100" w:beforeAutospacing="1" w:line="360" w:lineRule="auto"/>
      <w:ind w:firstLine="482" w:firstLineChars="0"/>
    </w:pPr>
    <w:rPr>
      <w:rFonts w:ascii="Arial" w:hAnsi="Arial" w:eastAsia="宋体" w:cs="Arial"/>
      <w:sz w:val="24"/>
      <w:lang w:val="zh-CN"/>
    </w:rPr>
  </w:style>
  <w:style w:type="paragraph" w:customStyle="1" w:styleId="47">
    <w:name w:val="_Style 0"/>
    <w:qFormat/>
    <w:uiPriority w:val="99"/>
    <w:pPr>
      <w:widowControl w:val="0"/>
      <w:jc w:val="both"/>
    </w:pPr>
    <w:rPr>
      <w:kern w:val="2"/>
      <w:sz w:val="28"/>
      <w:szCs w:val="24"/>
      <w:lang w:val="en-US" w:eastAsia="zh-CN" w:bidi="ar-SA"/>
    </w:rPr>
  </w:style>
  <w:style w:type="paragraph" w:customStyle="1" w:styleId="48">
    <w:name w:val="表格字"/>
    <w:basedOn w:val="19"/>
    <w:qFormat/>
    <w:uiPriority w:val="0"/>
    <w:pPr>
      <w:snapToGrid w:val="0"/>
      <w:spacing w:line="360" w:lineRule="exact"/>
      <w:ind w:left="0" w:firstLine="0" w:firstLineChars="0"/>
      <w:jc w:val="center"/>
    </w:pPr>
    <w:rPr>
      <w:rFonts w:ascii="宋体" w:eastAsia="宋体"/>
      <w:kern w:val="0"/>
      <w:sz w:val="24"/>
      <w:szCs w:val="20"/>
    </w:rPr>
  </w:style>
  <w:style w:type="paragraph" w:customStyle="1" w:styleId="49">
    <w:name w:val="段落"/>
    <w:qFormat/>
    <w:uiPriority w:val="0"/>
    <w:pPr>
      <w:spacing w:line="360" w:lineRule="auto"/>
      <w:ind w:firstLine="540" w:firstLineChars="225"/>
      <w:jc w:val="both"/>
    </w:pPr>
    <w:rPr>
      <w:rFonts w:ascii="仿宋_GB2312" w:hAnsi="宋体" w:eastAsia="仿宋_GB2312"/>
      <w:bCs/>
      <w:snapToGrid w:val="0"/>
      <w:color w:val="3366FF"/>
      <w:sz w:val="24"/>
      <w:szCs w:val="24"/>
      <w:lang w:val="en-US" w:eastAsia="zh-CN" w:bidi="ar-SA"/>
    </w:rPr>
  </w:style>
  <w:style w:type="paragraph" w:customStyle="1" w:styleId="50">
    <w:name w:val="高表内"/>
    <w:basedOn w:val="12"/>
    <w:qFormat/>
    <w:uiPriority w:val="0"/>
    <w:pPr>
      <w:widowControl w:val="0"/>
      <w:autoSpaceDE w:val="0"/>
      <w:adjustRightInd w:val="0"/>
      <w:snapToGrid w:val="0"/>
      <w:spacing w:line="240" w:lineRule="auto"/>
      <w:ind w:firstLine="0" w:firstLineChars="0"/>
      <w:jc w:val="center"/>
      <w:textAlignment w:val="baseline"/>
    </w:pPr>
    <w:rPr>
      <w:rFonts w:ascii="Arial" w:hAnsi="Arial" w:eastAsia="楷体_GB2312" w:cs="Times New Roman"/>
      <w:sz w:val="24"/>
      <w:szCs w:val="24"/>
    </w:rPr>
  </w:style>
  <w:style w:type="paragraph" w:customStyle="1" w:styleId="51">
    <w:name w:val="环评正文"/>
    <w:basedOn w:val="1"/>
    <w:next w:val="1"/>
    <w:uiPriority w:val="0"/>
    <w:pPr>
      <w:spacing w:line="360" w:lineRule="auto"/>
      <w:ind w:firstLine="484" w:firstLineChars="200"/>
      <w:jc w:val="left"/>
    </w:pPr>
    <w:rPr>
      <w:rFonts w:ascii="仿宋_GB2312" w:cs="宋体"/>
      <w:spacing w:val="1"/>
      <w:kern w:val="0"/>
      <w:position w:val="-3"/>
      <w:sz w:val="24"/>
      <w:szCs w:val="24"/>
    </w:rPr>
  </w:style>
  <w:style w:type="paragraph" w:customStyle="1" w:styleId="52">
    <w:name w:val="_Style 2"/>
    <w:qFormat/>
    <w:uiPriority w:val="99"/>
    <w:pPr>
      <w:widowControl w:val="0"/>
      <w:jc w:val="both"/>
    </w:pPr>
    <w:rPr>
      <w:kern w:val="2"/>
      <w:sz w:val="21"/>
      <w:szCs w:val="24"/>
      <w:lang w:val="en-US" w:eastAsia="zh-CN" w:bidi="ar-SA"/>
    </w:rPr>
  </w:style>
  <w:style w:type="paragraph" w:customStyle="1" w:styleId="53">
    <w:name w:val=" Char Char Char Char Char Char1 Char"/>
    <w:basedOn w:val="1"/>
    <w:qFormat/>
    <w:uiPriority w:val="0"/>
    <w:pPr>
      <w:widowControl w:val="0"/>
      <w:spacing w:line="240" w:lineRule="auto"/>
      <w:ind w:firstLine="0" w:firstLineChars="0"/>
      <w:jc w:val="both"/>
    </w:pPr>
    <w:rPr>
      <w:rFonts w:eastAsia="宋体"/>
      <w:sz w:val="21"/>
      <w:szCs w:val="20"/>
    </w:rPr>
  </w:style>
  <w:style w:type="paragraph" w:customStyle="1" w:styleId="54">
    <w:name w:val="我的表格"/>
    <w:basedOn w:val="1"/>
    <w:qFormat/>
    <w:uiPriority w:val="0"/>
    <w:pPr>
      <w:adjustRightInd w:val="0"/>
      <w:jc w:val="center"/>
      <w:textAlignment w:val="baseline"/>
    </w:pPr>
    <w:rPr>
      <w:kern w:val="0"/>
    </w:rPr>
  </w:style>
  <w:style w:type="paragraph" w:customStyle="1" w:styleId="55">
    <w:name w:val="无间隔1"/>
    <w:qFormat/>
    <w:uiPriority w:val="99"/>
    <w:pPr>
      <w:widowControl w:val="0"/>
      <w:jc w:val="both"/>
    </w:pPr>
    <w:rPr>
      <w:rFonts w:ascii="Calibri" w:hAnsi="Calibri" w:cs="Calibri"/>
      <w:kern w:val="2"/>
      <w:sz w:val="21"/>
      <w:szCs w:val="21"/>
      <w:lang w:val="en-US" w:eastAsia="zh-CN" w:bidi="ar-SA"/>
    </w:rPr>
  </w:style>
  <w:style w:type="paragraph" w:customStyle="1" w:styleId="56">
    <w:name w:val="_Style 3"/>
    <w:qFormat/>
    <w:uiPriority w:val="99"/>
    <w:pPr>
      <w:widowControl w:val="0"/>
      <w:jc w:val="both"/>
    </w:pPr>
    <w:rPr>
      <w:kern w:val="2"/>
      <w:sz w:val="28"/>
      <w:szCs w:val="24"/>
      <w:lang w:val="en-US" w:eastAsia="zh-CN" w:bidi="ar-SA"/>
    </w:rPr>
  </w:style>
  <w:style w:type="paragraph" w:customStyle="1" w:styleId="57">
    <w:name w:val="表格"/>
    <w:basedOn w:val="1"/>
    <w:next w:val="1"/>
    <w:qFormat/>
    <w:uiPriority w:val="0"/>
    <w:pPr>
      <w:spacing w:line="240" w:lineRule="auto"/>
      <w:ind w:firstLine="0" w:firstLineChars="0"/>
    </w:pPr>
    <w:rPr>
      <w:sz w:val="24"/>
    </w:rPr>
  </w:style>
  <w:style w:type="paragraph" w:customStyle="1" w:styleId="58">
    <w:name w:val="表格1"/>
    <w:basedOn w:val="1"/>
    <w:next w:val="1"/>
    <w:uiPriority w:val="0"/>
    <w:pPr>
      <w:spacing w:line="240" w:lineRule="auto"/>
      <w:ind w:left="-5" w:leftChars="-5" w:right="-5" w:rightChars="-5" w:firstLine="0" w:firstLineChars="0"/>
      <w:jc w:val="center"/>
    </w:pPr>
    <w:rPr>
      <w:rFonts w:ascii="宋体" w:hAnsi="宋体" w:eastAsia="宋体"/>
      <w:sz w:val="21"/>
    </w:rPr>
  </w:style>
  <w:style w:type="paragraph" w:customStyle="1" w:styleId="59">
    <w:name w:val="谏壁标题3（chen）"/>
    <w:basedOn w:val="1"/>
    <w:qFormat/>
    <w:uiPriority w:val="0"/>
    <w:pPr>
      <w:keepNext/>
      <w:keepLines/>
      <w:widowControl w:val="0"/>
      <w:spacing w:before="100" w:beforeAutospacing="0" w:after="120" w:afterAutospacing="0" w:line="360" w:lineRule="auto"/>
      <w:ind w:left="0" w:right="0"/>
      <w:jc w:val="both"/>
      <w:outlineLvl w:val="2"/>
    </w:pPr>
    <w:rPr>
      <w:rFonts w:hint="default" w:ascii="Times New Roman" w:hAnsi="Times New Roman" w:eastAsia="黑体" w:cs="Times New Roman"/>
      <w:kern w:val="2"/>
      <w:sz w:val="30"/>
      <w:szCs w:val="32"/>
      <w:lang w:val="en-US" w:eastAsia="zh-CN" w:bidi="ar-SA"/>
    </w:rPr>
  </w:style>
  <w:style w:type="paragraph" w:customStyle="1" w:styleId="60">
    <w:name w:val="p17"/>
    <w:basedOn w:val="1"/>
    <w:qFormat/>
    <w:uiPriority w:val="99"/>
    <w:pPr>
      <w:widowControl/>
      <w:spacing w:line="240" w:lineRule="auto"/>
      <w:ind w:firstLine="420"/>
    </w:pPr>
    <w:rPr>
      <w:kern w:val="0"/>
      <w:szCs w:val="28"/>
    </w:rPr>
  </w:style>
  <w:style w:type="character" w:customStyle="1" w:styleId="61">
    <w:name w:val="批注主题 Char"/>
    <w:basedOn w:val="62"/>
    <w:link w:val="7"/>
    <w:uiPriority w:val="0"/>
    <w:rPr/>
  </w:style>
  <w:style w:type="character" w:customStyle="1" w:styleId="62">
    <w:name w:val="批注文字 Char"/>
    <w:basedOn w:val="22"/>
    <w:link w:val="8"/>
    <w:uiPriority w:val="0"/>
    <w:rPr>
      <w:kern w:val="2"/>
      <w:sz w:val="28"/>
      <w:szCs w:val="24"/>
    </w:rPr>
  </w:style>
  <w:style w:type="character" w:customStyle="1" w:styleId="63">
    <w:name w:val="font01"/>
    <w:basedOn w:val="22"/>
    <w:uiPriority w:val="0"/>
    <w:rPr>
      <w:rFonts w:hint="eastAsia" w:ascii="宋体" w:hAnsi="宋体" w:eastAsia="宋体" w:cs="宋体"/>
      <w:color w:val="000000"/>
      <w:sz w:val="24"/>
      <w:szCs w:val="24"/>
      <w:u w:val="none"/>
      <w:vertAlign w:val="superscript"/>
    </w:rPr>
  </w:style>
  <w:style w:type="character" w:customStyle="1" w:styleId="64">
    <w:name w:val="文本框"/>
    <w:qFormat/>
    <w:uiPriority w:val="0"/>
    <w:rPr>
      <w:rFonts w:eastAsia="仿宋_GB2312"/>
      <w:bCs/>
      <w:kern w:val="0"/>
      <w:sz w:val="21"/>
    </w:rPr>
  </w:style>
  <w:style w:type="character" w:customStyle="1" w:styleId="65">
    <w:name w:val="正文格式 Char Char"/>
    <w:link w:val="30"/>
    <w:uiPriority w:val="0"/>
    <w:rPr>
      <w:rFonts w:ascii="宋体"/>
      <w:bCs/>
      <w:color w:val="323232"/>
      <w:kern w:val="2"/>
      <w:sz w:val="24"/>
      <w:szCs w:val="21"/>
      <w:lang w:val="zh-CN"/>
    </w:rPr>
  </w:style>
  <w:style w:type="character" w:customStyle="1" w:styleId="66">
    <w:name w:val="表头 Char"/>
    <w:link w:val="2"/>
    <w:uiPriority w:val="0"/>
    <w:rPr>
      <w:rFonts w:ascii="宋体" w:hAnsi="宋体" w:eastAsia="黑体"/>
      <w:sz w:val="24"/>
      <w:szCs w:val="24"/>
    </w:rPr>
  </w:style>
  <w:style w:type="character" w:customStyle="1" w:styleId="67">
    <w:name w:val="表头标题格式 Char Char"/>
    <w:link w:val="44"/>
    <w:locked/>
    <w:uiPriority w:val="0"/>
    <w:rPr>
      <w:rFonts w:ascii="黑体" w:hAnsi="宋体" w:eastAsia="黑体"/>
      <w:b/>
      <w:bCs/>
      <w:kern w:val="2"/>
      <w:sz w:val="24"/>
      <w:szCs w:val="24"/>
    </w:rPr>
  </w:style>
  <w:style w:type="character" w:customStyle="1" w:styleId="68">
    <w:name w:val="航标 Char Char"/>
    <w:basedOn w:val="22"/>
    <w:link w:val="37"/>
    <w:qFormat/>
    <w:uiPriority w:val="0"/>
    <w:rPr>
      <w:rFonts w:ascii="宋体" w:eastAsia="黑体"/>
      <w:sz w:val="24"/>
    </w:rPr>
  </w:style>
  <w:style w:type="character" w:customStyle="1" w:styleId="69">
    <w:name w:val="批注框文本 Char"/>
    <w:basedOn w:val="22"/>
    <w:link w:val="15"/>
    <w:uiPriority w:val="0"/>
    <w:rPr>
      <w:kern w:val="2"/>
      <w:sz w:val="18"/>
      <w:szCs w:val="18"/>
    </w:rPr>
  </w:style>
  <w:style w:type="character" w:customStyle="1" w:styleId="70">
    <w:name w:val="脚注文本 Char"/>
    <w:basedOn w:val="22"/>
    <w:link w:val="20"/>
    <w:uiPriority w:val="0"/>
    <w:rPr>
      <w:kern w:val="2"/>
      <w:sz w:val="18"/>
      <w:szCs w:val="18"/>
    </w:rPr>
  </w:style>
  <w:style w:type="character" w:customStyle="1" w:styleId="71">
    <w:name w:val="font11"/>
    <w:basedOn w:val="22"/>
    <w:uiPriority w:val="0"/>
    <w:rPr>
      <w:rFonts w:hint="eastAsia" w:ascii="宋体" w:hAnsi="宋体" w:eastAsia="宋体" w:cs="宋体"/>
      <w:color w:val="000000"/>
      <w:sz w:val="24"/>
      <w:szCs w:val="24"/>
      <w:u w:val="none"/>
    </w:rPr>
  </w:style>
  <w:style w:type="character" w:customStyle="1" w:styleId="72">
    <w:name w:val="无间隔 Char"/>
    <w:link w:val="33"/>
    <w:uiPriority w:val="99"/>
    <w:rPr>
      <w:kern w:val="2"/>
      <w:sz w:val="28"/>
      <w:szCs w:val="24"/>
      <w:lang w:val="en-US" w:eastAsia="zh-CN" w:bidi="ar-SA"/>
    </w:rPr>
  </w:style>
  <w:style w:type="character" w:customStyle="1" w:styleId="73">
    <w:name w:val="标题 2 Char"/>
    <w:link w:val="4"/>
    <w:uiPriority w:val="0"/>
    <w:rPr>
      <w:rFonts w:ascii="Arial" w:hAnsi="Arial"/>
      <w:b/>
      <w:bCs/>
      <w:kern w:val="2"/>
      <w:sz w:val="3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numbering" Target="numbering.xml"/><Relationship Id="rId3" Type="http://schemas.openxmlformats.org/officeDocument/2006/relationships/settings" Target="settings.xml"/><Relationship Id="rId29" Type="http://schemas.openxmlformats.org/officeDocument/2006/relationships/customXml" Target="../customXml/item1.xml"/><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tyles" Target="style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textRotate="1"/>
    <customShpInfo spid="_x0000_s1028" textRotate="1"/>
    <customShpInfo spid="_x0000_s102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102</Pages>
  <Words>5569</Words>
  <Characters>31745</Characters>
  <Lines>264</Lines>
  <Paragraphs>74</Paragraphs>
  <ScaleCrop>false</ScaleCrop>
  <LinksUpToDate>false</LinksUpToDate>
  <CharactersWithSpaces>37240</CharactersWithSpaces>
  <Application>WPS Office 专业版_9.1.0.4895_{F1E327BC-269C-435d-A152-05C5408002CA}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Administrator</cp:lastModifiedBy>
  <cp:lastPrinted>2016-12-14T08:36:00Z</cp:lastPrinted>
  <dcterms:modified xsi:type="dcterms:W3CDTF">2018-04-03T08:35:49Z</dcterms:modified>
  <dc:title>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2052-9.1.0.4895</vt:lpwstr>
  </property>
</Properties>
</file>