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新疆哈密风电基地二期三塘湖第三风电场B区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200MW项目110kV升压站及送出线路工程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竣工环境保护验收意见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textAlignment w:val="auto"/>
        <w:rPr>
          <w:rFonts w:hint="default" w:ascii="Times New Roman" w:hAnsi="Times New Roman" w:cs="Times New Roman" w:eastAsiaTheme="minor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201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日，龙源巴里坤风力发电有限公司组织召开了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新疆哈密风电基地二期三塘湖第三风电场B区200MW项目110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k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V升压站及送出线路工程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竣工环境保护验收会议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验收组由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建设单位龙源巴里坤风力发电有限公司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、验收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调查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单位新疆天蓝蓝环保技术服务有限公司、环评单位新疆鼎耀工程咨询有限公司代表和特邀3名专家组成。验收组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经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现场查看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听取了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调查单位对项目竣工环境保护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验收调查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报告的汇报，形成验收意见如下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156" w:beforeLines="50" w:after="156" w:afterLines="50" w:line="54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一、工程建设基本情况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</w:rPr>
        <w:t>本项目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位于三塘湖第三风电场B区，终点为望洋台220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k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V升压站，该线路起点中心地理坐标为东经92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°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′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″，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北纬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44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°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′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53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″，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终点中心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地理坐标为东经92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°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′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53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″，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北纬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44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°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′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″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建成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座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110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k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V升压站，安装2×100MVA主变，110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k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V进出线2回，新建输电线路总长度1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km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，同塔双回路架设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，全线导线选用LGJ-240型钢芯铝绞线，地线选用OPGW（24芯）复合光缆，塔基总数6基，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建成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40m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事故油池。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本项目</w:t>
      </w:r>
      <w:r>
        <w:rPr>
          <w:rFonts w:hint="default" w:ascii="Times New Roman" w:hAnsi="Times New Roman" w:cs="Times New Roman" w:eastAsiaTheme="minorEastAsia"/>
          <w:color w:val="auto"/>
          <w:w w:val="97"/>
          <w:sz w:val="28"/>
          <w:szCs w:val="28"/>
        </w:rPr>
        <w:t>升压站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面积</w:t>
      </w:r>
      <w:r>
        <w:rPr>
          <w:rFonts w:hint="default" w:ascii="Times New Roman" w:hAnsi="Times New Roman" w:cs="Times New Roman" w:eastAsiaTheme="minorEastAsia"/>
          <w:color w:val="auto"/>
          <w:w w:val="97"/>
          <w:sz w:val="28"/>
          <w:szCs w:val="28"/>
        </w:rPr>
        <w:t>15498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，杆塔面积315m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vertAlign w:val="baseli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2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016年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委托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新疆鼎耀工程咨询有限公司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编制完成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《新疆哈密风电基地二期三塘湖第三风电场B区200MW项目110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k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V升压站及送出线路工程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环境影响报告表》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；该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环评报告于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2016年7月14日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通过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哈密地区环境保护局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审批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哈地环监函[2016]34号</w:t>
      </w:r>
      <w:r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。项目</w:t>
      </w: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</w:rPr>
        <w:t>2015年</w:t>
      </w: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开工建设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，</w:t>
      </w: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</w:rPr>
        <w:t>2016年</w:t>
      </w:r>
      <w:r>
        <w:rPr>
          <w:rFonts w:hint="eastAsia" w:ascii="Times New Roman" w:hAnsi="Times New Roman" w:cs="Times New Roman" w:eastAsiaTheme="minorEastAsia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 w:eastAsiaTheme="minorEastAsia"/>
          <w:color w:val="000000"/>
          <w:sz w:val="28"/>
          <w:szCs w:val="28"/>
          <w:lang w:val="en-US" w:eastAsia="zh-CN"/>
        </w:rPr>
        <w:t>运营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。本项目实际总投资</w: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8940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万元，其中环境保护投资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156" w:beforeLines="50" w:after="156" w:afterLines="50" w:line="54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、工程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eastAsia="zh-CN"/>
        </w:rPr>
        <w:t>变动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eastAsia="zh-CN"/>
        </w:rPr>
        <w:t>因新疆哈密风电基地二期三塘湖第三风电场B区200MW项目未建生活区，本项目新建了生活区及相应的污染治理设施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156" w:beforeLines="50" w:after="156" w:afterLines="50" w:line="54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</w:rPr>
        <w:t>、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eastAsia="zh-CN"/>
        </w:rPr>
        <w:t>环境保护设施落实情况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经现场踏勘，施工迹地已按要求平整，生态环境逐步得到恢复。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电磁辐射防治措施：使用设计合理的绝缘子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减少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了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火花放电的产生。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生活污水处理设施：已建地埋式一体化污水处理设施。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噪声防治措施：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选用低噪声设备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，采取了消声减震措施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风险防范措施：已建成事故油池40m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验收监测结果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480" w:leftChars="0" w:right="0" w:rightChars="0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电磁环境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监测结果表明，本工程变电站和输电线路产生的电磁环境的电场场强和磁感应强度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满足《电磁环境控制限值》（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GB8702-2014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）中公众曝露控制限值电场强度需低于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4000（V/m）,磁场强度低于80（A/m），磁感应强度低于100（µT）要求。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480" w:leftChars="0" w:right="0" w:rightChars="0"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水环境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本项目不产生生产废水，废水为工作人员的办公生活污水，生活污水经场区地埋式一体化生活污水处理设施处理后满足《污水综合排放标准》（GB8978-1996）二级标准后冬储夏灌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，夏季用于绿化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480" w:leftChars="0" w:right="0" w:rightChars="0" w:firstLine="0" w:firstLineChars="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  <w:t>声环境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</w:rPr>
        <w:t>监测结果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eastAsia="zh-CN"/>
        </w:rPr>
        <w:t>表明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</w:rPr>
        <w:t>，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eastAsia="zh-CN"/>
        </w:rPr>
        <w:t>项目东、南、西、北厂界昼夜噪声均达到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</w:rPr>
        <w:t>《工业企业厂界环境噪声排放标准》（GB12348-2008）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</w:rPr>
        <w:t>类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eastAsia="zh-CN"/>
        </w:rPr>
        <w:t>区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</w:rPr>
        <w:t>标准限值。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48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生态环境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施工遗迹已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进行平整和恢复，减少了水土流失；监控中心和升压站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已进行了地面硬化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40" w:lineRule="exact"/>
        <w:ind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五、验收总体结论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该项目执行了环境影响评价和“三同时”管理制度，落实了环评报告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书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及其批复所规定的各项环境污染防治措施，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各类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污染物达标排放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验收组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同意该项目通过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竣工环境保护验收。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32"/>
          <w:szCs w:val="32"/>
          <w:lang w:val="en-US" w:eastAsia="zh-CN" w:bidi="ar-SA"/>
        </w:rPr>
        <w:t>六、建议和要求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 xml:space="preserve">1. 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规范台账记录及档案管理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>2. 加强环境保护管理，定期维护环保设施，做到污染物长期、稳定、达标排放。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  <w:t xml:space="preserve">3. </w:t>
      </w:r>
      <w:r>
        <w:rPr>
          <w:rFonts w:hint="eastAsia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规范后期产生的废油及废机油的管理。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leftChars="0" w:right="0" w:rightChars="0" w:firstLine="480"/>
        <w:textAlignment w:val="auto"/>
        <w:rPr>
          <w:rFonts w:hint="default" w:ascii="Times New Roman" w:hAnsi="Times New Roman" w:cs="Times New Roman" w:eastAsiaTheme="minorEastAsia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jc w:val="right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龙源巴里坤风力发电有限公司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560" w:firstLineChars="200"/>
        <w:jc w:val="right"/>
        <w:textAlignment w:val="auto"/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 xml:space="preserve"> 201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日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D06E55"/>
    <w:multiLevelType w:val="singleLevel"/>
    <w:tmpl w:val="88D06E5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3D47ED"/>
    <w:multiLevelType w:val="singleLevel"/>
    <w:tmpl w:val="F93D47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698B"/>
    <w:rsid w:val="00057B22"/>
    <w:rsid w:val="0010795B"/>
    <w:rsid w:val="006B3EDC"/>
    <w:rsid w:val="007C3486"/>
    <w:rsid w:val="008D7123"/>
    <w:rsid w:val="009D6F5A"/>
    <w:rsid w:val="00A84700"/>
    <w:rsid w:val="00AD0490"/>
    <w:rsid w:val="00CC6C22"/>
    <w:rsid w:val="00DA398A"/>
    <w:rsid w:val="00DB3628"/>
    <w:rsid w:val="046B7781"/>
    <w:rsid w:val="070A2597"/>
    <w:rsid w:val="0A2E1098"/>
    <w:rsid w:val="0C7F027B"/>
    <w:rsid w:val="0F24698B"/>
    <w:rsid w:val="14D65D26"/>
    <w:rsid w:val="155D22DE"/>
    <w:rsid w:val="15EA05F3"/>
    <w:rsid w:val="182926AD"/>
    <w:rsid w:val="1B225E7F"/>
    <w:rsid w:val="1C9C1BC7"/>
    <w:rsid w:val="28D35A42"/>
    <w:rsid w:val="29864F6B"/>
    <w:rsid w:val="2A125C97"/>
    <w:rsid w:val="2AF10A48"/>
    <w:rsid w:val="2B3F2871"/>
    <w:rsid w:val="2C1E1709"/>
    <w:rsid w:val="2F462BCC"/>
    <w:rsid w:val="2F5837E6"/>
    <w:rsid w:val="2FE80EE8"/>
    <w:rsid w:val="30C60A94"/>
    <w:rsid w:val="31A2542D"/>
    <w:rsid w:val="32E831DE"/>
    <w:rsid w:val="3C98246A"/>
    <w:rsid w:val="3DC8233C"/>
    <w:rsid w:val="3E5C3851"/>
    <w:rsid w:val="4048403D"/>
    <w:rsid w:val="4BC10963"/>
    <w:rsid w:val="4C2E2054"/>
    <w:rsid w:val="4CDD6A04"/>
    <w:rsid w:val="4FEF1AC9"/>
    <w:rsid w:val="5A9A3C4A"/>
    <w:rsid w:val="5AF57632"/>
    <w:rsid w:val="5CA20BEB"/>
    <w:rsid w:val="5DF60A86"/>
    <w:rsid w:val="5E070922"/>
    <w:rsid w:val="61763584"/>
    <w:rsid w:val="61E24069"/>
    <w:rsid w:val="652D66D0"/>
    <w:rsid w:val="66E64FFD"/>
    <w:rsid w:val="67985A19"/>
    <w:rsid w:val="693B2183"/>
    <w:rsid w:val="6B762208"/>
    <w:rsid w:val="6BAC6326"/>
    <w:rsid w:val="6D8669D1"/>
    <w:rsid w:val="6F0D336B"/>
    <w:rsid w:val="72EE6C0F"/>
    <w:rsid w:val="75891A06"/>
    <w:rsid w:val="7B130E56"/>
    <w:rsid w:val="7BD33F0D"/>
    <w:rsid w:val="7F39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头"/>
    <w:basedOn w:val="1"/>
    <w:next w:val="1"/>
    <w:qFormat/>
    <w:uiPriority w:val="0"/>
    <w:pPr>
      <w:adjustRightInd w:val="0"/>
      <w:snapToGrid w:val="0"/>
      <w:jc w:val="left"/>
    </w:pPr>
    <w:rPr>
      <w:rFonts w:ascii="宋体" w:hAnsi="宋体" w:eastAsia="黑体"/>
      <w:kern w:val="0"/>
      <w:sz w:val="24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 楷体"/>
    <w:basedOn w:val="1"/>
    <w:qFormat/>
    <w:uiPriority w:val="0"/>
    <w:pPr>
      <w:spacing w:line="500" w:lineRule="exact"/>
    </w:pPr>
    <w:rPr>
      <w:rFonts w:ascii="楷体_GB2312" w:hAnsi="楷体_GB2312" w:eastAsia="楷体_GB2312" w:cs="宋体"/>
      <w:sz w:val="24"/>
    </w:rPr>
  </w:style>
  <w:style w:type="paragraph" w:customStyle="1" w:styleId="11">
    <w:name w:val="无间隔2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表格"/>
    <w:basedOn w:val="1"/>
    <w:next w:val="1"/>
    <w:qFormat/>
    <w:uiPriority w:val="0"/>
    <w:pPr>
      <w:spacing w:line="240" w:lineRule="auto"/>
      <w:ind w:firstLine="0" w:firstLineChars="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1932</Characters>
  <Lines>16</Lines>
  <Paragraphs>4</Paragraphs>
  <ScaleCrop>false</ScaleCrop>
  <LinksUpToDate>false</LinksUpToDate>
  <CharactersWithSpaces>2266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2017-10-19T11:27:00Z</dcterms:created>
  <dc:creator>Administrator</dc:creator>
  <cp:lastModifiedBy>luochun</cp:lastModifiedBy>
  <cp:lastPrinted>2018-01-26T15:21:00Z</cp:lastPrinted>
  <dcterms:modified xsi:type="dcterms:W3CDTF">2018-03-12T04:09:30Z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