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新疆维吾尔自治区重点企业名单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12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新疆博衍水利水电环境科技有限公司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德蓝水技术股份有限公司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新疆鼎耀工程咨询有限公司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新疆金天昆环境科技有限公司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新疆天合环境技术咨询有限公司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60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新疆旭日环保股份有限公司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446" w:right="2041" w:bottom="1446" w:left="1531" w:header="851" w:footer="992" w:gutter="0"/>
      <w:pgNumType w:fmt="numberInDash"/>
      <w:cols w:space="720" w:num="1"/>
      <w:rtlGutter w:val="0"/>
      <w:docGrid w:type="lines" w:linePitch="6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方正小标宋简体"/>
        <w:kern w:val="0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15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33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035ADA"/>
    <w:rsid w:val="087462FB"/>
    <w:rsid w:val="11075477"/>
    <w:rsid w:val="14091434"/>
    <w:rsid w:val="264653D8"/>
    <w:rsid w:val="2E704F66"/>
    <w:rsid w:val="2F3751B7"/>
    <w:rsid w:val="39BA0BAE"/>
    <w:rsid w:val="45BA4432"/>
    <w:rsid w:val="4C900E20"/>
    <w:rsid w:val="5463586D"/>
    <w:rsid w:val="55B90F11"/>
    <w:rsid w:val="5DDE4064"/>
    <w:rsid w:val="622C3520"/>
    <w:rsid w:val="67D03752"/>
    <w:rsid w:val="6D7F67D6"/>
    <w:rsid w:val="7807194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0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  <w:pPr>
      <w:tabs>
        <w:tab w:val="right" w:leader="dot" w:pos="8296"/>
      </w:tabs>
    </w:pPr>
    <w:rPr>
      <w:rFonts w:ascii="仿宋_GB2312" w:hAnsi="黑体" w:eastAsia="仿宋_GB2312"/>
      <w:b/>
      <w:sz w:val="28"/>
      <w:szCs w:val="28"/>
    </w:rPr>
  </w:style>
  <w:style w:type="paragraph" w:styleId="9">
    <w:name w:val="toc 2"/>
    <w:basedOn w:val="1"/>
    <w:next w:val="1"/>
    <w:uiPriority w:val="0"/>
    <w:pPr>
      <w:ind w:left="420" w:leftChars="200"/>
    </w:p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2018-02-01T10:46:00Z</cp:lastPrinted>
  <dcterms:modified xsi:type="dcterms:W3CDTF">2018-02-02T12:01:14Z</dcterms:modified>
  <dc:title>新环协发〔2018〕11号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