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numPr>
          <w:numId w:val="0"/>
        </w:numPr>
        <w:wordWrap/>
        <w:adjustRightInd/>
        <w:snapToGrid/>
        <w:spacing w:line="560" w:lineRule="exact"/>
        <w:ind w:right="0"/>
        <w:jc w:val="left"/>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附件6</w:t>
      </w:r>
    </w:p>
    <w:p>
      <w:pPr>
        <w:widowControl w:val="0"/>
        <w:numPr>
          <w:numId w:val="0"/>
        </w:numPr>
        <w:wordWrap/>
        <w:adjustRightInd/>
        <w:snapToGrid/>
        <w:spacing w:line="560" w:lineRule="exact"/>
        <w:ind w:right="0"/>
        <w:jc w:val="both"/>
        <w:textAlignment w:val="auto"/>
        <w:outlineLvl w:val="9"/>
        <w:rPr>
          <w:rFonts w:hint="eastAsia" w:ascii="仿宋_GB2312" w:hAnsi="Times New Roman" w:eastAsia="仿宋_GB2312"/>
          <w:color w:val="000000"/>
          <w:kern w:val="0"/>
          <w:sz w:val="32"/>
          <w:szCs w:val="32"/>
          <w:lang w:val="en-US" w:eastAsia="zh-CN"/>
        </w:rPr>
      </w:pP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52"/>
          <w:lang w:eastAsia="zh-CN"/>
        </w:rPr>
      </w:pPr>
      <w:bookmarkStart w:id="0" w:name="_GoBack"/>
      <w:r>
        <w:rPr>
          <w:rFonts w:hint="eastAsia" w:ascii="方正小标宋简体" w:hAnsi="方正小标宋简体" w:eastAsia="方正小标宋简体" w:cs="方正小标宋简体"/>
          <w:sz w:val="44"/>
          <w:szCs w:val="52"/>
          <w:lang w:eastAsia="zh-CN"/>
        </w:rPr>
        <w:t>关于通过《新疆维吾尔自治区生态环境保护产业协会环保产品认定管理办法》</w:t>
      </w: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等四项办法的决议</w:t>
      </w:r>
    </w:p>
    <w:bookmarkEnd w:id="0"/>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52"/>
          <w:lang w:eastAsia="zh-CN"/>
        </w:rPr>
      </w:pPr>
    </w:p>
    <w:p>
      <w:p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新疆维吾尔自治区生态环境保护产业协会第三届理事会第四次会议于</w:t>
      </w:r>
      <w:r>
        <w:rPr>
          <w:rFonts w:hint="eastAsia" w:ascii="仿宋_GB2312" w:hAnsi="仿宋_GB2312" w:eastAsia="仿宋_GB2312" w:cs="仿宋_GB2312"/>
          <w:sz w:val="32"/>
          <w:szCs w:val="40"/>
          <w:lang w:val="en-US" w:eastAsia="zh-CN"/>
        </w:rPr>
        <w:t>2018年1月31日在乌鲁木齐市召开。会议听取了《新疆维吾尔自治区生态环境保护产业协会环保产品认定管理办法（草案）》《新疆维吾尔自治区生态环境保护产业协会环保产品登记管理办法（草案）》《新疆维吾尔自治区生态环境保护产业协会污染治理设施运行服务能力评价办法（草案）》《新疆维吾尔自治区生态环境保护产业协会建设项目环境监理行业认定管理办法（草案）》四项办法，参会代表一致认为以上办法可行性强，有利于推进其相关行业发展，有利于加强对相关行业的管理。</w:t>
      </w:r>
    </w:p>
    <w:p>
      <w:p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参加会议的代表95人，经表决，同意通过以上四项管理办法草案（已公开发布于新疆维吾尔自治区生态环境保护产业协会网站http://www.xjhbcy.cn/）。我会将即日组织开展各项工作，具体落实相关管理办法。</w:t>
      </w:r>
    </w:p>
    <w:p>
      <w:pPr>
        <w:widowControl w:val="0"/>
        <w:numPr>
          <w:numId w:val="0"/>
        </w:numPr>
        <w:wordWrap/>
        <w:adjustRightInd/>
        <w:snapToGrid/>
        <w:spacing w:line="560" w:lineRule="exact"/>
        <w:ind w:right="0"/>
        <w:jc w:val="both"/>
        <w:textAlignment w:val="auto"/>
        <w:outlineLvl w:val="9"/>
        <w:rPr>
          <w:rFonts w:hint="eastAsia" w:ascii="仿宋_GB2312" w:hAnsi="Times New Roman" w:eastAsia="仿宋_GB2312"/>
          <w:color w:val="000000"/>
          <w:kern w:val="0"/>
          <w:sz w:val="32"/>
          <w:szCs w:val="32"/>
          <w:lang w:val="en-US" w:eastAsia="zh-CN"/>
        </w:rPr>
      </w:pPr>
    </w:p>
    <w:sectPr>
      <w:footerReference r:id="rId4" w:type="default"/>
      <w:pgSz w:w="11906" w:h="16838"/>
      <w:pgMar w:top="2041" w:right="1446" w:bottom="1531" w:left="1446" w:header="851" w:footer="992" w:gutter="0"/>
      <w:pgNumType w:fmt="numberInDash"/>
      <w:cols w:space="720" w:num="1"/>
      <w:rtlGutter w:val="0"/>
      <w:docGrid w:type="lines" w:linePitch="6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方正小标宋简体"/>
        <w:kern w:val="0"/>
        <w:sz w:val="18"/>
        <w:szCs w:val="18"/>
        <w:lang w:val="en-US" w:eastAsia="zh-CN" w:bidi="ar-SA"/>
      </w:rPr>
      <w:pict>
        <v:rect id="文本框 2"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15</w:t>
                </w:r>
                <w:r>
                  <w:rPr>
                    <w:rFonts w:hint="eastAsia"/>
                    <w:sz w:val="1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33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2035ADA"/>
    <w:rsid w:val="0540132B"/>
    <w:rsid w:val="071B60D9"/>
    <w:rsid w:val="087462FB"/>
    <w:rsid w:val="11075477"/>
    <w:rsid w:val="14091434"/>
    <w:rsid w:val="1F39696E"/>
    <w:rsid w:val="264653D8"/>
    <w:rsid w:val="265A4BA6"/>
    <w:rsid w:val="2F3751B7"/>
    <w:rsid w:val="3859462C"/>
    <w:rsid w:val="39BA0BAE"/>
    <w:rsid w:val="45BA4432"/>
    <w:rsid w:val="46B25556"/>
    <w:rsid w:val="4BA038BD"/>
    <w:rsid w:val="4C900E20"/>
    <w:rsid w:val="50BA1E8C"/>
    <w:rsid w:val="5463586D"/>
    <w:rsid w:val="55AD3EDC"/>
    <w:rsid w:val="55B90F11"/>
    <w:rsid w:val="5DDE4064"/>
    <w:rsid w:val="5F3F29EE"/>
    <w:rsid w:val="622C3520"/>
    <w:rsid w:val="67D03752"/>
    <w:rsid w:val="6D7F67D6"/>
    <w:rsid w:val="76183D30"/>
    <w:rsid w:val="791E4A04"/>
    <w:rsid w:val="7F18099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方正小标宋简体"/>
      <w:kern w:val="0"/>
      <w:sz w:val="44"/>
      <w:szCs w:val="4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3">
    <w:name w:val="Normal Table"/>
    <w:semiHidden/>
    <w:qFormat/>
    <w:uiPriority w:val="0"/>
    <w:tblPr>
      <w:tblStyle w:val="13"/>
      <w:tblLayout w:type="fixed"/>
      <w:tblCellMar>
        <w:top w:w="0" w:type="dxa"/>
        <w:left w:w="108" w:type="dxa"/>
        <w:bottom w:w="0" w:type="dxa"/>
        <w:right w:w="108" w:type="dxa"/>
      </w:tblCellMar>
    </w:tblPr>
    <w:tcPr>
      <w:textDirection w:val="lrTb"/>
    </w:tc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pPr>
      <w:tabs>
        <w:tab w:val="right" w:leader="dot" w:pos="8296"/>
      </w:tabs>
    </w:pPr>
    <w:rPr>
      <w:rFonts w:ascii="仿宋_GB2312" w:hAnsi="黑体" w:eastAsia="仿宋_GB2312"/>
      <w:b/>
      <w:sz w:val="28"/>
      <w:szCs w:val="28"/>
    </w:rPr>
  </w:style>
  <w:style w:type="paragraph" w:styleId="9">
    <w:name w:val="toc 2"/>
    <w:basedOn w:val="1"/>
    <w:next w:val="1"/>
    <w:qFormat/>
    <w:uiPriority w:val="0"/>
    <w:pPr>
      <w:ind w:left="420" w:leftChars="200"/>
    </w:p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11">
    <w:name w:val="Normal (Web)"/>
    <w:basedOn w:val="1"/>
    <w:uiPriority w:val="0"/>
    <w:pPr>
      <w:adjustRightInd/>
      <w:snapToGrid/>
      <w:spacing w:before="100" w:beforeAutospacing="1" w:after="100" w:afterAutospacing="1"/>
    </w:pPr>
    <w:rPr>
      <w:rFonts w:ascii="宋体" w:hAnsi="宋体" w:eastAsia="宋体" w:cs="宋体"/>
      <w:sz w:val="24"/>
      <w:szCs w:val="24"/>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2018-02-07T08:17:00Z</cp:lastPrinted>
  <dcterms:modified xsi:type="dcterms:W3CDTF">2018-02-09T10:11:57Z</dcterms:modified>
  <dc:title>新环协发〔2018〕12号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