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黑体" w:hAnsi="黑体" w:eastAsia="黑体" w:cs="黑体"/>
          <w:i w:val="0"/>
          <w:iCs w:val="0"/>
          <w:caps w:val="0"/>
          <w:color w:val="000000"/>
          <w:spacing w:val="0"/>
          <w:sz w:val="32"/>
          <w:szCs w:val="32"/>
          <w:shd w:val="clear" w:fill="FFFFFF"/>
          <w:lang w:val="en-US" w:eastAsia="zh-CN"/>
        </w:rPr>
      </w:pPr>
      <w:r>
        <w:rPr>
          <w:rFonts w:hint="eastAsia" w:ascii="黑体" w:hAnsi="黑体" w:eastAsia="黑体" w:cs="黑体"/>
          <w:i w:val="0"/>
          <w:iCs w:val="0"/>
          <w:caps w:val="0"/>
          <w:color w:val="000000"/>
          <w:spacing w:val="0"/>
          <w:sz w:val="32"/>
          <w:szCs w:val="32"/>
          <w:shd w:val="clear" w:fill="FFFFFF"/>
          <w:lang w:val="en-US" w:eastAsia="zh-CN"/>
        </w:rPr>
        <w:t>附件1</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黑体" w:hAnsi="黑体" w:eastAsia="黑体" w:cs="黑体"/>
          <w:i w:val="0"/>
          <w:iCs w:val="0"/>
          <w:caps w:val="0"/>
          <w:color w:val="000000"/>
          <w:spacing w:val="0"/>
          <w:sz w:val="36"/>
          <w:szCs w:val="36"/>
          <w:shd w:val="clear" w:fill="FFFFFF"/>
          <w:lang w:val="en-US" w:eastAsia="zh-CN"/>
        </w:rPr>
      </w:pPr>
      <w:bookmarkStart w:id="0" w:name="_GoBack"/>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新疆维吾尔自治区</w:t>
      </w:r>
      <w:r>
        <w:rPr>
          <w:rFonts w:hint="eastAsia" w:ascii="方正小标宋简体" w:hAnsi="方正小标宋简体" w:eastAsia="方正小标宋简体" w:cs="方正小标宋简体"/>
          <w:i w:val="0"/>
          <w:iCs w:val="0"/>
          <w:caps w:val="0"/>
          <w:color w:val="000000"/>
          <w:spacing w:val="0"/>
          <w:sz w:val="44"/>
          <w:szCs w:val="44"/>
          <w:shd w:val="clear" w:fill="FFFFFF"/>
        </w:rPr>
        <w:t>2023年生态环境保护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优秀</w:t>
      </w:r>
      <w:r>
        <w:rPr>
          <w:rFonts w:hint="eastAsia" w:ascii="方正小标宋简体" w:hAnsi="方正小标宋简体" w:eastAsia="方正小标宋简体" w:cs="方正小标宋简体"/>
          <w:i w:val="0"/>
          <w:iCs w:val="0"/>
          <w:caps w:val="0"/>
          <w:color w:val="000000"/>
          <w:spacing w:val="0"/>
          <w:sz w:val="44"/>
          <w:szCs w:val="44"/>
          <w:shd w:val="clear" w:fill="FFFFFF"/>
        </w:rPr>
        <w:t>示范工程申报指南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80" w:firstLineChars="200"/>
        <w:jc w:val="both"/>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Arial" w:hAnsi="Arial" w:eastAsia="宋体" w:cs="Arial"/>
          <w:i w:val="0"/>
          <w:iCs w:val="0"/>
          <w:caps w:val="0"/>
          <w:color w:val="333333"/>
          <w:spacing w:val="0"/>
          <w:sz w:val="19"/>
          <w:szCs w:val="19"/>
          <w:shd w:val="clear" w:fill="FFFFFF"/>
        </w:rPr>
        <w:t> </w:t>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仿宋_GB2312" w:hAnsi="仿宋_GB2312" w:eastAsia="仿宋_GB2312" w:cs="仿宋_GB2312"/>
          <w:b/>
          <w:bCs/>
          <w:i w:val="0"/>
          <w:iCs w:val="0"/>
          <w:caps w:val="0"/>
          <w:color w:val="000000"/>
          <w:spacing w:val="0"/>
          <w:sz w:val="32"/>
          <w:szCs w:val="32"/>
          <w:shd w:val="clear" w:fill="FFFFFF"/>
        </w:rPr>
      </w:pPr>
      <w:r>
        <w:rPr>
          <w:rStyle w:val="7"/>
          <w:rFonts w:hint="eastAsia" w:ascii="仿宋_GB2312" w:hAnsi="仿宋_GB2312" w:eastAsia="仿宋_GB2312" w:cs="仿宋_GB2312"/>
          <w:b/>
          <w:bCs/>
          <w:i w:val="0"/>
          <w:iCs w:val="0"/>
          <w:caps w:val="0"/>
          <w:color w:val="000000"/>
          <w:spacing w:val="0"/>
          <w:sz w:val="32"/>
          <w:szCs w:val="32"/>
          <w:shd w:val="clear" w:fill="FFFFFF"/>
        </w:rPr>
        <w:t>项目定位</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示范工程指采用先进环境保护技术、装备和材料，具有示范推广意义的工程，包括污染防治工程、生态修复工程及环境综合治理工程、碳减排工程。</w:t>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重点领域</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（一）大气污染防治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工业烟气治理，钢铁、水泥、焦化、有色、玻璃、陶瓷等行业工业炉窑烟气净化、超低排放及多污染物协同控制，燃煤发电机组和工业锅炉烟气多污染物协同控制及超低排放，燃油和燃气工业锅炉烟气净化，生活垃圾、危险废物、生物质等焚烧烟气净化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2.有机废气治理，石化、化工、涂装、制药、包装印刷、油品储运销、汽车制造、电子、家具制造等行业挥发性有机物源头减排和污染治理，餐饮油烟、恶臭异味治理；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3.移动源污染治理，柴油车、船舶、非道路机械等移动源污染治理；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rPr>
        <w:sectPr>
          <w:pgSz w:w="11906" w:h="16838"/>
          <w:pgMar w:top="1440" w:right="1800" w:bottom="1440" w:left="1800" w:header="851" w:footer="992" w:gutter="0"/>
          <w:cols w:space="425" w:num="1"/>
          <w:docGrid w:type="lines" w:linePitch="312" w:charSpace="0"/>
        </w:sect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细颗粒物和臭氧协同控制，消耗臭氧层物质和氢氟碳化物控制，涉气产业园区和集群大气环境综合治理，工业企业燃煤设施清洁能源替代，重污染天气应对，采暖燃煤污染治理，施工、道路、堆场、裸露地面等扬尘管控，催化剂、吸附剂等大气污染防治专用材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（二）水污染防治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1.生活污水处理及资源化，包括城镇、农村生活污水处理及资源化，工矿企业和医疗机构污水处理及资源化，污水处理设施与配套管网维护管理，区域再生水循环利用等；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2.工业废水处理及资源化，包括印染、造纸、焦化、化工、制药、有色金属采选和冶炼、铅蓄电池制造、电镀、制革等行业废水处理及资源化，工业园区、尾矿库等水污染治理，垃圾渗滤液处理及资源化等；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60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lang w:eastAsia="zh-CN"/>
        </w:rPr>
      </w:pPr>
      <w:r>
        <w:rPr>
          <w:rFonts w:hint="eastAsia" w:ascii="仿宋_GB2312" w:hAnsi="仿宋_GB2312" w:eastAsia="仿宋_GB2312" w:cs="仿宋_GB2312"/>
          <w:i w:val="0"/>
          <w:iCs w:val="0"/>
          <w:caps w:val="0"/>
          <w:color w:val="000000"/>
          <w:spacing w:val="0"/>
          <w:sz w:val="32"/>
          <w:szCs w:val="32"/>
          <w:shd w:val="clear" w:fill="FFFFFF"/>
        </w:rPr>
        <w:t>3.水体修复和保护，包括黑臭水体治理、水体内源污染治理、重点湖库富营养化控制、流域水生态修复、流域水环境综合治理、河湖生态缓冲带修复、天然（人工）湿地生态系统保护与建设、水源涵养区保护、饮用水水源地保护、入河排污口管控等</w:t>
      </w:r>
      <w:r>
        <w:rPr>
          <w:rFonts w:hint="eastAsia" w:ascii="仿宋_GB2312" w:hAnsi="仿宋_GB2312" w:eastAsia="仿宋_GB2312" w:cs="仿宋_GB2312"/>
          <w:i w:val="0"/>
          <w:iCs w:val="0"/>
          <w:caps w:val="0"/>
          <w:color w:val="000000"/>
          <w:spacing w:val="0"/>
          <w:sz w:val="32"/>
          <w:szCs w:val="32"/>
          <w:shd w:val="clear" w:fill="FFFFFF"/>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w:t>
      </w: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三</w:t>
      </w:r>
      <w:r>
        <w:rPr>
          <w:rStyle w:val="7"/>
          <w:rFonts w:hint="eastAsia" w:ascii="仿宋_GB2312" w:hAnsi="仿宋_GB2312" w:eastAsia="仿宋_GB2312" w:cs="仿宋_GB2312"/>
          <w:b/>
          <w:bCs/>
          <w:i w:val="0"/>
          <w:iCs w:val="0"/>
          <w:caps w:val="0"/>
          <w:color w:val="000000"/>
          <w:spacing w:val="0"/>
          <w:sz w:val="32"/>
          <w:szCs w:val="32"/>
          <w:shd w:val="clear" w:fill="FFFFFF"/>
        </w:rPr>
        <w:t>）土壤和地下水污染防治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土壤和地下水污染调查评估、风险管控和修复，包括建设用地土壤污染风险管控和修复、农用地工矿污染源治理、工矿企业重金属污染治理、历史遗留重金属污染区域治理、化学品生产企业及工业集聚区地下水污染风险管控、矿山开采区及尾矿库地下水污染综合治理、危险废物处置场及垃圾填埋场地下水污染防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2.依赖地下水的生态系统保护、地下水型饮用水水源地保护、重点污染源防渗改造、废弃井封井回填等。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w:t>
      </w: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四</w:t>
      </w:r>
      <w:r>
        <w:rPr>
          <w:rStyle w:val="7"/>
          <w:rFonts w:hint="eastAsia" w:ascii="仿宋_GB2312" w:hAnsi="仿宋_GB2312" w:eastAsia="仿宋_GB2312" w:cs="仿宋_GB2312"/>
          <w:b/>
          <w:bCs/>
          <w:i w:val="0"/>
          <w:iCs w:val="0"/>
          <w:caps w:val="0"/>
          <w:color w:val="000000"/>
          <w:spacing w:val="0"/>
          <w:sz w:val="32"/>
          <w:szCs w:val="32"/>
          <w:shd w:val="clear" w:fill="FFFFFF"/>
        </w:rPr>
        <w:t>）农业农村污染治理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包括农村污水处理和资源化利用、农村垃圾治理、农村黑臭水体治理、废弃农膜回收利用、秸秆综合利用、畜禽与水产养殖污染治理和粪污资源化利用、种植业面源污染治理、农村生态环境综合治理等。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w:t>
      </w: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五</w:t>
      </w:r>
      <w:r>
        <w:rPr>
          <w:rStyle w:val="7"/>
          <w:rFonts w:hint="eastAsia" w:ascii="仿宋_GB2312" w:hAnsi="仿宋_GB2312" w:eastAsia="仿宋_GB2312" w:cs="仿宋_GB2312"/>
          <w:b/>
          <w:bCs/>
          <w:i w:val="0"/>
          <w:iCs w:val="0"/>
          <w:caps w:val="0"/>
          <w:color w:val="000000"/>
          <w:spacing w:val="0"/>
          <w:sz w:val="32"/>
          <w:szCs w:val="32"/>
          <w:shd w:val="clear" w:fill="FFFFFF"/>
        </w:rPr>
        <w:t>）固体废物处理处置及资源化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1.城市和农村生活垃圾收集、处理处置及资源化；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危险废物处理处置及资源化，包括垃圾焚烧飞灰、废矿物油、电镀污泥、废铅酸蓄电池等处理处置及资源化，医疗废物处理处置，危险废物移动处置，危险废物利用处置重金属污染治理，危险废物全过程智能化追溯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3.有机固体废物（不含危险废物）处理及资源化，包括餐厨垃圾、水处理产生的污泥、畜禽粪便、农业固体废物等处理处置及资源化等；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4.工业固体废物及新兴产业固体废物处理处置及资源化，包括工业固体废物环境风险管控，尾矿、冶炼渣、脱硫石膏等工业固体废物处理及资源化，退役动力电池、光伏组件、风电机组叶片循环利用与处置等；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5.“无废城市”相关固体废物精细化管理，建筑垃圾和道路沥青资源化利用，废弃电器、电子产品、汽车等处理及资源化，包装废弃物回收处理等。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6.新污染物环境风险防控及污染治理，新污染物包括持久性有机污染物、内分泌干扰物、抗生素、微塑料等。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w:t>
      </w: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六</w:t>
      </w:r>
      <w:r>
        <w:rPr>
          <w:rStyle w:val="7"/>
          <w:rFonts w:hint="eastAsia" w:ascii="仿宋_GB2312" w:hAnsi="仿宋_GB2312" w:eastAsia="仿宋_GB2312" w:cs="仿宋_GB2312"/>
          <w:b/>
          <w:bCs/>
          <w:i w:val="0"/>
          <w:iCs w:val="0"/>
          <w:caps w:val="0"/>
          <w:color w:val="000000"/>
          <w:spacing w:val="0"/>
          <w:sz w:val="32"/>
          <w:szCs w:val="32"/>
          <w:shd w:val="clear" w:fill="FFFFFF"/>
        </w:rPr>
        <w:t>）生态保护修复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重要生态系统保护和修复、山水林田湖草沙冰一体化保护和修复、矿区生态保护修复、采煤沉陷区综合治理、生物多样性保护及荒漠化、石漠化、水土流失综合治理等。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w:t>
      </w: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七</w:t>
      </w:r>
      <w:r>
        <w:rPr>
          <w:rStyle w:val="7"/>
          <w:rFonts w:hint="eastAsia" w:ascii="仿宋_GB2312" w:hAnsi="仿宋_GB2312" w:eastAsia="仿宋_GB2312" w:cs="仿宋_GB2312"/>
          <w:b/>
          <w:bCs/>
          <w:i w:val="0"/>
          <w:iCs w:val="0"/>
          <w:caps w:val="0"/>
          <w:color w:val="000000"/>
          <w:spacing w:val="0"/>
          <w:sz w:val="32"/>
          <w:szCs w:val="32"/>
          <w:shd w:val="clear" w:fill="FFFFFF"/>
        </w:rPr>
        <w:t>）环境监测监控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包括水质、空气质量、土壤监测，水生态环境监测，细颗粒物和臭氧协同控制监测，危险废物利用处置环境监测，温室气体排放监测，特征污染物监测，重点污染源在线监测，智慧化环境监控平台、监测网络，环境应急监测，生态环境监测与信息能力建设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w:t>
      </w: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八</w:t>
      </w:r>
      <w:r>
        <w:rPr>
          <w:rStyle w:val="7"/>
          <w:rFonts w:hint="eastAsia" w:ascii="仿宋_GB2312" w:hAnsi="仿宋_GB2312" w:eastAsia="仿宋_GB2312" w:cs="仿宋_GB2312"/>
          <w:b/>
          <w:bCs/>
          <w:i w:val="0"/>
          <w:iCs w:val="0"/>
          <w:caps w:val="0"/>
          <w:color w:val="000000"/>
          <w:spacing w:val="0"/>
          <w:sz w:val="32"/>
          <w:szCs w:val="32"/>
          <w:shd w:val="clear" w:fill="FFFFFF"/>
        </w:rPr>
        <w:t>）温室气体排放控制（碳减排）</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lang w:eastAsia="zh-CN"/>
        </w:rPr>
        <w:t>1.</w:t>
      </w:r>
      <w:r>
        <w:rPr>
          <w:rFonts w:hint="eastAsia" w:ascii="仿宋_GB2312" w:hAnsi="仿宋_GB2312" w:eastAsia="仿宋_GB2312" w:cs="仿宋_GB2312"/>
          <w:i w:val="0"/>
          <w:iCs w:val="0"/>
          <w:caps w:val="0"/>
          <w:color w:val="000000"/>
          <w:spacing w:val="0"/>
          <w:sz w:val="32"/>
          <w:szCs w:val="32"/>
          <w:shd w:val="clear" w:fill="FFFFFF"/>
        </w:rPr>
        <w:t>清洁能源替代减排，资源利用效率提高、能效提高、减排工艺替代、能源资源回收利用减排，温室气体捕集、存储、利用，设施低碳排放运行管控等。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313131"/>
          <w:sz w:val="32"/>
          <w:szCs w:val="32"/>
        </w:rPr>
      </w:pPr>
      <w:r>
        <w:rPr>
          <w:rStyle w:val="7"/>
          <w:rFonts w:hint="eastAsia" w:ascii="仿宋_GB2312" w:hAnsi="仿宋_GB2312" w:eastAsia="仿宋_GB2312" w:cs="仿宋_GB2312"/>
          <w:b/>
          <w:bCs/>
          <w:i w:val="0"/>
          <w:iCs w:val="0"/>
          <w:caps w:val="0"/>
          <w:color w:val="000000"/>
          <w:spacing w:val="0"/>
          <w:sz w:val="32"/>
          <w:szCs w:val="32"/>
          <w:shd w:val="clear" w:fill="FFFFFF"/>
        </w:rPr>
        <w:t>（</w:t>
      </w: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九</w:t>
      </w:r>
      <w:r>
        <w:rPr>
          <w:rStyle w:val="7"/>
          <w:rFonts w:hint="eastAsia" w:ascii="仿宋_GB2312" w:hAnsi="仿宋_GB2312" w:eastAsia="仿宋_GB2312" w:cs="仿宋_GB2312"/>
          <w:b/>
          <w:bCs/>
          <w:i w:val="0"/>
          <w:iCs w:val="0"/>
          <w:caps w:val="0"/>
          <w:color w:val="000000"/>
          <w:spacing w:val="0"/>
          <w:sz w:val="32"/>
          <w:szCs w:val="32"/>
          <w:shd w:val="clear" w:fill="FFFFFF"/>
        </w:rPr>
        <w:t>）其他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bCs/>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噪声与振动、电磁等物理污染防治，重点行业清洁生产改造，环境污染防治工程智能化运行，突发环境污染应急，室内空气净化</w:t>
      </w:r>
      <w:r>
        <w:rPr>
          <w:rFonts w:hint="eastAsia" w:ascii="仿宋_GB2312" w:hAnsi="仿宋_GB2312" w:eastAsia="仿宋_GB2312" w:cs="仿宋_GB2312"/>
          <w:i w:val="0"/>
          <w:iCs w:val="0"/>
          <w:caps w:val="0"/>
          <w:color w:val="000000"/>
          <w:spacing w:val="0"/>
          <w:sz w:val="32"/>
          <w:szCs w:val="32"/>
          <w:shd w:val="clear" w:fill="FFFFFF"/>
          <w:lang w:val="en-US" w:eastAsia="zh-CN"/>
        </w:rPr>
        <w:t>等</w:t>
      </w:r>
      <w:r>
        <w:rPr>
          <w:rFonts w:hint="eastAsia" w:ascii="仿宋_GB2312" w:hAnsi="仿宋_GB2312" w:eastAsia="仿宋_GB2312" w:cs="仿宋_GB2312"/>
          <w:i w:val="0"/>
          <w:iCs w:val="0"/>
          <w:caps w:val="0"/>
          <w:color w:val="000000"/>
          <w:spacing w:val="0"/>
          <w:sz w:val="32"/>
          <w:szCs w:val="32"/>
          <w:shd w:val="clear" w:fill="FFFFFF"/>
        </w:rPr>
        <w:t>。</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jc w:val="both"/>
        <w:textAlignment w:val="baseline"/>
        <w:rPr>
          <w:rFonts w:hint="eastAsia" w:ascii="仿宋_GB2312" w:hAnsi="仿宋_GB2312" w:eastAsia="仿宋_GB2312" w:cs="仿宋_GB2312"/>
          <w:sz w:val="32"/>
          <w:szCs w:val="32"/>
          <w:shd w:val="clear" w:fill="FFFFFF"/>
          <w:lang w:val="en-US" w:eastAsia="zh-CN" w:bidi="ar"/>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三、示范工程申报条件及要求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snapToGrid w:val="0"/>
          <w:color w:val="000000"/>
          <w:spacing w:val="0"/>
          <w:kern w:val="0"/>
          <w:sz w:val="32"/>
          <w:szCs w:val="32"/>
          <w:shd w:val="clear" w:fill="FFFFFF"/>
          <w:lang w:val="en-US" w:eastAsia="zh-CN" w:bidi="ar"/>
        </w:rPr>
      </w:pPr>
      <w:r>
        <w:rPr>
          <w:rFonts w:hint="eastAsia" w:ascii="仿宋_GB2312" w:hAnsi="仿宋_GB2312" w:eastAsia="仿宋_GB2312" w:cs="仿宋_GB2312"/>
          <w:b/>
          <w:bCs/>
          <w:snapToGrid w:val="0"/>
          <w:color w:val="000000"/>
          <w:spacing w:val="0"/>
          <w:kern w:val="0"/>
          <w:sz w:val="32"/>
          <w:szCs w:val="32"/>
          <w:shd w:val="clear" w:fill="FFFFFF"/>
          <w:lang w:val="en-US" w:eastAsia="zh-CN" w:bidi="ar"/>
        </w:rPr>
        <w:t xml:space="preserve">（一）示范工程基本要求  </w:t>
      </w:r>
      <w:r>
        <w:rPr>
          <w:rFonts w:hint="eastAsia" w:ascii="仿宋_GB2312" w:hAnsi="仿宋_GB2312" w:eastAsia="仿宋_GB2312" w:cs="仿宋_GB2312"/>
          <w:snapToGrid w:val="0"/>
          <w:color w:val="000000"/>
          <w:spacing w:val="0"/>
          <w:kern w:val="0"/>
          <w:sz w:val="32"/>
          <w:szCs w:val="32"/>
          <w:shd w:val="clear" w:fill="FFFFFF"/>
          <w:lang w:val="en-US" w:eastAsia="zh-CN" w:bidi="ar"/>
        </w:rPr>
        <w:t xml:space="preserve">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20" w:firstLineChars="1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Fonts w:hint="eastAsia" w:ascii="仿宋_GB2312" w:hAnsi="仿宋_GB2312" w:eastAsia="仿宋_GB2312" w:cs="仿宋_GB2312"/>
          <w:snapToGrid w:val="0"/>
          <w:color w:val="000000"/>
          <w:spacing w:val="0"/>
          <w:kern w:val="0"/>
          <w:sz w:val="32"/>
          <w:szCs w:val="32"/>
          <w:shd w:val="clear" w:fill="FFFFFF"/>
          <w:lang w:val="en-US" w:eastAsia="zh-CN" w:bidi="ar"/>
        </w:rPr>
        <w:t xml:space="preserve"> </w:t>
      </w: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 xml:space="preserve"> 1.通过竣工验收和竣工环境保护验收，且满足国家和地方标准要求；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2.连续运行工程验收后稳定运行满1年且未满3年； 从投运至结束不足1年的短期性工程验收后未满3年；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3.采用的技术水平先进，具有行业示范引导作用；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4.工程运行管理规范，有完善的运行管理制度，完整的运行、维护记录；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5.运行期内未发生任何事故和环境违法违规行为；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6.必要时，应取得排污许可证。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（二）申报单位要求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1.</w:t>
      </w:r>
      <w:r>
        <w:rPr>
          <w:rFonts w:hint="eastAsia" w:ascii="仿宋_GB2312" w:hAnsi="仿宋_GB2312" w:eastAsia="仿宋_GB2312" w:cs="仿宋_GB2312"/>
          <w:i w:val="0"/>
          <w:iCs w:val="0"/>
          <w:caps w:val="0"/>
          <w:color w:val="000000"/>
          <w:spacing w:val="0"/>
          <w:sz w:val="32"/>
          <w:szCs w:val="32"/>
          <w:shd w:val="clear" w:fill="FFFFFF"/>
          <w:lang w:val="en-US" w:eastAsia="zh-CN"/>
        </w:rPr>
        <w:t>在自治区内注册并具有独立法人资格；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2.为工程业主、总承包、设计、施工、主要设备制造或运维等单位，也可由上述单位联合申报；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3.联合申报单位数不超过5家。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4.同一申报单位在同一行业中应用相同或类似工艺路线的工程项目，只能择优申报其中一项，不可重复申报。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（三）申报材料要求</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(1)生态环境保护示范工程申报书；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(2)单位证照。提供所有申报单位的营业执照、事业单位法人证书、组织机构代码证复印件。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(3)工程合同。提供包括项目名称、承担内容、工期、签订时间、合同相关各方盖章等信息的关键页。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(4)工程验收报告。工程竣工验收报告和竣工环境保护验收报告（含验收监测报告）。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(5)工程环境监测报告。包括工程环保效果和二次污染控制效果监测报告。连续运行项目提供证明工程近一年内运行效果的监测报告（季度性监测报告2份），已结束运行的阶段性工程提供时间较近的证明 运行期间运行效果的监测报告2份。监测报告均须由具有资质的第三方出具。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(6)工程运行管理制度清单。连续运行项目提供近一年内某一周的原始运行和维护记录，已结束运行的阶段性工程提供时间较近的某一周的原始运行和维护记录。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(7)排污许可证。提供排污许可证复印件。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(8)会员证书。新疆生态环境保护产业协会有效期内会员证书。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t>(9)其他证明材料。工程获得的奖励荣誉证书等。</w:t>
      </w:r>
    </w:p>
    <w:p>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Style w:val="7"/>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Fonts w:hint="eastAsia" w:ascii="仿宋_GB2312" w:hAnsi="仿宋_GB2312" w:eastAsia="仿宋_GB2312" w:cs="仿宋_GB2312"/>
          <w:sz w:val="32"/>
          <w:szCs w:val="32"/>
          <w:shd w:val="clear" w:fill="FFFFFF"/>
          <w:lang w:val="en-US" w:eastAsia="zh-CN" w:bidi="ar"/>
        </w:rPr>
        <w:t>本条第（2）至（9）项材料按顺序简易装订成册（一式两份），同时将示范工程申报书及相关附件材料电子文本（pdf格式）发送至协会指定邮箱。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仿宋_GB2312" w:hAnsi="仿宋_GB2312" w:eastAsia="仿宋_GB2312" w:cs="仿宋_GB2312"/>
          <w:color w:val="313131"/>
          <w:sz w:val="32"/>
          <w:szCs w:val="32"/>
          <w:lang w:val="en-US" w:eastAsia="zh-CN"/>
        </w:rPr>
      </w:pP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四、评选程序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w:t>
      </w:r>
      <w:r>
        <w:rPr>
          <w:rFonts w:hint="eastAsia" w:ascii="仿宋_GB2312" w:hAnsi="仿宋_GB2312" w:eastAsia="仿宋_GB2312" w:cs="仿宋_GB2312"/>
          <w:sz w:val="32"/>
          <w:szCs w:val="32"/>
          <w:lang w:val="en-US" w:eastAsia="zh-CN"/>
        </w:rPr>
        <w:t>要求对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进行审核、对每个项目提出评审意见</w:t>
      </w:r>
      <w:r>
        <w:rPr>
          <w:rFonts w:hint="eastAsia" w:ascii="仿宋_GB2312" w:hAnsi="仿宋_GB2312" w:eastAsia="仿宋_GB2312" w:cs="仿宋_GB2312"/>
          <w:i w:val="0"/>
          <w:iCs w:val="0"/>
          <w:caps w:val="0"/>
          <w:spacing w:val="0"/>
          <w:sz w:val="32"/>
          <w:szCs w:val="32"/>
          <w:shd w:val="clear"/>
          <w:lang w:eastAsia="zh-CN"/>
        </w:rPr>
        <w:t>。对需要现场考察的项目，由协会组织评审专家进行现场考察，形成现场考察报告。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spacing w:val="0"/>
          <w:sz w:val="32"/>
          <w:szCs w:val="32"/>
          <w:shd w:val="clear"/>
          <w:lang w:val="en-US"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）依据专家评审意见，协会提出</w:t>
      </w:r>
      <w:r>
        <w:rPr>
          <w:rFonts w:hint="eastAsia" w:ascii="仿宋_GB2312" w:hAnsi="仿宋_GB2312" w:eastAsia="仿宋_GB2312" w:cs="仿宋_GB2312"/>
          <w:i w:val="0"/>
          <w:iCs w:val="0"/>
          <w:caps w:val="0"/>
          <w:spacing w:val="0"/>
          <w:sz w:val="32"/>
          <w:szCs w:val="32"/>
          <w:shd w:val="clear"/>
          <w:lang w:val="en-US" w:eastAsia="zh-CN"/>
        </w:rPr>
        <w:t>优秀</w:t>
      </w:r>
      <w:r>
        <w:rPr>
          <w:rFonts w:hint="eastAsia" w:ascii="仿宋_GB2312" w:hAnsi="仿宋_GB2312" w:eastAsia="仿宋_GB2312" w:cs="仿宋_GB2312"/>
          <w:i w:val="0"/>
          <w:iCs w:val="0"/>
          <w:caps w:val="0"/>
          <w:spacing w:val="0"/>
          <w:sz w:val="32"/>
          <w:szCs w:val="32"/>
          <w:shd w:val="clear"/>
          <w:lang w:eastAsia="zh-CN"/>
        </w:rPr>
        <w:t>示范工程公示名录向社会公示，</w:t>
      </w:r>
      <w:r>
        <w:rPr>
          <w:rFonts w:hint="eastAsia" w:ascii="仿宋_GB2312" w:hAnsi="仿宋_GB2312" w:eastAsia="仿宋_GB2312" w:cs="仿宋_GB2312"/>
          <w:i w:val="0"/>
          <w:iCs w:val="0"/>
          <w:caps w:val="0"/>
          <w:spacing w:val="0"/>
          <w:sz w:val="32"/>
          <w:szCs w:val="32"/>
          <w:shd w:val="clear"/>
          <w:lang w:val="en-US" w:eastAsia="zh-CN"/>
        </w:rPr>
        <w:t>公示期为5个工作日。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（四）公示无异议后，协会发布通知公布获奖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Style w:val="7"/>
          <w:rFonts w:hint="default" w:ascii="仿宋_GB2312" w:hAnsi="仿宋_GB2312" w:eastAsia="仿宋_GB2312" w:cs="仿宋_GB2312"/>
          <w:b/>
          <w:bCs/>
          <w:i w:val="0"/>
          <w:iCs w:val="0"/>
          <w:caps w:val="0"/>
          <w:color w:val="000000"/>
          <w:spacing w:val="0"/>
          <w:sz w:val="32"/>
          <w:szCs w:val="32"/>
          <w:shd w:val="clear" w:fill="FFFFFF"/>
          <w:lang w:val="en-US" w:eastAsia="zh-CN"/>
        </w:rPr>
      </w:pPr>
      <w:r>
        <w:rPr>
          <w:rStyle w:val="7"/>
          <w:rFonts w:hint="eastAsia" w:ascii="仿宋_GB2312" w:hAnsi="仿宋_GB2312" w:eastAsia="仿宋_GB2312" w:cs="仿宋_GB2312"/>
          <w:b/>
          <w:bCs/>
          <w:i w:val="0"/>
          <w:iCs w:val="0"/>
          <w:caps w:val="0"/>
          <w:color w:val="000000"/>
          <w:spacing w:val="0"/>
          <w:sz w:val="32"/>
          <w:szCs w:val="32"/>
          <w:shd w:val="clear" w:fill="FFFFFF"/>
          <w:lang w:val="en-US" w:eastAsia="zh-CN"/>
        </w:rPr>
        <w:t>五、表彰及推广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协会向入选示范工程名单的申报单位颁发匾牌。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协会通过网站、微信公众号等</w:t>
      </w:r>
      <w:r>
        <w:rPr>
          <w:rFonts w:hint="eastAsia" w:ascii="仿宋_GB2312" w:hAnsi="仿宋_GB2312" w:eastAsia="仿宋_GB2312" w:cs="仿宋_GB2312"/>
          <w:sz w:val="32"/>
          <w:szCs w:val="32"/>
          <w:lang w:val="en-US" w:eastAsia="zh-CN"/>
        </w:rPr>
        <w:t>媒体宣传</w:t>
      </w:r>
      <w:r>
        <w:rPr>
          <w:rFonts w:hint="eastAsia" w:ascii="仿宋_GB2312" w:hAnsi="仿宋_GB2312" w:eastAsia="仿宋_GB2312" w:cs="仿宋_GB2312"/>
          <w:sz w:val="32"/>
          <w:szCs w:val="32"/>
          <w:lang w:eastAsia="zh-CN"/>
        </w:rPr>
        <w:t>平台宣传入选</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示范工程。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w:t>
      </w:r>
      <w:r>
        <w:rPr>
          <w:rFonts w:hint="eastAsia" w:ascii="仿宋_GB2312" w:hAnsi="仿宋_GB2312" w:eastAsia="仿宋_GB2312" w:cs="仿宋_GB2312"/>
          <w:sz w:val="32"/>
          <w:szCs w:val="32"/>
          <w:lang w:val="en-US" w:eastAsia="zh-CN"/>
        </w:rPr>
        <w:t>将入选名录示范工程的案例编入《新疆生态环保产业通讯》，送至自治区生态环境厅各处室、各地州生态环境局及会员单位，并</w:t>
      </w:r>
      <w:r>
        <w:rPr>
          <w:rFonts w:hint="eastAsia" w:ascii="仿宋_GB2312" w:hAnsi="仿宋_GB2312" w:eastAsia="仿宋_GB2312" w:cs="仿宋_GB2312"/>
          <w:sz w:val="32"/>
          <w:szCs w:val="32"/>
          <w:lang w:eastAsia="zh-CN"/>
        </w:rPr>
        <w:t>优先向中国环境保护产业协会推荐申报重点生态环境保护示范工程。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（四）根据入选情况，新疆生态环境保护产业</w:t>
      </w:r>
      <w:r>
        <w:rPr>
          <w:rFonts w:hint="eastAsia" w:ascii="仿宋_GB2312" w:hAnsi="仿宋_GB2312" w:eastAsia="仿宋_GB2312" w:cs="仿宋_GB2312"/>
          <w:sz w:val="32"/>
          <w:szCs w:val="32"/>
          <w:lang w:eastAsia="zh-CN"/>
        </w:rPr>
        <w:t>协会</w:t>
      </w:r>
      <w:r>
        <w:rPr>
          <w:rFonts w:hint="eastAsia" w:ascii="仿宋_GB2312" w:hAnsi="仿宋_GB2312" w:eastAsia="仿宋_GB2312" w:cs="仿宋_GB2312"/>
          <w:sz w:val="32"/>
          <w:szCs w:val="32"/>
          <w:lang w:val="en-US" w:eastAsia="zh-CN"/>
        </w:rPr>
        <w:t>组织技术交流会、研讨会、推广会、对接会、展览展示等活动，搭建优秀示范工程推广平台。</w:t>
      </w:r>
    </w:p>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B3DA45"/>
    <w:multiLevelType w:val="singleLevel"/>
    <w:tmpl w:val="9FB3DA45"/>
    <w:lvl w:ilvl="0" w:tentative="0">
      <w:start w:val="1"/>
      <w:numFmt w:val="chineseCounting"/>
      <w:suff w:val="nothing"/>
      <w:lvlText w:val="%1、"/>
      <w:lvlJc w:val="left"/>
      <w:rPr>
        <w:rFonts w:hint="eastAsia" w:ascii="仿宋_GB2312" w:hAnsi="仿宋_GB2312" w:eastAsia="仿宋_GB2312" w:cs="仿宋_GB2312"/>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mNDkwYmFmZGYwYzE4NmM3MzY0M2QxMWVmZjdmNTMifQ=="/>
  </w:docVars>
  <w:rsids>
    <w:rsidRoot w:val="5A4C6803"/>
    <w:rsid w:val="01A544B3"/>
    <w:rsid w:val="01D32DCE"/>
    <w:rsid w:val="029167E5"/>
    <w:rsid w:val="02E66B31"/>
    <w:rsid w:val="05353DA0"/>
    <w:rsid w:val="06420522"/>
    <w:rsid w:val="06964F97"/>
    <w:rsid w:val="07B216D8"/>
    <w:rsid w:val="082D0DDC"/>
    <w:rsid w:val="086C5D2B"/>
    <w:rsid w:val="0A2C5771"/>
    <w:rsid w:val="0CB63A18"/>
    <w:rsid w:val="100B407B"/>
    <w:rsid w:val="1125116C"/>
    <w:rsid w:val="11B00A36"/>
    <w:rsid w:val="13491142"/>
    <w:rsid w:val="159468C1"/>
    <w:rsid w:val="15C90318"/>
    <w:rsid w:val="173B3498"/>
    <w:rsid w:val="17D15BAA"/>
    <w:rsid w:val="18420856"/>
    <w:rsid w:val="18BF3C55"/>
    <w:rsid w:val="19F142E2"/>
    <w:rsid w:val="1A620D3B"/>
    <w:rsid w:val="1C3D380E"/>
    <w:rsid w:val="1DA125C3"/>
    <w:rsid w:val="1EB8717C"/>
    <w:rsid w:val="1F890B18"/>
    <w:rsid w:val="1FC14756"/>
    <w:rsid w:val="20943C19"/>
    <w:rsid w:val="20C4005A"/>
    <w:rsid w:val="224B0307"/>
    <w:rsid w:val="2976210D"/>
    <w:rsid w:val="29C4731D"/>
    <w:rsid w:val="29E96D83"/>
    <w:rsid w:val="2C920BF7"/>
    <w:rsid w:val="2CB74F17"/>
    <w:rsid w:val="2D524C40"/>
    <w:rsid w:val="2DB63420"/>
    <w:rsid w:val="3159659D"/>
    <w:rsid w:val="333948D8"/>
    <w:rsid w:val="354B26A0"/>
    <w:rsid w:val="37DA41AF"/>
    <w:rsid w:val="384D672F"/>
    <w:rsid w:val="3A751F6D"/>
    <w:rsid w:val="40C63FDC"/>
    <w:rsid w:val="41214BFD"/>
    <w:rsid w:val="413C37E5"/>
    <w:rsid w:val="41F45E6E"/>
    <w:rsid w:val="41FB71FC"/>
    <w:rsid w:val="45CF2E79"/>
    <w:rsid w:val="45FD79E7"/>
    <w:rsid w:val="47A143A2"/>
    <w:rsid w:val="48D507A7"/>
    <w:rsid w:val="48D6451F"/>
    <w:rsid w:val="4A4C6847"/>
    <w:rsid w:val="4AD8457E"/>
    <w:rsid w:val="4AF15640"/>
    <w:rsid w:val="4C3E48B5"/>
    <w:rsid w:val="4E3E6DEE"/>
    <w:rsid w:val="5043249A"/>
    <w:rsid w:val="537E2283"/>
    <w:rsid w:val="55380105"/>
    <w:rsid w:val="55C30234"/>
    <w:rsid w:val="57580313"/>
    <w:rsid w:val="59C96464"/>
    <w:rsid w:val="5A4C6803"/>
    <w:rsid w:val="5AB87F28"/>
    <w:rsid w:val="5BB701E0"/>
    <w:rsid w:val="5F775CBC"/>
    <w:rsid w:val="5F864151"/>
    <w:rsid w:val="60D07D7A"/>
    <w:rsid w:val="629E5C56"/>
    <w:rsid w:val="630A6E47"/>
    <w:rsid w:val="635307EE"/>
    <w:rsid w:val="65332685"/>
    <w:rsid w:val="664B7EA3"/>
    <w:rsid w:val="665925BF"/>
    <w:rsid w:val="66B9509F"/>
    <w:rsid w:val="6D1E7A9D"/>
    <w:rsid w:val="6F3E67F6"/>
    <w:rsid w:val="718A5D23"/>
    <w:rsid w:val="7480554B"/>
    <w:rsid w:val="75153B55"/>
    <w:rsid w:val="77161E07"/>
    <w:rsid w:val="78A84CE1"/>
    <w:rsid w:val="7C350F81"/>
    <w:rsid w:val="7E883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2023-11-28T03:46:00Z</dcterms:created>
  <dc:creator>铁碎牙</dc:creator>
  <cp:lastModifiedBy>铁碎牙</cp:lastModifiedBy>
  <cp:lastPrinted>2023-11-30T04:18:35Z</cp:lastPrinted>
  <dcterms:modified xsi:type="dcterms:W3CDTF">2023-11-30T04:20:03Z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038A4872F52B400B8DA09B74449A4ED9_11</vt:lpwstr>
  </property>
</Properties>
</file>