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28D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both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  <w:t>附件1</w:t>
      </w:r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eastAsia="zh-CN"/>
        </w:rPr>
        <w:t>：</w:t>
      </w:r>
    </w:p>
    <w:p w14:paraId="305AAD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</w:p>
    <w:p w14:paraId="114053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0"/>
        <w:jc w:val="center"/>
        <w:textAlignment w:val="baseline"/>
        <w:rPr>
          <w:rFonts w:hint="eastAsia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新疆维吾尔自治区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  <w:t>生态环境保护产业协会</w:t>
      </w:r>
    </w:p>
    <w:p w14:paraId="65D5223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团体标准制修订经费管理办法 (试行)</w:t>
      </w:r>
    </w:p>
    <w:p w14:paraId="7EAEB70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0"/>
        <w:jc w:val="both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</w:p>
    <w:p w14:paraId="733429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center"/>
        <w:textAlignment w:val="baseline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0"/>
          <w:position w:val="1"/>
          <w:sz w:val="32"/>
          <w:szCs w:val="32"/>
        </w:rPr>
        <w:t>第一章 总则</w:t>
      </w:r>
    </w:p>
    <w:p w14:paraId="05C310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第一条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为规范和加强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新疆维吾尔自治区生态环境保护产业协会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团体标准（以下简称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）制修订经费管理，提高资金使用效率，保证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工作顺利开展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，根据《中华人民共和国标准化法》《深化标准化工作改革方案》（国发〔2015〕13号）、国家标准委、民政部《团体标准管理规定》（国标委联〔2019〕1号）、财政部、质检总局、国家标准委《国家标准制修订经费管理办法》（财行〔2007〕29号）《新疆维吾尔自治区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生态环境保护产业协会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团体标准管理办法（试行）》等相关规定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制定本办法。</w:t>
      </w:r>
    </w:p>
    <w:p w14:paraId="0984EA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第二条 本办法所称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制修订经费，是指用于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制修订工作的专项经费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专款专用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不以盈利为目的。</w:t>
      </w:r>
    </w:p>
    <w:p w14:paraId="0D3D78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  <w:t>第二章 经费来源</w:t>
      </w:r>
    </w:p>
    <w:p w14:paraId="0B2C26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8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第三条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制修订项目提出立项时，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提出单位应制定详细的制修订经费预算和经费来源情况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作为标准立项的重要评审依据。</w:t>
      </w:r>
    </w:p>
    <w:p w14:paraId="4E19E6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8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第四条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制修订工作所需要的资料费、设备费、试</w:t>
      </w:r>
    </w:p>
    <w:p w14:paraId="138473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验验证费、差旅费、会议费、劳务费、审定费、管理服务费等相关费用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由参与标准制定修订单位自筹或多方筹集决并专款专用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。</w:t>
      </w:r>
    </w:p>
    <w:p w14:paraId="7BC367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55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第五条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制修订经费可以由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统一管理使用， 也可以由标准制修订主要起草单位与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共同管理使用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即部分经费由起草单位自行统筹安排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部分经费由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统筹管理。</w:t>
      </w:r>
    </w:p>
    <w:p w14:paraId="784D54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  <w:t>第三章 经费使用</w:t>
      </w:r>
    </w:p>
    <w:p w14:paraId="30DF9BC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9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第六条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制修订经费本着厉行节约的原则合理开支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。</w:t>
      </w:r>
    </w:p>
    <w:p w14:paraId="6494F4C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第七条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制修订经费使用的范围包括：</w:t>
      </w:r>
    </w:p>
    <w:p w14:paraId="20542CE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的前期论证及预研；</w:t>
      </w:r>
    </w:p>
    <w:p w14:paraId="02221C5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6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国际标准和国外先进标准的资料查找、购置、翻译和跟踪采用；</w:t>
      </w:r>
    </w:p>
    <w:p w14:paraId="3168D4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（三）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的起草、征求意见、试验验证等；</w:t>
      </w:r>
    </w:p>
    <w:p w14:paraId="353673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（四）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样品的研复制；</w:t>
      </w:r>
    </w:p>
    <w:p w14:paraId="6C4B7E7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（五）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复审；</w:t>
      </w:r>
    </w:p>
    <w:p w14:paraId="3C11FDB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（六）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备案；</w:t>
      </w:r>
    </w:p>
    <w:p w14:paraId="07BD2A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（七）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制修订过程中召开的各类会议；</w:t>
      </w:r>
    </w:p>
    <w:p w14:paraId="367C7B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（八）标准草案和编制说明书等文书制作；</w:t>
      </w:r>
    </w:p>
    <w:p w14:paraId="3067279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（九）标准编写审查和水平评价等；</w:t>
      </w:r>
    </w:p>
    <w:p w14:paraId="05ED2D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（十）提供技术咨询服务人员的报酬；</w:t>
      </w:r>
    </w:p>
    <w:p w14:paraId="0513E37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（十一）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办公室制修订团体标准产生的公告费、 宣</w:t>
      </w:r>
    </w:p>
    <w:p w14:paraId="6CEE5A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传推广费、出版审定费以及制定和实施过程中的其它管理服务费等；</w:t>
      </w:r>
    </w:p>
    <w:p w14:paraId="00A13B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（十二）与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制修订直接相关的其他工作。</w:t>
      </w:r>
    </w:p>
    <w:p w14:paraId="3BE21D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第八条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协会团标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经费的开支项目包括资料费、设备费、试验验证费、差旅费、会议费、劳务费、审定费、管理服务费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等。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各项具体开支如下：</w:t>
      </w:r>
    </w:p>
    <w:p w14:paraId="3173FD8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598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（一）资料费：制修订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团标前期论证过程中需要支出的书刊、资料、复印等费用以及购置、翻译国际标准、国外先进标准和目录等文本或软件资料等费用；</w:t>
      </w:r>
    </w:p>
    <w:p w14:paraId="614D5D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（二）设备费：制修订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团标过程中购置或租赁试验仪器设备而发生的费用；</w:t>
      </w:r>
    </w:p>
    <w:p w14:paraId="4AF6A2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2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（三）试验验证费：制修订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团标中必须进行的试验、验证所发生的能源、材料、低值易损耗品的购置费用及测试费用；</w:t>
      </w:r>
    </w:p>
    <w:p w14:paraId="45A5200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（四）差旅费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团标过程（包括技术审查、技术协调和审核、复审）中，按规定支出的交通费、住宿费、伙食补助费、公杂费等费用；</w:t>
      </w:r>
    </w:p>
    <w:p w14:paraId="726F0D6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15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（五）会议费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团标过程中为了进行论证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研讨、协调而召开有关会议，按规定开支的会议场地和仪器设备租用费、会议文件资料印刷费等；</w:t>
      </w:r>
    </w:p>
    <w:p w14:paraId="6229803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589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（六）劳务费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按规定支付给参加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团标的起草、汇总整理、审核、翻译等方面的人员的劳务性费用；</w:t>
      </w:r>
    </w:p>
    <w:p w14:paraId="5320DB5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06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（七）审定费：制修订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团标在送审和备案过程中，支付必要的审定费用；</w:t>
      </w:r>
    </w:p>
    <w:p w14:paraId="51BD295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（八）管理服务费：包括公告费、水平评价费、宣传推广费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</w:p>
    <w:p w14:paraId="035DDF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以及在标准制定、实施过程中组织、管理、服务所产生的费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；</w:t>
      </w:r>
    </w:p>
    <w:p w14:paraId="5216ED2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06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（九）其他费用：指与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团标制修订直接相关的，除上述支出以外的其它支出。</w:t>
      </w:r>
    </w:p>
    <w:p w14:paraId="33D298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5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第九条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正式立项前产生的论证及草稿编制费用，由团体标准提出单位自行承担。</w:t>
      </w:r>
    </w:p>
    <w:p w14:paraId="3A92C59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81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第十条 按照平等自愿、协商一致原则，在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团标批准立项后20个工作日内，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团标提出单位根据预算与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双方签订合同后开展工作。原则上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按照《新疆维吾尔自治区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生态环境保护产业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团体标准管理服务费核算办法》（附件1）对每项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团标收取管理服务费。管理服务费主要用于第七条（十一）款明确的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团标制修订相关事务发生的费用和组织管理发生的费用。</w:t>
      </w:r>
    </w:p>
    <w:p w14:paraId="5AF546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  <w:t>第四章 责任和权益</w:t>
      </w:r>
    </w:p>
    <w:p w14:paraId="749EBC9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51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第十一条 鼓励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团标制修订单位及相关单位或个人通过出资、捐赠等方式出资支持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团标制修订工作。</w:t>
      </w:r>
    </w:p>
    <w:p w14:paraId="3A5BE6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5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第十二条 出资支持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团标制修订的单位或个人在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团标申报立项、宣传贯彻和推广工作中具有优先地位。</w:t>
      </w:r>
    </w:p>
    <w:p w14:paraId="4B60059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54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 xml:space="preserve">第十三条 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团标版权归新疆维吾尔自治区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生态环境保护产业协会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所有，出资支持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团标制修订的单位或个人可优先获得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团标制修订过程中的调研报告、试验验证报告和其它技术成果，免费获得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团标文本。</w:t>
      </w:r>
    </w:p>
    <w:p w14:paraId="130625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pacing w:val="0"/>
          <w:position w:val="1"/>
          <w:sz w:val="32"/>
          <w:szCs w:val="32"/>
        </w:rPr>
        <w:t>第五章 附则</w:t>
      </w:r>
    </w:p>
    <w:p w14:paraId="544828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第十四条 本办法由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秘书处负责解释。</w:t>
      </w:r>
    </w:p>
    <w:p w14:paraId="2EC7C93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sectPr>
          <w:footerReference r:id="rId5" w:type="default"/>
          <w:pgSz w:w="11906" w:h="16839"/>
          <w:pgMar w:top="2098" w:right="1474" w:bottom="1984" w:left="1587" w:header="0" w:footer="987" w:gutter="0"/>
          <w:pgNumType w:fmt="numberInDash"/>
          <w:cols w:space="720" w:num="1"/>
        </w:sect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第十五条 本办法经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理事会或常务理事会会议审议通过后，自印发之日起施行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。</w:t>
      </w:r>
    </w:p>
    <w:p w14:paraId="56B677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</w:rPr>
        <w:t>附件2：</w:t>
      </w:r>
    </w:p>
    <w:p w14:paraId="2FDA49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</w:p>
    <w:p w14:paraId="220E687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新疆维吾尔自治区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  <w:t>生态环境保护产业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eastAsia="zh-CN"/>
        </w:rPr>
        <w:t>协会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团体标准管理服务费核算办法</w:t>
      </w:r>
    </w:p>
    <w:p w14:paraId="5E1B0BE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</w:p>
    <w:p w14:paraId="3CF99A5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目的</w:t>
      </w:r>
    </w:p>
    <w:p w14:paraId="55E0E74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为保证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团标管理服务的有效性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准确、规范地核定团体标准管理服务的工作人日和收费标准，特制定本办法。</w:t>
      </w:r>
    </w:p>
    <w:p w14:paraId="0C43638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范围</w:t>
      </w:r>
    </w:p>
    <w:p w14:paraId="2E555E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团标的相关管理服务工作人员，其工作人日数计算和收费标准按本办法执行。</w:t>
      </w:r>
    </w:p>
    <w:p w14:paraId="50F0C814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300" w:right="0" w:rightChars="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三、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团标管理服务人日数和收费标准的确定</w:t>
      </w:r>
    </w:p>
    <w:p w14:paraId="0AA4727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团标管理服务工作内容</w:t>
      </w:r>
    </w:p>
    <w:p w14:paraId="2F59AB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团标管理服务工作包括：形式审查、现状检索立项审、技术咨询、征求意见、技术审查、标准审批、出版审定、水平评价、公示公告、宣传推广，以及标准制定和实施过程中的其它组织、管理和服务工作。</w:t>
      </w:r>
    </w:p>
    <w:p w14:paraId="15034E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）协会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团标管理服务人日数</w:t>
      </w:r>
    </w:p>
    <w:p w14:paraId="52BD7F2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每项团体标准的管理服务人日数按《团体标准管理人日数计算基准表》（见附表）核算。</w:t>
      </w:r>
    </w:p>
    <w:p w14:paraId="3ACDFE9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同一单位同一年度内有多项标准获批立项，每项标准管理服</w:t>
      </w:r>
    </w:p>
    <w:p w14:paraId="2AB626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务基准人日数可根据其编制标准数量的不同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按照《团体标</w:t>
      </w:r>
    </w:p>
    <w:p w14:paraId="37D0C33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准管理人日数计算基准表》的规定给予相应优惠。</w:t>
      </w:r>
    </w:p>
    <w:p w14:paraId="19CD291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团标管理服务费收费标准</w:t>
      </w:r>
    </w:p>
    <w:p w14:paraId="5D27B6E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sectPr>
          <w:footerReference r:id="rId6" w:type="default"/>
          <w:pgSz w:w="11906" w:h="16839"/>
          <w:pgMar w:top="2098" w:right="1474" w:bottom="1984" w:left="1587" w:header="0" w:footer="987" w:gutter="0"/>
          <w:pgNumType w:fmt="numberInDash" w:start="1"/>
          <w:cols w:space="720" w:num="1"/>
        </w:sectPr>
      </w:pP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综合考虑国家相关标准、当前市场价格和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实际情况，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协会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团标管理服务费收费标准暂定为1000元/人日</w:t>
      </w:r>
      <w:r>
        <w:rPr>
          <w:rFonts w:hint="eastAsia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。</w:t>
      </w:r>
    </w:p>
    <w:p w14:paraId="740229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</w:rPr>
        <w:t>附表：</w:t>
      </w:r>
    </w:p>
    <w:p w14:paraId="2EC254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</w:rPr>
      </w:pPr>
    </w:p>
    <w:p w14:paraId="0512465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</w:rPr>
        <w:t>团体标准管理服务人日数计算基准表</w:t>
      </w:r>
    </w:p>
    <w:p w14:paraId="0B56B8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</w:pPr>
    </w:p>
    <w:tbl>
      <w:tblPr>
        <w:tblStyle w:val="7"/>
        <w:tblW w:w="839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2512"/>
        <w:gridCol w:w="3556"/>
        <w:gridCol w:w="1477"/>
      </w:tblGrid>
      <w:tr w14:paraId="7E384E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848" w:type="dxa"/>
            <w:tcBorders>
              <w:top w:val="single" w:color="000000" w:sz="6" w:space="0"/>
            </w:tcBorders>
            <w:vAlign w:val="center"/>
          </w:tcPr>
          <w:p w14:paraId="64CA81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512" w:type="dxa"/>
            <w:tcBorders>
              <w:top w:val="single" w:color="000000" w:sz="6" w:space="0"/>
            </w:tcBorders>
            <w:vAlign w:val="center"/>
          </w:tcPr>
          <w:p w14:paraId="75CD18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工作步骤</w:t>
            </w:r>
          </w:p>
        </w:tc>
        <w:tc>
          <w:tcPr>
            <w:tcW w:w="3556" w:type="dxa"/>
            <w:tcBorders>
              <w:top w:val="single" w:color="000000" w:sz="6" w:space="0"/>
            </w:tcBorders>
            <w:vAlign w:val="center"/>
          </w:tcPr>
          <w:p w14:paraId="759B89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标准管理服务</w:t>
            </w:r>
          </w:p>
          <w:p w14:paraId="2A1C08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基准人日数</w:t>
            </w:r>
          </w:p>
        </w:tc>
        <w:tc>
          <w:tcPr>
            <w:tcW w:w="1477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140C1C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备注</w:t>
            </w:r>
          </w:p>
        </w:tc>
      </w:tr>
      <w:tr w14:paraId="78F8C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848" w:type="dxa"/>
            <w:vAlign w:val="center"/>
          </w:tcPr>
          <w:p w14:paraId="66BD07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512" w:type="dxa"/>
            <w:vAlign w:val="center"/>
          </w:tcPr>
          <w:p w14:paraId="4C2C6C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形式审查</w:t>
            </w:r>
          </w:p>
        </w:tc>
        <w:tc>
          <w:tcPr>
            <w:tcW w:w="3556" w:type="dxa"/>
            <w:vAlign w:val="center"/>
          </w:tcPr>
          <w:p w14:paraId="0CE8C6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711D6C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35CCA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3B33C0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512" w:type="dxa"/>
            <w:vAlign w:val="center"/>
          </w:tcPr>
          <w:p w14:paraId="01CAAC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现状检索</w:t>
            </w:r>
          </w:p>
        </w:tc>
        <w:tc>
          <w:tcPr>
            <w:tcW w:w="3556" w:type="dxa"/>
            <w:vAlign w:val="center"/>
          </w:tcPr>
          <w:p w14:paraId="573638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4C1BC2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3D50A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681AA6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512" w:type="dxa"/>
            <w:vAlign w:val="center"/>
          </w:tcPr>
          <w:p w14:paraId="1030E4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立项审查</w:t>
            </w:r>
          </w:p>
        </w:tc>
        <w:tc>
          <w:tcPr>
            <w:tcW w:w="3556" w:type="dxa"/>
            <w:vAlign w:val="center"/>
          </w:tcPr>
          <w:p w14:paraId="51C64B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697C78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45AFB4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6AC0AF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512" w:type="dxa"/>
            <w:vAlign w:val="center"/>
          </w:tcPr>
          <w:p w14:paraId="51A81A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技术咨询</w:t>
            </w:r>
          </w:p>
        </w:tc>
        <w:tc>
          <w:tcPr>
            <w:tcW w:w="3556" w:type="dxa"/>
            <w:vAlign w:val="center"/>
          </w:tcPr>
          <w:p w14:paraId="0C6876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20B527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0C7DAD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848" w:type="dxa"/>
            <w:vAlign w:val="center"/>
          </w:tcPr>
          <w:p w14:paraId="4F8911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512" w:type="dxa"/>
            <w:vAlign w:val="center"/>
          </w:tcPr>
          <w:p w14:paraId="2B272E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征求意见</w:t>
            </w:r>
          </w:p>
        </w:tc>
        <w:tc>
          <w:tcPr>
            <w:tcW w:w="3556" w:type="dxa"/>
            <w:vAlign w:val="center"/>
          </w:tcPr>
          <w:p w14:paraId="2D89E2C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2E0028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32D985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848" w:type="dxa"/>
            <w:vAlign w:val="center"/>
          </w:tcPr>
          <w:p w14:paraId="3EDC80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512" w:type="dxa"/>
            <w:vAlign w:val="center"/>
          </w:tcPr>
          <w:p w14:paraId="5A1519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技术审查</w:t>
            </w:r>
          </w:p>
        </w:tc>
        <w:tc>
          <w:tcPr>
            <w:tcW w:w="3556" w:type="dxa"/>
            <w:vAlign w:val="center"/>
          </w:tcPr>
          <w:p w14:paraId="292096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7F42AC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按2次计</w:t>
            </w:r>
          </w:p>
        </w:tc>
      </w:tr>
      <w:tr w14:paraId="41E47D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7D7876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512" w:type="dxa"/>
            <w:vAlign w:val="center"/>
          </w:tcPr>
          <w:p w14:paraId="63B3C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标准校核</w:t>
            </w:r>
          </w:p>
        </w:tc>
        <w:tc>
          <w:tcPr>
            <w:tcW w:w="3556" w:type="dxa"/>
            <w:vAlign w:val="center"/>
          </w:tcPr>
          <w:p w14:paraId="5C2EB6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2201E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1A7D06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25D2A8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512" w:type="dxa"/>
            <w:vAlign w:val="center"/>
          </w:tcPr>
          <w:p w14:paraId="768039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标准备案</w:t>
            </w:r>
          </w:p>
        </w:tc>
        <w:tc>
          <w:tcPr>
            <w:tcW w:w="3556" w:type="dxa"/>
            <w:vAlign w:val="center"/>
          </w:tcPr>
          <w:p w14:paraId="7BD7F7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499A3A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45E88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164459D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512" w:type="dxa"/>
            <w:vAlign w:val="center"/>
          </w:tcPr>
          <w:p w14:paraId="69487A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宣传推广</w:t>
            </w:r>
          </w:p>
        </w:tc>
        <w:tc>
          <w:tcPr>
            <w:tcW w:w="3556" w:type="dxa"/>
            <w:vAlign w:val="center"/>
          </w:tcPr>
          <w:p w14:paraId="44D65A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10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6B3D5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2958F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4B0CB0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512" w:type="dxa"/>
            <w:vAlign w:val="center"/>
          </w:tcPr>
          <w:p w14:paraId="71CE83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其他</w:t>
            </w:r>
          </w:p>
        </w:tc>
        <w:tc>
          <w:tcPr>
            <w:tcW w:w="3556" w:type="dxa"/>
            <w:vAlign w:val="center"/>
          </w:tcPr>
          <w:p w14:paraId="3B8DF3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2DAD58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  <w:tr w14:paraId="45AD02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48" w:type="dxa"/>
            <w:vAlign w:val="center"/>
          </w:tcPr>
          <w:p w14:paraId="3319BA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  <w:tc>
          <w:tcPr>
            <w:tcW w:w="2512" w:type="dxa"/>
            <w:vAlign w:val="center"/>
          </w:tcPr>
          <w:p w14:paraId="10C48C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  <w:t>合计</w:t>
            </w:r>
          </w:p>
        </w:tc>
        <w:tc>
          <w:tcPr>
            <w:tcW w:w="3556" w:type="dxa"/>
            <w:vAlign w:val="center"/>
          </w:tcPr>
          <w:p w14:paraId="06177E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  <w:lang w:val="en-US" w:eastAsia="zh-CN"/>
              </w:rPr>
              <w:t>50</w:t>
            </w:r>
          </w:p>
        </w:tc>
        <w:tc>
          <w:tcPr>
            <w:tcW w:w="1477" w:type="dxa"/>
            <w:tcBorders>
              <w:right w:val="single" w:color="000000" w:sz="6" w:space="0"/>
            </w:tcBorders>
            <w:vAlign w:val="center"/>
          </w:tcPr>
          <w:p w14:paraId="0E944A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 w:val="0"/>
                <w:bCs w:val="0"/>
                <w:spacing w:val="0"/>
                <w:sz w:val="32"/>
                <w:szCs w:val="32"/>
              </w:rPr>
            </w:pPr>
          </w:p>
        </w:tc>
      </w:tr>
    </w:tbl>
    <w:p w14:paraId="2CE518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</w:p>
    <w:sectPr>
      <w:footerReference r:id="rId7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E83BF0-62BE-4F81-B871-D7FC221746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2702B2D-D466-4D87-9EEF-E64B869DED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A0A7000-6A40-4A6F-BD5B-109FB89B4C6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9B8BE">
    <w:pPr>
      <w:spacing w:line="175" w:lineRule="auto"/>
      <w:ind w:left="4124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D2ABD"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BD2ABD"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F2A2A">
    <w:pPr>
      <w:spacing w:line="175" w:lineRule="auto"/>
      <w:ind w:left="4129"/>
      <w:rPr>
        <w:rFonts w:ascii="等线" w:hAnsi="等线" w:eastAsia="等线" w:cs="等线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2F560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2F560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476E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935E7"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6935E7"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0B81"/>
    <w:rsid w:val="02AE0B81"/>
    <w:rsid w:val="031B1D1A"/>
    <w:rsid w:val="0E813C4F"/>
    <w:rsid w:val="150B02E1"/>
    <w:rsid w:val="58C0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2693</Words>
  <Characters>2721</Characters>
  <Lines>0</Lines>
  <Paragraphs>0</Paragraphs>
  <TotalTime>1</TotalTime>
  <ScaleCrop>false</ScaleCrop>
  <LinksUpToDate>false</LinksUpToDate>
  <CharactersWithSpaces>2747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2024-12-18T07:07:00Z</dcterms:created>
  <dc:creator>铁碎牙</dc:creator>
  <cp:lastModifiedBy>铁碎牙</cp:lastModifiedBy>
  <dcterms:modified xsi:type="dcterms:W3CDTF">2024-12-20T03:31:09Z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E24A3D44D9B14AC292BC34AF524CF9F1_13</vt:lpwstr>
  </property>
</Properties>
</file>