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81BAE">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w:t>
      </w:r>
      <w:r>
        <w:rPr>
          <w:rFonts w:hint="eastAsia" w:ascii="Times New Roman" w:hAnsi="Times New Roman" w:eastAsia="黑体" w:cs="Times New Roman"/>
          <w:lang w:val="en-US" w:eastAsia="zh-CN"/>
        </w:rPr>
        <w:t>3：</w:t>
      </w:r>
      <w:bookmarkStart w:id="0" w:name="_GoBack"/>
      <w:bookmarkEnd w:id="0"/>
    </w:p>
    <w:p w14:paraId="412F6434">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both"/>
        <w:textAlignment w:val="auto"/>
        <w:rPr>
          <w:rFonts w:hint="default" w:ascii="方正小标宋简体" w:hAnsi="方正小标宋简体" w:eastAsia="方正小标宋简体" w:cs="方正小标宋简体"/>
          <w:sz w:val="44"/>
          <w:szCs w:val="44"/>
        </w:rPr>
      </w:pPr>
    </w:p>
    <w:p w14:paraId="39AC18A3">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center"/>
        <w:textAlignment w:val="auto"/>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新疆维吾尔自治区生态环境保护产业协会团体标准申投诉机制</w:t>
      </w:r>
    </w:p>
    <w:p w14:paraId="3A2D81FA">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center"/>
        <w:textAlignment w:val="auto"/>
        <w:rPr>
          <w:rFonts w:hint="default" w:ascii="方正小标宋简体" w:hAnsi="方正小标宋简体" w:eastAsia="方正小标宋简体" w:cs="方正小标宋简体"/>
          <w:sz w:val="44"/>
          <w:szCs w:val="44"/>
        </w:rPr>
      </w:pPr>
    </w:p>
    <w:p w14:paraId="491A9247">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一、目的</w:t>
      </w:r>
    </w:p>
    <w:p w14:paraId="69D600F3">
      <w:pPr>
        <w:pStyle w:val="7"/>
        <w:keepNext w:val="0"/>
        <w:keepLines w:val="0"/>
        <w:pageBreakBefore w:val="0"/>
        <w:widowControl w:val="0"/>
        <w:kinsoku/>
        <w:wordWrap/>
        <w:overflowPunct/>
        <w:topLinePunct w:val="0"/>
        <w:autoSpaceDE/>
        <w:autoSpaceDN/>
        <w:bidi w:val="0"/>
        <w:adjustRightInd/>
        <w:snapToGrid/>
        <w:textAlignment w:val="auto"/>
      </w:pPr>
      <w:r>
        <w:rPr>
          <w:lang w:val="en-US" w:eastAsia="zh-CN"/>
        </w:rPr>
        <w:t>为保障新疆维吾尔自治区生态环境保护产业协会团体标准制定、实施及相关活动的公平、公正、公开，维护各相关方的合法权益，特建立本申投诉机制，以妥善处理在团体标准工作过程中产生的各类申投诉事项。</w:t>
      </w:r>
    </w:p>
    <w:p w14:paraId="372C0D43">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二、适用范围</w:t>
      </w:r>
    </w:p>
    <w:p w14:paraId="68C9C232">
      <w:pPr>
        <w:pStyle w:val="7"/>
        <w:keepNext w:val="0"/>
        <w:keepLines w:val="0"/>
        <w:pageBreakBefore w:val="0"/>
        <w:widowControl w:val="0"/>
        <w:kinsoku/>
        <w:wordWrap/>
        <w:overflowPunct/>
        <w:topLinePunct w:val="0"/>
        <w:autoSpaceDE/>
        <w:autoSpaceDN/>
        <w:bidi w:val="0"/>
        <w:adjustRightInd/>
        <w:snapToGrid/>
        <w:textAlignment w:val="auto"/>
      </w:pPr>
      <w:r>
        <w:rPr>
          <w:lang w:val="en-US" w:eastAsia="zh-CN"/>
        </w:rPr>
        <w:t>本机制适用于协会团体标准涉及的所有会员单位、标准化技术组织成员、标准使用者以及其他相关利益方对团体标准制定、修订、实施过程中的任何环节，包括但不限于标准立项、起草、征求意见、审查、发布、实施以及知识产权管理等方面存在的争议、不满或违规行为提出的申投诉。</w:t>
      </w:r>
    </w:p>
    <w:p w14:paraId="6A502F91">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三、申投诉受理机构</w:t>
      </w:r>
    </w:p>
    <w:p w14:paraId="4E109311">
      <w:pPr>
        <w:pStyle w:val="7"/>
        <w:keepNext w:val="0"/>
        <w:keepLines w:val="0"/>
        <w:pageBreakBefore w:val="0"/>
        <w:widowControl w:val="0"/>
        <w:kinsoku/>
        <w:wordWrap/>
        <w:overflowPunct/>
        <w:topLinePunct w:val="0"/>
        <w:autoSpaceDE/>
        <w:autoSpaceDN/>
        <w:bidi w:val="0"/>
        <w:adjustRightInd/>
        <w:snapToGrid/>
        <w:textAlignment w:val="auto"/>
        <w:rPr>
          <w:lang w:val="en-US" w:eastAsia="zh-CN"/>
        </w:rPr>
      </w:pPr>
      <w:r>
        <w:rPr>
          <w:lang w:val="en-US" w:eastAsia="zh-CN"/>
        </w:rPr>
        <w:t>协会设立专门的团体标准申投诉处理委员会（以下简称 “委员会”），负责申投诉事项的受理、调查、处理和反馈工作。委员会成员由协会</w:t>
      </w:r>
      <w:r>
        <w:rPr>
          <w:rFonts w:hint="eastAsia"/>
          <w:lang w:val="en-US" w:eastAsia="zh-CN"/>
        </w:rPr>
        <w:t>团体标准工作委员会</w:t>
      </w:r>
      <w:r>
        <w:rPr>
          <w:lang w:val="en-US" w:eastAsia="zh-CN"/>
        </w:rPr>
        <w:t>、相关领域专家、法律专业人士以及行业代表等组成，确保委员会的专业性、独立性和公正性。委员会常</w:t>
      </w:r>
      <w:r>
        <w:rPr>
          <w:rFonts w:hint="eastAsia"/>
          <w:lang w:val="en-US" w:eastAsia="zh-CN"/>
        </w:rPr>
        <w:t>事</w:t>
      </w:r>
      <w:r>
        <w:rPr>
          <w:lang w:val="en-US" w:eastAsia="zh-CN"/>
        </w:rPr>
        <w:t>机构</w:t>
      </w:r>
      <w:r>
        <w:rPr>
          <w:rFonts w:hint="eastAsia"/>
          <w:lang w:val="en-US" w:eastAsia="zh-CN"/>
        </w:rPr>
        <w:t>为协会秘书处</w:t>
      </w:r>
      <w:r>
        <w:rPr>
          <w:lang w:val="en-US" w:eastAsia="zh-CN"/>
        </w:rPr>
        <w:t>，配备专门的工作人员，负责处理日常事务，并对外公布申投诉受理渠道和联系方式。</w:t>
      </w:r>
    </w:p>
    <w:p w14:paraId="7E2FFDA1">
      <w:pPr>
        <w:pStyle w:val="7"/>
        <w:keepNext w:val="0"/>
        <w:keepLines w:val="0"/>
        <w:pageBreakBefore w:val="0"/>
        <w:widowControl w:val="0"/>
        <w:kinsoku/>
        <w:wordWrap/>
        <w:overflowPunct/>
        <w:topLinePunct w:val="0"/>
        <w:autoSpaceDE/>
        <w:autoSpaceDN/>
        <w:bidi w:val="0"/>
        <w:adjustRightInd/>
        <w:snapToGrid/>
        <w:textAlignment w:val="auto"/>
        <w:rPr>
          <w:lang w:val="en-US" w:eastAsia="zh-CN"/>
        </w:rPr>
      </w:pPr>
    </w:p>
    <w:p w14:paraId="0CD0C66C">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四、申投诉的提出</w:t>
      </w:r>
    </w:p>
    <w:p w14:paraId="1BB118DE">
      <w:pPr>
        <w:pStyle w:val="7"/>
        <w:keepNext w:val="0"/>
        <w:keepLines w:val="0"/>
        <w:pageBreakBefore w:val="0"/>
        <w:widowControl w:val="0"/>
        <w:numPr>
          <w:ilvl w:val="0"/>
          <w:numId w:val="1"/>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申投诉形式</w:t>
      </w:r>
    </w:p>
    <w:p w14:paraId="2D04BABE">
      <w:pPr>
        <w:pStyle w:val="7"/>
        <w:keepNext w:val="0"/>
        <w:keepLines w:val="0"/>
        <w:pageBreakBefore w:val="0"/>
        <w:widowControl w:val="0"/>
        <w:kinsoku/>
        <w:wordWrap/>
        <w:overflowPunct/>
        <w:topLinePunct w:val="0"/>
        <w:autoSpaceDE/>
        <w:autoSpaceDN/>
        <w:bidi w:val="0"/>
        <w:adjustRightInd/>
        <w:snapToGrid/>
        <w:textAlignment w:val="auto"/>
      </w:pPr>
      <w:r>
        <w:t>申投诉方应以书面形式提出申投诉，可通过邮寄、电子邮件或当面递交等方式提交至委员会</w:t>
      </w:r>
      <w:r>
        <w:rPr>
          <w:rFonts w:hint="eastAsia"/>
          <w:lang w:val="en-US" w:eastAsia="zh-CN"/>
        </w:rPr>
        <w:tab/>
      </w:r>
      <w:r>
        <w:t>常设办公机构。申投诉书应包括申投诉方的姓名（名称）、地址、联系方式、申投诉事项及理由、相关证据材料等内容。对于口头申投诉，委员会工作人员应予以记录，并要求申投诉方在规定时间内补充提交书面材料。</w:t>
      </w:r>
    </w:p>
    <w:p w14:paraId="25336796">
      <w:pPr>
        <w:pStyle w:val="7"/>
        <w:keepNext w:val="0"/>
        <w:keepLines w:val="0"/>
        <w:pageBreakBefore w:val="0"/>
        <w:widowControl w:val="0"/>
        <w:numPr>
          <w:ilvl w:val="0"/>
          <w:numId w:val="1"/>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申投诉时效</w:t>
      </w:r>
    </w:p>
    <w:p w14:paraId="5648E0F0">
      <w:pPr>
        <w:pStyle w:val="7"/>
        <w:keepNext w:val="0"/>
        <w:keepLines w:val="0"/>
        <w:pageBreakBefore w:val="0"/>
        <w:widowControl w:val="0"/>
        <w:kinsoku/>
        <w:wordWrap/>
        <w:overflowPunct/>
        <w:topLinePunct w:val="0"/>
        <w:autoSpaceDE/>
        <w:autoSpaceDN/>
        <w:bidi w:val="0"/>
        <w:adjustRightInd/>
        <w:snapToGrid/>
        <w:textAlignment w:val="auto"/>
      </w:pPr>
      <w:r>
        <w:t xml:space="preserve">申投诉方应在知晓或应当知晓申投诉事项发生之日起 </w:t>
      </w:r>
      <w:r>
        <w:rPr>
          <w:rFonts w:hint="eastAsia"/>
          <w:lang w:val="en-US" w:eastAsia="zh-CN"/>
        </w:rPr>
        <w:t>10</w:t>
      </w:r>
      <w:r>
        <w:t>个工作日内提出申投诉。超过时效的申投诉，委员会可根据具体情况决定是否受理，但对于涉及重大公共利益或可能对行业产生严重影响的申投诉，委员会可不受时效限制予以受理。</w:t>
      </w:r>
    </w:p>
    <w:p w14:paraId="107FFC71">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五、申投诉受理</w:t>
      </w:r>
    </w:p>
    <w:p w14:paraId="73394C62">
      <w:pPr>
        <w:pStyle w:val="7"/>
        <w:keepNext w:val="0"/>
        <w:keepLines w:val="0"/>
        <w:pageBreakBefore w:val="0"/>
        <w:widowControl w:val="0"/>
        <w:numPr>
          <w:ilvl w:val="0"/>
          <w:numId w:val="2"/>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受理审查</w:t>
      </w:r>
    </w:p>
    <w:p w14:paraId="671158DB">
      <w:pPr>
        <w:pStyle w:val="7"/>
        <w:keepNext w:val="0"/>
        <w:keepLines w:val="0"/>
        <w:pageBreakBefore w:val="0"/>
        <w:widowControl w:val="0"/>
        <w:kinsoku/>
        <w:wordWrap/>
        <w:overflowPunct/>
        <w:topLinePunct w:val="0"/>
        <w:autoSpaceDE/>
        <w:autoSpaceDN/>
        <w:bidi w:val="0"/>
        <w:adjustRightInd/>
        <w:snapToGrid/>
        <w:textAlignment w:val="auto"/>
      </w:pPr>
      <w:r>
        <w:t>委员会在收到申投诉材料后，应在</w:t>
      </w:r>
      <w:r>
        <w:rPr>
          <w:rFonts w:hint="eastAsia"/>
          <w:lang w:val="en-US" w:eastAsia="zh-CN"/>
        </w:rPr>
        <w:t>30</w:t>
      </w:r>
      <w:r>
        <w:t>个工作日内进行受理审查。审查内容包括申投诉事项是否属于本机制的适用范围、申投诉材料是否齐全、申投诉方是否具备相应资格等。对于材料不齐全的，委员会应通知申投诉方在</w:t>
      </w:r>
      <w:r>
        <w:rPr>
          <w:rFonts w:hint="eastAsia"/>
          <w:lang w:val="en-US" w:eastAsia="zh-CN"/>
        </w:rPr>
        <w:t>5</w:t>
      </w:r>
      <w:r>
        <w:t>个工作日内补充完善；对于不符合受理条件的，委员会应书面告知申投诉方不予受理的理由。</w:t>
      </w:r>
    </w:p>
    <w:p w14:paraId="040907A9">
      <w:pPr>
        <w:pStyle w:val="7"/>
        <w:keepNext w:val="0"/>
        <w:keepLines w:val="0"/>
        <w:pageBreakBefore w:val="0"/>
        <w:widowControl w:val="0"/>
        <w:numPr>
          <w:ilvl w:val="0"/>
          <w:numId w:val="2"/>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受理通知</w:t>
      </w:r>
    </w:p>
    <w:p w14:paraId="1C6DF4AD">
      <w:pPr>
        <w:pStyle w:val="7"/>
        <w:keepNext w:val="0"/>
        <w:keepLines w:val="0"/>
        <w:pageBreakBefore w:val="0"/>
        <w:widowControl w:val="0"/>
        <w:kinsoku/>
        <w:wordWrap/>
        <w:overflowPunct/>
        <w:topLinePunct w:val="0"/>
        <w:autoSpaceDE/>
        <w:autoSpaceDN/>
        <w:bidi w:val="0"/>
        <w:adjustRightInd/>
        <w:snapToGrid/>
        <w:textAlignment w:val="auto"/>
      </w:pPr>
      <w:r>
        <w:t>对于符合受理条件的申投诉，委员会应在受理审查通过后的</w:t>
      </w:r>
      <w:r>
        <w:rPr>
          <w:rFonts w:hint="eastAsia"/>
          <w:lang w:val="en-US" w:eastAsia="zh-CN"/>
        </w:rPr>
        <w:t>5</w:t>
      </w:r>
      <w:r>
        <w:t>个工作日内书面通知申投诉方，并告知申投诉处理的程序、期限和相关要求。同时，委员会应将申投诉事项通知与申投诉事项相关的其他方（以下简称 “被申投诉方”），要求其在</w:t>
      </w:r>
      <w:r>
        <w:rPr>
          <w:rFonts w:hint="eastAsia"/>
          <w:lang w:val="en-US" w:eastAsia="zh-CN"/>
        </w:rPr>
        <w:t>5</w:t>
      </w:r>
      <w:r>
        <w:t>个工作日内提交书面答辩材料。</w:t>
      </w:r>
    </w:p>
    <w:p w14:paraId="7C5DA881">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六、申投诉调查</w:t>
      </w:r>
    </w:p>
    <w:p w14:paraId="030E4403">
      <w:pPr>
        <w:pStyle w:val="7"/>
        <w:keepNext w:val="0"/>
        <w:keepLines w:val="0"/>
        <w:pageBreakBefore w:val="0"/>
        <w:widowControl w:val="0"/>
        <w:numPr>
          <w:ilvl w:val="0"/>
          <w:numId w:val="3"/>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调查组成立</w:t>
      </w:r>
    </w:p>
    <w:p w14:paraId="349D943F">
      <w:pPr>
        <w:pStyle w:val="7"/>
        <w:keepNext w:val="0"/>
        <w:keepLines w:val="0"/>
        <w:pageBreakBefore w:val="0"/>
        <w:widowControl w:val="0"/>
        <w:kinsoku/>
        <w:wordWrap/>
        <w:overflowPunct/>
        <w:topLinePunct w:val="0"/>
        <w:autoSpaceDE/>
        <w:autoSpaceDN/>
        <w:bidi w:val="0"/>
        <w:adjustRightInd/>
        <w:snapToGrid/>
        <w:textAlignment w:val="auto"/>
      </w:pPr>
      <w:r>
        <w:t>委员会在受理申投诉后，应根据申投诉事项的性质和复杂程度，成立专门的调查组。调查组应由委员会成员、相关领域专家以及必要的法律专业人士组成，确保调查工作的专业性和公正性。调查组应制定详细的调查计划，明确调查的目的、范围、方法和时间节点。</w:t>
      </w:r>
    </w:p>
    <w:p w14:paraId="0DC2CE36">
      <w:pPr>
        <w:pStyle w:val="7"/>
        <w:keepNext w:val="0"/>
        <w:keepLines w:val="0"/>
        <w:pageBreakBefore w:val="0"/>
        <w:widowControl w:val="0"/>
        <w:numPr>
          <w:ilvl w:val="0"/>
          <w:numId w:val="3"/>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调查实施</w:t>
      </w:r>
    </w:p>
    <w:p w14:paraId="70104040">
      <w:pPr>
        <w:pStyle w:val="7"/>
        <w:keepNext w:val="0"/>
        <w:keepLines w:val="0"/>
        <w:pageBreakBefore w:val="0"/>
        <w:widowControl w:val="0"/>
        <w:kinsoku/>
        <w:wordWrap/>
        <w:overflowPunct/>
        <w:topLinePunct w:val="0"/>
        <w:autoSpaceDE/>
        <w:autoSpaceDN/>
        <w:bidi w:val="0"/>
        <w:adjustRightInd/>
        <w:snapToGrid/>
        <w:textAlignment w:val="auto"/>
      </w:pPr>
      <w:r>
        <w:t>调查组应通过查阅文件资料、现场调查、询问相关人员、组织听证等方式进行调查取证。调查过程中，应充分听取申投诉方和被申投诉方的意见和陈述，确保调查结果的客观、真实、全面。调查组应制作调查笔录，记录调查的过程和结果，并由调查人员、申投诉方和被申投诉方签字确认。对于涉及专业技术问题的申投诉，调查组可邀请相关领域的权威专家进行技术鉴定，并出具鉴定报告。</w:t>
      </w:r>
    </w:p>
    <w:p w14:paraId="553F4533">
      <w:pPr>
        <w:pStyle w:val="7"/>
        <w:keepNext w:val="0"/>
        <w:keepLines w:val="0"/>
        <w:pageBreakBefore w:val="0"/>
        <w:widowControl w:val="0"/>
        <w:numPr>
          <w:ilvl w:val="0"/>
          <w:numId w:val="3"/>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调查期限</w:t>
      </w:r>
    </w:p>
    <w:p w14:paraId="2DF0508E">
      <w:pPr>
        <w:pStyle w:val="7"/>
        <w:keepNext w:val="0"/>
        <w:keepLines w:val="0"/>
        <w:pageBreakBefore w:val="0"/>
        <w:widowControl w:val="0"/>
        <w:kinsoku/>
        <w:wordWrap/>
        <w:overflowPunct/>
        <w:topLinePunct w:val="0"/>
        <w:autoSpaceDE/>
        <w:autoSpaceDN/>
        <w:bidi w:val="0"/>
        <w:adjustRightInd/>
        <w:snapToGrid/>
        <w:textAlignment w:val="auto"/>
      </w:pPr>
      <w:r>
        <w:t>调查组应在成立后的</w:t>
      </w:r>
      <w:r>
        <w:rPr>
          <w:rFonts w:hint="eastAsia"/>
          <w:lang w:val="en-US" w:eastAsia="zh-CN"/>
        </w:rPr>
        <w:t>45</w:t>
      </w:r>
      <w:r>
        <w:t xml:space="preserve">个工作日内完成调查工作，并形成调查报告。调查报告应包括申投诉事项的基本情况、调查过程、调查结果、处理建议等内容。对于情况复杂或涉及面广的申投诉，经委员会批准，调查期限可适当延长，但延长时间不得超过 </w:t>
      </w:r>
      <w:r>
        <w:rPr>
          <w:rFonts w:hint="eastAsia"/>
          <w:lang w:val="en-US" w:eastAsia="zh-CN"/>
        </w:rPr>
        <w:t>30</w:t>
      </w:r>
      <w:r>
        <w:t>个工作日。</w:t>
      </w:r>
    </w:p>
    <w:p w14:paraId="06DCE36E">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七、申投诉处理</w:t>
      </w:r>
    </w:p>
    <w:p w14:paraId="7B8EFF5D">
      <w:pPr>
        <w:pStyle w:val="7"/>
        <w:keepNext w:val="0"/>
        <w:keepLines w:val="0"/>
        <w:pageBreakBefore w:val="0"/>
        <w:widowControl w:val="0"/>
        <w:numPr>
          <w:ilvl w:val="0"/>
          <w:numId w:val="4"/>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处理原则</w:t>
      </w:r>
    </w:p>
    <w:p w14:paraId="092939C9">
      <w:pPr>
        <w:pStyle w:val="7"/>
        <w:keepNext w:val="0"/>
        <w:keepLines w:val="0"/>
        <w:pageBreakBefore w:val="0"/>
        <w:widowControl w:val="0"/>
        <w:kinsoku/>
        <w:wordWrap/>
        <w:overflowPunct/>
        <w:topLinePunct w:val="0"/>
        <w:autoSpaceDE/>
        <w:autoSpaceDN/>
        <w:bidi w:val="0"/>
        <w:adjustRightInd/>
        <w:snapToGrid/>
        <w:textAlignment w:val="auto"/>
      </w:pPr>
      <w:r>
        <w:t>委员会应根据调查结果，依据相关法律法规、协会章程以及团体标准制定的相关政策和程序，对申投诉事项进行公正、公平的处理。处理过程应遵循实事求是、有错必纠、保护申投诉方和被申投诉方合法权益的原则。</w:t>
      </w:r>
    </w:p>
    <w:p w14:paraId="5D678BDE">
      <w:pPr>
        <w:pStyle w:val="7"/>
        <w:keepNext w:val="0"/>
        <w:keepLines w:val="0"/>
        <w:pageBreakBefore w:val="0"/>
        <w:widowControl w:val="0"/>
        <w:numPr>
          <w:ilvl w:val="0"/>
          <w:numId w:val="4"/>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处理方式</w:t>
      </w:r>
    </w:p>
    <w:p w14:paraId="10C82E93">
      <w:pPr>
        <w:pStyle w:val="7"/>
        <w:keepNext w:val="0"/>
        <w:keepLines w:val="0"/>
        <w:pageBreakBefore w:val="0"/>
        <w:widowControl w:val="0"/>
        <w:kinsoku/>
        <w:wordWrap/>
        <w:overflowPunct/>
        <w:topLinePunct w:val="0"/>
        <w:autoSpaceDE/>
        <w:autoSpaceDN/>
        <w:bidi w:val="0"/>
        <w:adjustRightInd/>
        <w:snapToGrid/>
        <w:textAlignment w:val="auto"/>
      </w:pPr>
      <w:r>
        <w:t>根据申投诉事项的性质和情节轻重，委员会可采取以下处理方式：</w:t>
      </w:r>
    </w:p>
    <w:p w14:paraId="144FC3EB">
      <w:pPr>
        <w:pStyle w:val="7"/>
        <w:keepNext w:val="0"/>
        <w:keepLines w:val="0"/>
        <w:pageBreakBefore w:val="0"/>
        <w:widowControl w:val="0"/>
        <w:kinsoku/>
        <w:wordWrap/>
        <w:overflowPunct/>
        <w:topLinePunct w:val="0"/>
        <w:autoSpaceDE/>
        <w:autoSpaceDN/>
        <w:bidi w:val="0"/>
        <w:adjustRightInd/>
        <w:snapToGrid/>
        <w:textAlignment w:val="auto"/>
      </w:pPr>
      <w:r>
        <w:t>调解：对于涉及双方当事人之间的争议或纠纷，委员会可组织双方进行调解，促使双方达成和解协议。调解过程应遵循自愿、平等、合法的原则，调解结果应经双方当事人签字确认，并由委员会监督执行。</w:t>
      </w:r>
    </w:p>
    <w:p w14:paraId="5652EBB8">
      <w:pPr>
        <w:pStyle w:val="7"/>
        <w:keepNext w:val="0"/>
        <w:keepLines w:val="0"/>
        <w:pageBreakBefore w:val="0"/>
        <w:widowControl w:val="0"/>
        <w:kinsoku/>
        <w:wordWrap/>
        <w:overflowPunct/>
        <w:topLinePunct w:val="0"/>
        <w:autoSpaceDE/>
        <w:autoSpaceDN/>
        <w:bidi w:val="0"/>
        <w:adjustRightInd/>
        <w:snapToGrid/>
        <w:textAlignment w:val="auto"/>
      </w:pPr>
      <w:r>
        <w:t>责令改正：对于被申投诉方存在违反协会团体标准制定相关规定或标准文本要求的行为，委员会可责令其限期改正，并提交改正情况报告。</w:t>
      </w:r>
    </w:p>
    <w:p w14:paraId="6BD97C3C">
      <w:pPr>
        <w:pStyle w:val="7"/>
        <w:keepNext w:val="0"/>
        <w:keepLines w:val="0"/>
        <w:pageBreakBefore w:val="0"/>
        <w:widowControl w:val="0"/>
        <w:kinsoku/>
        <w:wordWrap/>
        <w:overflowPunct/>
        <w:topLinePunct w:val="0"/>
        <w:autoSpaceDE/>
        <w:autoSpaceDN/>
        <w:bidi w:val="0"/>
        <w:adjustRightInd/>
        <w:snapToGrid/>
        <w:textAlignment w:val="auto"/>
      </w:pPr>
      <w:r>
        <w:t>撤销或修改相关决定或文件：对于被申投诉方在团体标准制定过程中作出的错误决定或发布的不符合规定的文件，委员会可予以撤销或责令其修改，并重新进行相关程序。</w:t>
      </w:r>
    </w:p>
    <w:p w14:paraId="1D0840E5">
      <w:pPr>
        <w:pStyle w:val="7"/>
        <w:keepNext w:val="0"/>
        <w:keepLines w:val="0"/>
        <w:pageBreakBefore w:val="0"/>
        <w:widowControl w:val="0"/>
        <w:kinsoku/>
        <w:wordWrap/>
        <w:overflowPunct/>
        <w:topLinePunct w:val="0"/>
        <w:autoSpaceDE/>
        <w:autoSpaceDN/>
        <w:bidi w:val="0"/>
        <w:adjustRightInd/>
        <w:snapToGrid/>
        <w:textAlignment w:val="auto"/>
      </w:pPr>
      <w:r>
        <w:t>警告或通报批评：对于被申投诉方存在轻微违规行为或对申投诉事项负有一定责任的，委员会可给予警告或通报批评，并记录在案。</w:t>
      </w:r>
    </w:p>
    <w:p w14:paraId="1C4FE14C">
      <w:pPr>
        <w:pStyle w:val="7"/>
        <w:keepNext w:val="0"/>
        <w:keepLines w:val="0"/>
        <w:pageBreakBefore w:val="0"/>
        <w:widowControl w:val="0"/>
        <w:kinsoku/>
        <w:wordWrap/>
        <w:overflowPunct/>
        <w:topLinePunct w:val="0"/>
        <w:autoSpaceDE/>
        <w:autoSpaceDN/>
        <w:bidi w:val="0"/>
        <w:adjustRightInd/>
        <w:snapToGrid/>
        <w:textAlignment w:val="auto"/>
      </w:pPr>
      <w:r>
        <w:t>其他处理方式：根据申投诉事项的具体情况，委员会可采取其他适当的处理方式，如建议相关部门对违规行为进行处罚、暂停或终止相关方参与协会团体标准活动的资格等。</w:t>
      </w:r>
    </w:p>
    <w:p w14:paraId="6E1256DD">
      <w:pPr>
        <w:pStyle w:val="7"/>
        <w:keepNext w:val="0"/>
        <w:keepLines w:val="0"/>
        <w:pageBreakBefore w:val="0"/>
        <w:widowControl w:val="0"/>
        <w:numPr>
          <w:ilvl w:val="0"/>
          <w:numId w:val="4"/>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处理期限</w:t>
      </w:r>
    </w:p>
    <w:p w14:paraId="71D85904">
      <w:pPr>
        <w:pStyle w:val="7"/>
        <w:keepNext w:val="0"/>
        <w:keepLines w:val="0"/>
        <w:pageBreakBefore w:val="0"/>
        <w:widowControl w:val="0"/>
        <w:kinsoku/>
        <w:wordWrap/>
        <w:overflowPunct/>
        <w:topLinePunct w:val="0"/>
        <w:autoSpaceDE/>
        <w:autoSpaceDN/>
        <w:bidi w:val="0"/>
        <w:adjustRightInd/>
        <w:snapToGrid/>
        <w:textAlignment w:val="auto"/>
      </w:pPr>
      <w:r>
        <w:t>委员会应在收到调查报告后的</w:t>
      </w:r>
      <w:r>
        <w:rPr>
          <w:rFonts w:hint="eastAsia"/>
          <w:lang w:val="en-US" w:eastAsia="zh-CN"/>
        </w:rPr>
        <w:t>10</w:t>
      </w:r>
      <w:r>
        <w:t>个工作日内作出处理决定，并书面通知申投诉方和被申投诉方。对于情况复杂或需要进一步研究的申投诉，经委员会批准，处理期限可适当延长，但延长时间不得超过</w:t>
      </w:r>
      <w:r>
        <w:rPr>
          <w:rFonts w:hint="eastAsia"/>
          <w:lang w:val="en-US" w:eastAsia="zh-CN"/>
        </w:rPr>
        <w:t>10</w:t>
      </w:r>
      <w:r>
        <w:t>个工作日。</w:t>
      </w:r>
    </w:p>
    <w:p w14:paraId="36CD4AFD">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八、申投诉反馈与跟踪</w:t>
      </w:r>
    </w:p>
    <w:p w14:paraId="55CBC9F1">
      <w:pPr>
        <w:pStyle w:val="7"/>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反馈要求</w:t>
      </w:r>
    </w:p>
    <w:p w14:paraId="67B1D290">
      <w:pPr>
        <w:pStyle w:val="7"/>
        <w:keepNext w:val="0"/>
        <w:keepLines w:val="0"/>
        <w:pageBreakBefore w:val="0"/>
        <w:widowControl w:val="0"/>
        <w:kinsoku/>
        <w:wordWrap/>
        <w:overflowPunct/>
        <w:topLinePunct w:val="0"/>
        <w:autoSpaceDE/>
        <w:autoSpaceDN/>
        <w:bidi w:val="0"/>
        <w:adjustRightInd/>
        <w:snapToGrid/>
        <w:textAlignment w:val="auto"/>
      </w:pPr>
      <w:r>
        <w:t>委员会在作出处理决定后，应在</w:t>
      </w:r>
      <w:r>
        <w:rPr>
          <w:rFonts w:hint="eastAsia"/>
          <w:lang w:val="en-US" w:eastAsia="zh-CN"/>
        </w:rPr>
        <w:t>5</w:t>
      </w:r>
      <w:r>
        <w:t>个工作日内将处理结果反馈给申投诉方和被申投诉方。反馈内容应包括处理决定的内容、依据、执行要求等，并告知申投诉方和被申投诉方享有申诉的权利。</w:t>
      </w:r>
    </w:p>
    <w:p w14:paraId="1C669D08">
      <w:pPr>
        <w:pStyle w:val="7"/>
        <w:keepNext w:val="0"/>
        <w:keepLines w:val="0"/>
        <w:pageBreakBefore w:val="0"/>
        <w:widowControl w:val="0"/>
        <w:numPr>
          <w:ilvl w:val="0"/>
          <w:numId w:val="5"/>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跟踪监督</w:t>
      </w:r>
    </w:p>
    <w:p w14:paraId="601CC47F">
      <w:pPr>
        <w:pStyle w:val="7"/>
        <w:keepNext w:val="0"/>
        <w:keepLines w:val="0"/>
        <w:pageBreakBefore w:val="0"/>
        <w:widowControl w:val="0"/>
        <w:kinsoku/>
        <w:wordWrap/>
        <w:overflowPunct/>
        <w:topLinePunct w:val="0"/>
        <w:autoSpaceDE/>
        <w:autoSpaceDN/>
        <w:bidi w:val="0"/>
        <w:adjustRightInd/>
        <w:snapToGrid/>
        <w:textAlignment w:val="auto"/>
      </w:pPr>
      <w:r>
        <w:t>委员会应建立申投诉处理跟踪监督机制，对处理决定的执行情况进行跟踪监督。被申投诉方应在规定的期限内执行处理决定，并向委员会提交执行情况报告。对于拒不执行处理决定的，委员会可采取进一步的措施，如强制执行、公开曝光等，以确保处理决定的有效落实。</w:t>
      </w:r>
    </w:p>
    <w:p w14:paraId="1105A950">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九、保密要求</w:t>
      </w:r>
    </w:p>
    <w:p w14:paraId="0163019E">
      <w:pPr>
        <w:pStyle w:val="7"/>
        <w:keepNext w:val="0"/>
        <w:keepLines w:val="0"/>
        <w:pageBreakBefore w:val="0"/>
        <w:widowControl w:val="0"/>
        <w:numPr>
          <w:ilvl w:val="0"/>
          <w:numId w:val="6"/>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保密义务</w:t>
      </w:r>
    </w:p>
    <w:p w14:paraId="1573371F">
      <w:pPr>
        <w:pStyle w:val="7"/>
        <w:keepNext w:val="0"/>
        <w:keepLines w:val="0"/>
        <w:pageBreakBefore w:val="0"/>
        <w:widowControl w:val="0"/>
        <w:kinsoku/>
        <w:wordWrap/>
        <w:overflowPunct/>
        <w:topLinePunct w:val="0"/>
        <w:autoSpaceDE/>
        <w:autoSpaceDN/>
        <w:bidi w:val="0"/>
        <w:adjustRightInd/>
        <w:snapToGrid/>
        <w:textAlignment w:val="auto"/>
      </w:pPr>
      <w:r>
        <w:t>委员会工作人员、申投诉方、被申投诉方以及参与申投诉处理过程的其他相关人员应严格遵守保密义务，不得泄露申投诉事项涉及的商业秘密、技术秘密以及个人隐私等信息。对于违反保密义务的人员，委员会应依法追究其责任，并视情节轻重给予相应的处罚。</w:t>
      </w:r>
    </w:p>
    <w:p w14:paraId="6F3AFB93">
      <w:pPr>
        <w:pStyle w:val="7"/>
        <w:keepNext w:val="0"/>
        <w:keepLines w:val="0"/>
        <w:pageBreakBefore w:val="0"/>
        <w:widowControl w:val="0"/>
        <w:numPr>
          <w:ilvl w:val="0"/>
          <w:numId w:val="6"/>
        </w:numPr>
        <w:kinsoku/>
        <w:wordWrap/>
        <w:overflowPunct/>
        <w:topLinePunct w:val="0"/>
        <w:autoSpaceDE/>
        <w:autoSpaceDN/>
        <w:bidi w:val="0"/>
        <w:adjustRightInd/>
        <w:snapToGrid/>
        <w:ind w:left="0" w:leftChars="0" w:firstLine="420" w:firstLineChars="0"/>
        <w:textAlignment w:val="auto"/>
        <w:rPr>
          <w:rFonts w:hint="eastAsia" w:ascii="楷体" w:hAnsi="楷体" w:eastAsia="楷体" w:cs="楷体"/>
        </w:rPr>
      </w:pPr>
      <w:r>
        <w:rPr>
          <w:rFonts w:hint="eastAsia" w:ascii="楷体" w:hAnsi="楷体" w:eastAsia="楷体" w:cs="楷体"/>
        </w:rPr>
        <w:t>信息公开限制</w:t>
      </w:r>
    </w:p>
    <w:p w14:paraId="575B2D00">
      <w:pPr>
        <w:pStyle w:val="7"/>
        <w:keepNext w:val="0"/>
        <w:keepLines w:val="0"/>
        <w:pageBreakBefore w:val="0"/>
        <w:widowControl w:val="0"/>
        <w:kinsoku/>
        <w:wordWrap/>
        <w:overflowPunct/>
        <w:topLinePunct w:val="0"/>
        <w:autoSpaceDE/>
        <w:autoSpaceDN/>
        <w:bidi w:val="0"/>
        <w:adjustRightInd/>
        <w:snapToGrid/>
        <w:textAlignment w:val="auto"/>
      </w:pPr>
      <w:r>
        <w:t>委员会在处理申投诉事项过程中，应根据实际情况，合理确定信息公开的范围和程度。对于涉及商业秘密、技术秘密或个人隐私的信息，应予以保密，不得公开；对于不涉及保密内容的信息，可在一定范围内公开，以保障公众的知情权和监督权。</w:t>
      </w:r>
    </w:p>
    <w:p w14:paraId="0374C140">
      <w:pPr>
        <w:pStyle w:val="7"/>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rPr>
      </w:pPr>
      <w:r>
        <w:rPr>
          <w:rFonts w:hint="eastAsia" w:ascii="黑体" w:hAnsi="黑体" w:eastAsia="黑体" w:cs="黑体"/>
        </w:rPr>
        <w:t>十、附则</w:t>
      </w:r>
    </w:p>
    <w:p w14:paraId="1F806C98">
      <w:pPr>
        <w:pStyle w:val="7"/>
        <w:keepNext w:val="0"/>
        <w:keepLines w:val="0"/>
        <w:pageBreakBefore w:val="0"/>
        <w:widowControl w:val="0"/>
        <w:kinsoku/>
        <w:wordWrap/>
        <w:overflowPunct/>
        <w:topLinePunct w:val="0"/>
        <w:autoSpaceDE/>
        <w:autoSpaceDN/>
        <w:bidi w:val="0"/>
        <w:adjustRightInd/>
        <w:snapToGrid/>
        <w:textAlignment w:val="auto"/>
      </w:pPr>
      <w:r>
        <w:t>本申投诉机制由新疆维吾尔自治区生态环境保护产业协会负责解释。本申投诉机制自发布之日起生效实施。</w:t>
      </w:r>
    </w:p>
    <w:p w14:paraId="70148A49">
      <w:pPr>
        <w:pStyle w:val="7"/>
        <w:keepNext w:val="0"/>
        <w:keepLines w:val="0"/>
        <w:pageBreakBefore w:val="0"/>
        <w:widowControl w:val="0"/>
        <w:kinsoku/>
        <w:wordWrap/>
        <w:overflowPunct/>
        <w:topLinePunct w:val="0"/>
        <w:autoSpaceDE/>
        <w:autoSpaceDN/>
        <w:bidi w:val="0"/>
        <w:adjustRightInd/>
        <w:snapToGrid/>
        <w:textAlignment w:val="auto"/>
      </w:pPr>
    </w:p>
    <w:p w14:paraId="15AACCE3">
      <w:pPr>
        <w:pStyle w:val="7"/>
        <w:keepNext w:val="0"/>
        <w:keepLines w:val="0"/>
        <w:pageBreakBefore w:val="0"/>
        <w:widowControl w:val="0"/>
        <w:kinsoku/>
        <w:wordWrap/>
        <w:overflowPunct/>
        <w:topLinePunct w:val="0"/>
        <w:autoSpaceDE/>
        <w:autoSpaceDN/>
        <w:bidi w:val="0"/>
        <w:adjustRightInd/>
        <w:snapToGrid/>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496358-5608-4771-9121-63D85120AA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3BF73629-C06B-4ECD-995F-BD7C2E2A1203}"/>
  </w:font>
  <w:font w:name="楷体">
    <w:panose1 w:val="02010609060101010101"/>
    <w:charset w:val="86"/>
    <w:family w:val="auto"/>
    <w:pitch w:val="default"/>
    <w:sig w:usb0="800002BF" w:usb1="38CF7CFA" w:usb2="00000016" w:usb3="00000000" w:csb0="00040001" w:csb1="00000000"/>
    <w:embedRegular r:id="rId3" w:fontKey="{34FE870D-68A3-495C-BF7A-813807A1EFE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8C8BB1"/>
    <w:multiLevelType w:val="singleLevel"/>
    <w:tmpl w:val="AC8C8BB1"/>
    <w:lvl w:ilvl="0" w:tentative="0">
      <w:start w:val="1"/>
      <w:numFmt w:val="chineseCounting"/>
      <w:suff w:val="nothing"/>
      <w:lvlText w:val="（%1）"/>
      <w:lvlJc w:val="left"/>
      <w:pPr>
        <w:ind w:left="0" w:firstLine="420"/>
      </w:pPr>
      <w:rPr>
        <w:rFonts w:hint="eastAsia"/>
      </w:rPr>
    </w:lvl>
  </w:abstractNum>
  <w:abstractNum w:abstractNumId="1">
    <w:nsid w:val="E1A6D6BC"/>
    <w:multiLevelType w:val="singleLevel"/>
    <w:tmpl w:val="E1A6D6BC"/>
    <w:lvl w:ilvl="0" w:tentative="0">
      <w:start w:val="1"/>
      <w:numFmt w:val="chineseCounting"/>
      <w:suff w:val="nothing"/>
      <w:lvlText w:val="（%1）"/>
      <w:lvlJc w:val="left"/>
      <w:pPr>
        <w:ind w:left="0" w:firstLine="420"/>
      </w:pPr>
      <w:rPr>
        <w:rFonts w:hint="eastAsia"/>
      </w:rPr>
    </w:lvl>
  </w:abstractNum>
  <w:abstractNum w:abstractNumId="2">
    <w:nsid w:val="EE1C1EC2"/>
    <w:multiLevelType w:val="singleLevel"/>
    <w:tmpl w:val="EE1C1EC2"/>
    <w:lvl w:ilvl="0" w:tentative="0">
      <w:start w:val="1"/>
      <w:numFmt w:val="chineseCounting"/>
      <w:suff w:val="nothing"/>
      <w:lvlText w:val="（%1）"/>
      <w:lvlJc w:val="left"/>
      <w:pPr>
        <w:ind w:left="0" w:firstLine="420"/>
      </w:pPr>
      <w:rPr>
        <w:rFonts w:hint="eastAsia"/>
      </w:rPr>
    </w:lvl>
  </w:abstractNum>
  <w:abstractNum w:abstractNumId="3">
    <w:nsid w:val="198DBF15"/>
    <w:multiLevelType w:val="singleLevel"/>
    <w:tmpl w:val="198DBF15"/>
    <w:lvl w:ilvl="0" w:tentative="0">
      <w:start w:val="1"/>
      <w:numFmt w:val="chineseCounting"/>
      <w:suff w:val="nothing"/>
      <w:lvlText w:val="（%1）"/>
      <w:lvlJc w:val="left"/>
      <w:pPr>
        <w:ind w:left="0" w:firstLine="420"/>
      </w:pPr>
      <w:rPr>
        <w:rFonts w:hint="eastAsia"/>
      </w:rPr>
    </w:lvl>
  </w:abstractNum>
  <w:abstractNum w:abstractNumId="4">
    <w:nsid w:val="4D06A6EC"/>
    <w:multiLevelType w:val="singleLevel"/>
    <w:tmpl w:val="4D06A6EC"/>
    <w:lvl w:ilvl="0" w:tentative="0">
      <w:start w:val="1"/>
      <w:numFmt w:val="chineseCounting"/>
      <w:suff w:val="nothing"/>
      <w:lvlText w:val="（%1）"/>
      <w:lvlJc w:val="left"/>
      <w:pPr>
        <w:ind w:left="0" w:firstLine="420"/>
      </w:pPr>
      <w:rPr>
        <w:rFonts w:hint="eastAsia"/>
      </w:rPr>
    </w:lvl>
  </w:abstractNum>
  <w:abstractNum w:abstractNumId="5">
    <w:nsid w:val="6A97FEEF"/>
    <w:multiLevelType w:val="singleLevel"/>
    <w:tmpl w:val="6A97FEEF"/>
    <w:lvl w:ilvl="0" w:tentative="0">
      <w:start w:val="1"/>
      <w:numFmt w:val="chineseCounting"/>
      <w:suff w:val="nothing"/>
      <w:lvlText w:val="（%1）"/>
      <w:lvlJc w:val="left"/>
      <w:pPr>
        <w:ind w:left="0" w:firstLine="420"/>
      </w:pPr>
      <w:rPr>
        <w:rFonts w:hint="eastAsia"/>
      </w:rPr>
    </w:lvl>
  </w:abstractNum>
  <w:num w:numId="1">
    <w:abstractNumId w:val="4"/>
  </w:num>
  <w:num w:numId="2">
    <w:abstractNumId w:val="1"/>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A01977"/>
    <w:rsid w:val="13781A27"/>
    <w:rsid w:val="1BA01977"/>
    <w:rsid w:val="20273AC0"/>
    <w:rsid w:val="30F2476F"/>
    <w:rsid w:val="4D041B01"/>
    <w:rsid w:val="6A2C6C32"/>
    <w:rsid w:val="6A6A40A3"/>
    <w:rsid w:val="6AD172CA"/>
    <w:rsid w:val="7CFD1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 w:type="paragraph" w:customStyle="1" w:styleId="7">
    <w:name w:val="协会正文"/>
    <w:basedOn w:val="1"/>
    <w:qFormat/>
    <w:uiPriority w:val="0"/>
    <w:pPr>
      <w:spacing w:before="120" w:after="120" w:line="560" w:lineRule="exact"/>
      <w:ind w:firstLine="560" w:firstLineChars="200"/>
      <w:jc w:val="left"/>
    </w:pPr>
    <w:rPr>
      <w:rFonts w:ascii="Calibri" w:hAnsi="Calibri"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2489</Words>
  <Characters>2495</Characters>
  <Lines>0</Lines>
  <Paragraphs>0</Paragraphs>
  <TotalTime>0</TotalTime>
  <ScaleCrop>false</ScaleCrop>
  <LinksUpToDate>false</LinksUpToDate>
  <CharactersWithSpaces>2500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2024-12-18T06:38:00Z</dcterms:created>
  <dc:creator>铁碎牙</dc:creator>
  <cp:lastModifiedBy>铁碎牙</cp:lastModifiedBy>
  <dcterms:modified xsi:type="dcterms:W3CDTF">2024-12-20T02:36:59Z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FFFD4A52D2C74654AFF763216AAE6629_11</vt:lpwstr>
  </property>
</Properties>
</file>