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方正小标宋简体" w:hAnsi="黑体" w:eastAsia="方正小标宋简体" w:cs="宋体"/>
          <w:sz w:val="44"/>
          <w:szCs w:val="44"/>
        </w:rPr>
      </w:pPr>
      <w:r>
        <w:rPr>
          <w:rFonts w:hint="eastAsia" w:ascii="黑体" w:hAnsi="黑体" w:eastAsia="黑体" w:cs="宋体"/>
          <w:sz w:val="32"/>
          <w:szCs w:val="32"/>
        </w:rPr>
        <w:t xml:space="preserve">附件2 </w:t>
      </w:r>
      <w:r>
        <w:rPr>
          <w:rFonts w:hint="eastAsia" w:ascii="黑体" w:hAnsi="黑体" w:eastAsia="黑体" w:cs="宋体"/>
          <w:sz w:val="24"/>
          <w:szCs w:val="24"/>
        </w:rPr>
        <w:t xml:space="preserve">                                      </w:t>
      </w:r>
      <w:r>
        <w:rPr>
          <w:rFonts w:hint="eastAsia" w:ascii="方正小标宋简体" w:hAnsi="黑体" w:eastAsia="方正小标宋简体" w:cs="宋体"/>
          <w:sz w:val="44"/>
          <w:szCs w:val="44"/>
        </w:rPr>
        <w:t xml:space="preserve"> </w:t>
      </w:r>
    </w:p>
    <w:p>
      <w:pPr>
        <w:jc w:val="center"/>
        <w:rPr>
          <w:rFonts w:ascii="方正小标宋简体" w:hAnsi="黑体" w:eastAsia="方正小标宋简体" w:cs="宋体"/>
          <w:sz w:val="36"/>
          <w:szCs w:val="36"/>
        </w:rPr>
      </w:pPr>
      <w:bookmarkStart w:id="0" w:name="_GoBack"/>
      <w:r>
        <w:rPr>
          <w:rFonts w:hint="eastAsia" w:ascii="方正小标宋简体" w:hAnsi="黑体" w:eastAsia="方正小标宋简体" w:cs="宋体"/>
          <w:sz w:val="36"/>
          <w:szCs w:val="36"/>
        </w:rPr>
        <w:t>新疆维吾尔自治区环境污染</w:t>
      </w:r>
      <w:r>
        <w:rPr>
          <w:rFonts w:hint="eastAsia" w:ascii="方正小标宋简体" w:hAnsi="黑体" w:eastAsia="方正小标宋简体" w:cs="宋体"/>
          <w:sz w:val="36"/>
          <w:szCs w:val="36"/>
          <w:lang w:val="en-US"/>
        </w:rPr>
        <w:t>防治</w:t>
      </w:r>
      <w:r>
        <w:rPr>
          <w:rFonts w:hint="eastAsia" w:ascii="方正小标宋简体" w:hAnsi="黑体" w:eastAsia="方正小标宋简体" w:cs="宋体"/>
          <w:sz w:val="36"/>
          <w:szCs w:val="36"/>
        </w:rPr>
        <w:t>工程</w:t>
      </w:r>
      <w:r>
        <w:rPr>
          <w:rFonts w:hint="eastAsia" w:ascii="方正小标宋简体" w:hAnsi="黑体" w:eastAsia="方正小标宋简体" w:cs="宋体"/>
          <w:sz w:val="36"/>
          <w:szCs w:val="36"/>
          <w:lang w:val="en-US"/>
        </w:rPr>
        <w:t>专项</w:t>
      </w:r>
      <w:r>
        <w:rPr>
          <w:rFonts w:hint="eastAsia" w:ascii="方正小标宋简体" w:hAnsi="黑体" w:eastAsia="方正小标宋简体" w:cs="宋体"/>
          <w:sz w:val="36"/>
          <w:szCs w:val="36"/>
        </w:rPr>
        <w:t>设计服务能力评价指标</w:t>
      </w:r>
    </w:p>
    <w:bookmarkEnd w:id="0"/>
    <w:tbl>
      <w:tblPr>
        <w:tblStyle w:val="2"/>
        <w:tblW w:w="5123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447"/>
        <w:gridCol w:w="1435"/>
        <w:gridCol w:w="3985"/>
        <w:gridCol w:w="3786"/>
        <w:gridCol w:w="397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  <w:jc w:val="center"/>
        </w:trPr>
        <w:tc>
          <w:tcPr>
            <w:tcW w:w="214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类别</w:t>
            </w:r>
          </w:p>
        </w:tc>
        <w:tc>
          <w:tcPr>
            <w:tcW w:w="157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序</w:t>
            </w:r>
          </w:p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号</w:t>
            </w:r>
          </w:p>
        </w:tc>
        <w:tc>
          <w:tcPr>
            <w:tcW w:w="504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指标名称</w:t>
            </w:r>
          </w:p>
        </w:tc>
        <w:tc>
          <w:tcPr>
            <w:tcW w:w="4124" w:type="pct"/>
            <w:gridSpan w:val="3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专项设计服务能力级别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214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57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504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400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甲级</w:t>
            </w:r>
          </w:p>
        </w:tc>
        <w:tc>
          <w:tcPr>
            <w:tcW w:w="1330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乙级</w:t>
            </w:r>
          </w:p>
        </w:tc>
        <w:tc>
          <w:tcPr>
            <w:tcW w:w="139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  <w:t>丙级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214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质量管理</w:t>
            </w:r>
          </w:p>
        </w:tc>
        <w:tc>
          <w:tcPr>
            <w:tcW w:w="157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</w:t>
            </w:r>
          </w:p>
        </w:tc>
        <w:tc>
          <w:tcPr>
            <w:tcW w:w="50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注册资金</w:t>
            </w:r>
          </w:p>
        </w:tc>
        <w:tc>
          <w:tcPr>
            <w:tcW w:w="1400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500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万</w:t>
            </w:r>
          </w:p>
        </w:tc>
        <w:tc>
          <w:tcPr>
            <w:tcW w:w="1330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300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万</w:t>
            </w:r>
          </w:p>
        </w:tc>
        <w:tc>
          <w:tcPr>
            <w:tcW w:w="139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100万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7" w:hRule="atLeast"/>
          <w:jc w:val="center"/>
        </w:trPr>
        <w:tc>
          <w:tcPr>
            <w:tcW w:w="214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</w:t>
            </w:r>
          </w:p>
        </w:tc>
        <w:tc>
          <w:tcPr>
            <w:tcW w:w="50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工程质量管理体系</w:t>
            </w:r>
          </w:p>
        </w:tc>
        <w:tc>
          <w:tcPr>
            <w:tcW w:w="1400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取得ISO9001等相关体系证书，证书范围覆盖环保工程设计和施工，工程项目实施过程中严格执行，相关记录完整。</w:t>
            </w:r>
          </w:p>
        </w:tc>
        <w:tc>
          <w:tcPr>
            <w:tcW w:w="1330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具备符合ISO9001要求的组织保证体系、施工保证体系、制度保证体系，并在项目实施过程中执行和优化，具有相关记录。</w:t>
            </w:r>
          </w:p>
        </w:tc>
        <w:tc>
          <w:tcPr>
            <w:tcW w:w="139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具备符合ISO9001要求的组织保证体系、施工保证体系、制度保证体系。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4" w:hRule="atLeast"/>
          <w:jc w:val="center"/>
        </w:trPr>
        <w:tc>
          <w:tcPr>
            <w:tcW w:w="214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</w:t>
            </w:r>
          </w:p>
        </w:tc>
        <w:tc>
          <w:tcPr>
            <w:tcW w:w="50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突发事件应急预案</w:t>
            </w:r>
          </w:p>
        </w:tc>
        <w:tc>
          <w:tcPr>
            <w:tcW w:w="1400" w:type="pc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outlineLvl w:val="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建立了完善的突发事件应急预案，对预警因素和应急措施考虑充分，对实际发生的紧急情况和事故作出响应或演练记录，并保存相关活动记录。</w:t>
            </w:r>
          </w:p>
        </w:tc>
        <w:tc>
          <w:tcPr>
            <w:tcW w:w="1330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建立了完善的突发事件应急预案，对预警因素和应急措施考虑充分，对实际发生的紧急情况和事故作出响应或演练记录，并保存相关活动记录。</w:t>
            </w:r>
          </w:p>
        </w:tc>
        <w:tc>
          <w:tcPr>
            <w:tcW w:w="139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建立了完善的突发事件应急预案，对预警因素和应急措施考虑充分，对实际发生的紧急情况和事故作出响应或演练记录，并保存相关活动记录。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214" w:type="pct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专业技术人员</w:t>
            </w:r>
          </w:p>
        </w:tc>
        <w:tc>
          <w:tcPr>
            <w:tcW w:w="157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</w:t>
            </w:r>
          </w:p>
        </w:tc>
        <w:tc>
          <w:tcPr>
            <w:tcW w:w="50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00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具有大学本科以上学历、5年以上从事环境工程设计经历、主持过大型环境工程设计项目不少于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项，具备注册执业资格或高级专业技术职称。</w:t>
            </w:r>
          </w:p>
        </w:tc>
        <w:tc>
          <w:tcPr>
            <w:tcW w:w="1330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具有大学本科以上学历、5年以上从事环境工程设计经历、主持过中型环境工程设计项目不少于2项、具备注册执业资格或高级专业技术职称。</w:t>
            </w:r>
          </w:p>
        </w:tc>
        <w:tc>
          <w:tcPr>
            <w:tcW w:w="139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具有3年以上从事环境工程设计经历、主持过中型环境工程设计项目不少于1项或小型环境工程设计项目不少于2项、具备注册执业资格或高级专业技术职称。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  <w:jc w:val="center"/>
        </w:trPr>
        <w:tc>
          <w:tcPr>
            <w:tcW w:w="214" w:type="pct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157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</w:t>
            </w:r>
          </w:p>
        </w:tc>
        <w:tc>
          <w:tcPr>
            <w:tcW w:w="50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技术人员</w:t>
            </w:r>
          </w:p>
        </w:tc>
        <w:tc>
          <w:tcPr>
            <w:tcW w:w="1400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具备不少于1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名以上从业人员，其中拥有环境科学与工程、环境保护等专业并熟悉行业标准、技术的高级技术职称人员5名，中级技术职称人员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名及以上。 </w:t>
            </w:r>
          </w:p>
        </w:tc>
        <w:tc>
          <w:tcPr>
            <w:tcW w:w="1330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具备不少于10名以上从业人员，其中拥有环境科学与工程、环境保护等专业并熟悉行业标准、技术的高级技术职称人员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名，中级技术职称人员5名及以上。</w:t>
            </w:r>
          </w:p>
        </w:tc>
        <w:tc>
          <w:tcPr>
            <w:tcW w:w="139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具备不少于有6名以上从业人员，其中拥有环境科学与工程、环境保护等专业并熟悉行业标准、技术的高级技术职称人员1名及以上，中级技术职称人员2名及以上。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21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工程业绩</w:t>
            </w:r>
          </w:p>
        </w:tc>
        <w:tc>
          <w:tcPr>
            <w:tcW w:w="157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6</w:t>
            </w:r>
          </w:p>
        </w:tc>
        <w:tc>
          <w:tcPr>
            <w:tcW w:w="504" w:type="pc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工程业绩</w:t>
            </w:r>
          </w:p>
        </w:tc>
        <w:tc>
          <w:tcPr>
            <w:tcW w:w="1400" w:type="pc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独立设计过所申请专项类别中型环境工程项目不少于3项，且独立或参与设计过大型环境工程项目不少于2项，工程竣工并通过环境保护行政主管部门组织的验收。</w:t>
            </w:r>
          </w:p>
        </w:tc>
        <w:tc>
          <w:tcPr>
            <w:tcW w:w="1330" w:type="pct"/>
            <w:tcMar>
              <w:left w:w="57" w:type="dxa"/>
              <w:right w:w="57" w:type="dxa"/>
            </w:tcMar>
            <w:vAlign w:val="center"/>
          </w:tcPr>
          <w:p>
            <w:pPr>
              <w:widowControl/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独立设计过所申请专项类别小型环境工程项目不少于3项，且独立或参与设计过中型环境工程项目不少于2项，工程竣工并通过环境保护行政主管部门组织的验收。</w:t>
            </w:r>
          </w:p>
        </w:tc>
        <w:tc>
          <w:tcPr>
            <w:tcW w:w="1394" w:type="pct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独立或参与设计过所申请专项类别小型环境工程项目不少于3项，工程竣工并通过环境保护行政主管部门组织的验收。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5000" w:type="pct"/>
            <w:gridSpan w:val="6"/>
            <w:tcMar>
              <w:left w:w="57" w:type="dxa"/>
              <w:right w:w="57" w:type="dxa"/>
            </w:tcMar>
            <w:vAlign w:val="center"/>
          </w:tcPr>
          <w:p>
            <w:pPr>
              <w:adjustRightInd w:val="0"/>
              <w:snapToGrid w:val="0"/>
              <w:spacing w:line="260" w:lineRule="exact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*：对特殊行业污染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  <w:t>防治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工程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  <w:t>专项设计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服务能力由专家现场核定级别。</w:t>
            </w:r>
          </w:p>
        </w:tc>
      </w:tr>
    </w:tbl>
    <w:tbl>
      <w:tblPr>
        <w:tblStyle w:val="2"/>
        <w:tblpPr w:leftFromText="180" w:rightFromText="180" w:vertAnchor="text" w:horzAnchor="page" w:tblpX="957" w:tblpY="291"/>
        <w:tblOverlap w:val="never"/>
        <w:tblW w:w="146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"/>
        <w:gridCol w:w="2264"/>
        <w:gridCol w:w="3233"/>
        <w:gridCol w:w="2738"/>
        <w:gridCol w:w="1695"/>
        <w:gridCol w:w="2014"/>
        <w:gridCol w:w="18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06" w:type="dxa"/>
            <w:vMerge w:val="restart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工程规模划分表</w:t>
            </w:r>
          </w:p>
        </w:tc>
        <w:tc>
          <w:tcPr>
            <w:tcW w:w="5497" w:type="dxa"/>
            <w:gridSpan w:val="2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环境污染治理工程类别</w:t>
            </w:r>
          </w:p>
        </w:tc>
        <w:tc>
          <w:tcPr>
            <w:tcW w:w="273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单位</w:t>
            </w:r>
          </w:p>
        </w:tc>
        <w:tc>
          <w:tcPr>
            <w:tcW w:w="1695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大型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中型</w:t>
            </w:r>
          </w:p>
        </w:tc>
        <w:tc>
          <w:tcPr>
            <w:tcW w:w="181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小型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水污染治理工程</w:t>
            </w:r>
          </w:p>
        </w:tc>
        <w:tc>
          <w:tcPr>
            <w:tcW w:w="3233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工业废水治理工程</w:t>
            </w:r>
          </w:p>
        </w:tc>
        <w:tc>
          <w:tcPr>
            <w:tcW w:w="273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废水量：吨/日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≥5000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1000-5000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&lt;1000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233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73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COD负荷：公斤/日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≥10000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000-10000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4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一般生活污水治理工程</w:t>
            </w:r>
          </w:p>
        </w:tc>
        <w:tc>
          <w:tcPr>
            <w:tcW w:w="273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污水量：吨/日</w:t>
            </w:r>
          </w:p>
        </w:tc>
        <w:tc>
          <w:tcPr>
            <w:tcW w:w="1695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≥20000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000-20000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8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中水回用工程</w:t>
            </w:r>
          </w:p>
        </w:tc>
        <w:tc>
          <w:tcPr>
            <w:tcW w:w="273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水量：吨/日</w:t>
            </w:r>
          </w:p>
        </w:tc>
        <w:tc>
          <w:tcPr>
            <w:tcW w:w="1695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≥10000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2000-10000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&lt;2000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大气污染治理工程</w:t>
            </w: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工业蒸汽锅炉烟气治理</w:t>
            </w:r>
          </w:p>
        </w:tc>
        <w:tc>
          <w:tcPr>
            <w:tcW w:w="27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单台装机容量：蒸吨/小时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≥65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3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-65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发电锅炉烟气治理</w:t>
            </w:r>
          </w:p>
        </w:tc>
        <w:tc>
          <w:tcPr>
            <w:tcW w:w="27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单台装机容量：兆瓦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≥100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25-100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工业窑炉烟气治理</w:t>
            </w:r>
          </w:p>
        </w:tc>
        <w:tc>
          <w:tcPr>
            <w:tcW w:w="27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废气量：万立方米/小时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≥20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6-20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其他工业废气治理</w:t>
            </w:r>
          </w:p>
        </w:tc>
        <w:tc>
          <w:tcPr>
            <w:tcW w:w="27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废气量：万立方米/小时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≥10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3-10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固体废弃物处理处置工程</w:t>
            </w: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一般工业固体废弃物处理与利用</w:t>
            </w:r>
          </w:p>
        </w:tc>
        <w:tc>
          <w:tcPr>
            <w:tcW w:w="27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投资额：万元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≥2000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500-2000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&lt;500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危险废物处理处置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（其中医疗废物处理）</w:t>
            </w:r>
          </w:p>
        </w:tc>
        <w:tc>
          <w:tcPr>
            <w:tcW w:w="27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处理量：吨/日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≥20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（≥10）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10-20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（5-10）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&lt;10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 xml:space="preserve"> （&lt;5）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生活垃圾焚烧</w:t>
            </w:r>
          </w:p>
        </w:tc>
        <w:tc>
          <w:tcPr>
            <w:tcW w:w="27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处理量：吨/日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50-200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卫生填埋工程</w:t>
            </w:r>
          </w:p>
        </w:tc>
        <w:tc>
          <w:tcPr>
            <w:tcW w:w="27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处理量：吨/日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≥500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200-500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生活垃圾堆肥</w:t>
            </w:r>
          </w:p>
        </w:tc>
        <w:tc>
          <w:tcPr>
            <w:tcW w:w="27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处理量：吨/日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≥300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100-300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污泥处理处置工程</w:t>
            </w:r>
          </w:p>
        </w:tc>
        <w:tc>
          <w:tcPr>
            <w:tcW w:w="273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处理量：吨/日</w:t>
            </w:r>
          </w:p>
        </w:tc>
        <w:tc>
          <w:tcPr>
            <w:tcW w:w="1695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≥200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50-200</w:t>
            </w:r>
          </w:p>
        </w:tc>
        <w:tc>
          <w:tcPr>
            <w:tcW w:w="18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≤50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restart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物理污染治理工程</w:t>
            </w: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噪声与震动治理</w:t>
            </w:r>
          </w:p>
        </w:tc>
        <w:tc>
          <w:tcPr>
            <w:tcW w:w="273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投资额：万元</w:t>
            </w:r>
          </w:p>
        </w:tc>
        <w:tc>
          <w:tcPr>
            <w:tcW w:w="1695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≥150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50-150</w:t>
            </w:r>
          </w:p>
        </w:tc>
        <w:tc>
          <w:tcPr>
            <w:tcW w:w="181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vMerge w:val="continue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电磁污染防治</w:t>
            </w:r>
          </w:p>
        </w:tc>
        <w:tc>
          <w:tcPr>
            <w:tcW w:w="273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投资额：万元</w:t>
            </w:r>
          </w:p>
        </w:tc>
        <w:tc>
          <w:tcPr>
            <w:tcW w:w="1695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≥400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100-400</w:t>
            </w:r>
          </w:p>
        </w:tc>
        <w:tc>
          <w:tcPr>
            <w:tcW w:w="181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&lt;100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环境修复工程</w:t>
            </w: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污染水体修复工程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污染土壤修复工程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污染场地修复工程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湿地修复工程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矿山修复工程</w:t>
            </w:r>
          </w:p>
        </w:tc>
        <w:tc>
          <w:tcPr>
            <w:tcW w:w="273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投资额：万元</w:t>
            </w:r>
          </w:p>
        </w:tc>
        <w:tc>
          <w:tcPr>
            <w:tcW w:w="1695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≥3000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500-3000</w:t>
            </w:r>
          </w:p>
        </w:tc>
        <w:tc>
          <w:tcPr>
            <w:tcW w:w="181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/>
              </w:rPr>
              <w:t>5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exact"/>
        </w:trPr>
        <w:tc>
          <w:tcPr>
            <w:tcW w:w="906" w:type="dxa"/>
            <w:vMerge w:val="continue"/>
            <w:tcMar>
              <w:left w:w="57" w:type="dxa"/>
              <w:right w:w="57" w:type="dxa"/>
            </w:tcMar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4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  <w:tc>
          <w:tcPr>
            <w:tcW w:w="226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环境自动监控系统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工程</w:t>
            </w:r>
          </w:p>
        </w:tc>
        <w:tc>
          <w:tcPr>
            <w:tcW w:w="3233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水污染治理工程自动监控系统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大气污染治理工程自动监控系统</w:t>
            </w:r>
          </w:p>
        </w:tc>
        <w:tc>
          <w:tcPr>
            <w:tcW w:w="2738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投资额：万元</w:t>
            </w:r>
          </w:p>
        </w:tc>
        <w:tc>
          <w:tcPr>
            <w:tcW w:w="1695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≥500</w:t>
            </w:r>
          </w:p>
        </w:tc>
        <w:tc>
          <w:tcPr>
            <w:tcW w:w="2014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100-500</w:t>
            </w:r>
          </w:p>
        </w:tc>
        <w:tc>
          <w:tcPr>
            <w:tcW w:w="1814" w:type="dxa"/>
            <w:tcMar>
              <w:left w:w="57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&lt;100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 w:val="0"/>
        <w:autoSpaceDN w:val="0"/>
        <w:bidi w:val="0"/>
        <w:spacing w:line="240" w:lineRule="exact"/>
        <w:textAlignment w:val="auto"/>
        <w:sectPr>
          <w:pgSz w:w="16838" w:h="11906" w:orient="landscape"/>
          <w:pgMar w:top="1531" w:right="1531" w:bottom="1531" w:left="1531" w:header="851" w:footer="992" w:gutter="0"/>
          <w:pgNumType w:fmt="decimal"/>
          <w:cols w:space="425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zZWYxNTAyYzMyM2NhZTI4NjcxZGFhODM0NzM4MjEifQ=="/>
  </w:docVars>
  <w:rsids>
    <w:rsidRoot w:val="7CBE3098"/>
    <w:rsid w:val="7CBE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2023-07-05T10:31:00Z</dcterms:created>
  <dc:creator>❤ </dc:creator>
  <cp:lastModifiedBy>❤ </cp:lastModifiedBy>
  <dcterms:modified xsi:type="dcterms:W3CDTF">2023-07-05T10:32:52Z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C406ED0F1F00452C9987A204E7CFA46A_11</vt:lpwstr>
  </property>
</Properties>
</file>