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B5206">
      <w:pPr>
        <w:spacing w:line="560" w:lineRule="exact"/>
        <w:jc w:val="left"/>
        <w:rPr>
          <w:rFonts w:hint="eastAsia" w:ascii="黑体" w:hAnsi="黑体" w:eastAsia="黑体" w:cs="黑体"/>
          <w:color w:val="auto"/>
          <w:sz w:val="32"/>
          <w:szCs w:val="32"/>
          <w:lang w:val="en-US" w:eastAsia="zh-CN"/>
        </w:rPr>
      </w:pPr>
      <w:bookmarkStart w:id="1" w:name="_GoBack"/>
      <w:bookmarkEnd w:id="1"/>
      <w:r>
        <w:rPr>
          <w:rFonts w:hint="eastAsia" w:ascii="黑体" w:hAnsi="黑体" w:eastAsia="黑体" w:cs="黑体"/>
          <w:color w:val="auto"/>
          <w:sz w:val="32"/>
          <w:szCs w:val="32"/>
          <w:lang w:val="en-US" w:eastAsia="zh-CN"/>
        </w:rPr>
        <w:t>附件：</w:t>
      </w:r>
    </w:p>
    <w:p w14:paraId="3455CBF1">
      <w:pPr>
        <w:spacing w:line="560" w:lineRule="exact"/>
        <w:jc w:val="center"/>
        <w:rPr>
          <w:rFonts w:hint="eastAsia" w:ascii="方正小标宋_GBK" w:hAnsi="方正小标宋_GBK" w:eastAsia="方正小标宋_GBK" w:cs="方正小标宋_GBK"/>
          <w:color w:val="auto"/>
          <w:sz w:val="44"/>
          <w:szCs w:val="44"/>
          <w:lang w:eastAsia="zh-CN"/>
        </w:rPr>
      </w:pPr>
    </w:p>
    <w:p w14:paraId="7A006D8C">
      <w:pPr>
        <w:spacing w:line="560" w:lineRule="exact"/>
        <w:jc w:val="center"/>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新疆维吾尔</w:t>
      </w:r>
      <w:r>
        <w:rPr>
          <w:rFonts w:hint="eastAsia" w:ascii="方正小标宋_GBK" w:hAnsi="方正小标宋_GBK" w:eastAsia="方正小标宋_GBK" w:cs="方正小标宋_GBK"/>
          <w:color w:val="auto"/>
          <w:sz w:val="44"/>
          <w:szCs w:val="44"/>
        </w:rPr>
        <w:t>自治区污染源自动</w:t>
      </w:r>
      <w:r>
        <w:rPr>
          <w:rFonts w:hint="eastAsia" w:ascii="方正小标宋_GBK" w:hAnsi="方正小标宋_GBK" w:eastAsia="方正小标宋_GBK" w:cs="方正小标宋_GBK"/>
          <w:color w:val="auto"/>
          <w:sz w:val="44"/>
          <w:szCs w:val="44"/>
          <w:lang w:eastAsia="zh-CN"/>
        </w:rPr>
        <w:t>监测设备</w:t>
      </w:r>
    </w:p>
    <w:p w14:paraId="7215CFF6">
      <w:pPr>
        <w:spacing w:line="560"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管理</w:t>
      </w:r>
      <w:r>
        <w:rPr>
          <w:rFonts w:hint="eastAsia" w:ascii="方正小标宋_GBK" w:hAnsi="方正小标宋_GBK" w:eastAsia="方正小标宋_GBK" w:cs="方正小标宋_GBK"/>
          <w:color w:val="auto"/>
          <w:sz w:val="44"/>
          <w:szCs w:val="44"/>
          <w:lang w:eastAsia="zh-CN"/>
        </w:rPr>
        <w:t>办法（试行）</w:t>
      </w:r>
      <w:r>
        <w:rPr>
          <w:rFonts w:hint="eastAsia" w:ascii="方正小标宋_GBK" w:hAnsi="方正小标宋_GBK" w:eastAsia="方正小标宋_GBK" w:cs="方正小标宋_GBK"/>
          <w:color w:val="auto"/>
          <w:sz w:val="44"/>
          <w:szCs w:val="44"/>
        </w:rPr>
        <w:t xml:space="preserve"> </w:t>
      </w:r>
    </w:p>
    <w:p w14:paraId="101F2C87">
      <w:pPr>
        <w:spacing w:line="560" w:lineRule="exact"/>
        <w:jc w:val="center"/>
        <w:rPr>
          <w:rFonts w:hint="eastAsia"/>
          <w:color w:val="auto"/>
        </w:rPr>
      </w:pPr>
      <w:r>
        <w:rPr>
          <w:color w:val="auto"/>
        </w:rPr>
        <w:t>（征求意见稿）</w:t>
      </w:r>
    </w:p>
    <w:p w14:paraId="00FFD777">
      <w:pPr>
        <w:pStyle w:val="27"/>
        <w:spacing w:before="296" w:after="296" w:line="560" w:lineRule="exact"/>
        <w:rPr>
          <w:color w:val="auto"/>
        </w:rPr>
      </w:pPr>
      <w:r>
        <w:rPr>
          <w:color w:val="auto"/>
        </w:rPr>
        <w:t>第一章 总则</w:t>
      </w:r>
    </w:p>
    <w:p w14:paraId="6C923ACF">
      <w:pPr>
        <w:spacing w:line="560" w:lineRule="exact"/>
        <w:ind w:firstLine="616" w:firstLineChars="200"/>
        <w:rPr>
          <w:rFonts w:hint="eastAsia"/>
          <w:color w:val="auto"/>
        </w:rPr>
      </w:pPr>
      <w:r>
        <w:rPr>
          <w:rFonts w:hint="eastAsia" w:ascii="黑体" w:hAnsi="黑体" w:eastAsia="黑体" w:cs="黑体"/>
          <w:color w:val="auto"/>
        </w:rPr>
        <w:t>第一条</w:t>
      </w:r>
      <w:r>
        <w:rPr>
          <w:rFonts w:hint="eastAsia"/>
          <w:color w:val="auto"/>
        </w:rPr>
        <w:t xml:space="preserve">  </w:t>
      </w:r>
      <w:r>
        <w:rPr>
          <w:color w:val="auto"/>
        </w:rPr>
        <w:t>为规范我区重点单位污染源自动</w:t>
      </w:r>
      <w:r>
        <w:rPr>
          <w:rFonts w:hint="eastAsia"/>
          <w:color w:val="auto"/>
          <w:lang w:eastAsia="zh-CN"/>
        </w:rPr>
        <w:t>监控</w:t>
      </w:r>
      <w:r>
        <w:rPr>
          <w:color w:val="auto"/>
        </w:rPr>
        <w:t>工作，根据《中华人民共和国环境保护法》《中华人民共和国水污染防治法》《中华人民共和国大气污染防治法》</w:t>
      </w:r>
      <w:r>
        <w:rPr>
          <w:rFonts w:hint="eastAsia"/>
          <w:color w:val="auto"/>
        </w:rPr>
        <w:t>《中华人民共和国计量法》</w:t>
      </w:r>
      <w:r>
        <w:rPr>
          <w:color w:val="auto"/>
        </w:rPr>
        <w:t>《排污许可管理条例》《污染源自动监控管理办法》《污染源自动监控设施现场监督检查办法》等法律法规</w:t>
      </w:r>
      <w:r>
        <w:rPr>
          <w:rFonts w:hint="eastAsia"/>
          <w:color w:val="auto"/>
        </w:rPr>
        <w:t>及</w:t>
      </w:r>
      <w:r>
        <w:rPr>
          <w:color w:val="auto"/>
        </w:rPr>
        <w:t>有关规定，结合我区实际</w:t>
      </w:r>
      <w:r>
        <w:rPr>
          <w:rFonts w:hint="eastAsia"/>
          <w:color w:val="auto"/>
        </w:rPr>
        <w:t>，</w:t>
      </w:r>
      <w:r>
        <w:rPr>
          <w:color w:val="auto"/>
        </w:rPr>
        <w:t>制定本办法。</w:t>
      </w:r>
    </w:p>
    <w:p w14:paraId="5CA21E0D">
      <w:pPr>
        <w:spacing w:line="560" w:lineRule="exact"/>
        <w:ind w:firstLine="616" w:firstLineChars="200"/>
        <w:rPr>
          <w:rFonts w:hint="eastAsia"/>
          <w:color w:val="auto"/>
        </w:rPr>
      </w:pPr>
      <w:r>
        <w:rPr>
          <w:rFonts w:hint="eastAsia" w:ascii="黑体" w:hAnsi="黑体" w:eastAsia="黑体" w:cs="黑体"/>
          <w:color w:val="auto"/>
        </w:rPr>
        <w:t>第二条</w:t>
      </w:r>
      <w:r>
        <w:rPr>
          <w:rFonts w:hint="eastAsia"/>
          <w:color w:val="auto"/>
        </w:rPr>
        <w:t>　</w:t>
      </w:r>
      <w:r>
        <w:rPr>
          <w:color w:val="auto"/>
        </w:rPr>
        <w:t>本办法适用于我区重点</w:t>
      </w:r>
      <w:r>
        <w:rPr>
          <w:rFonts w:hint="eastAsia"/>
          <w:color w:val="auto"/>
        </w:rPr>
        <w:t>排污</w:t>
      </w:r>
      <w:r>
        <w:rPr>
          <w:color w:val="auto"/>
        </w:rPr>
        <w:t>单位</w:t>
      </w:r>
      <w:r>
        <w:rPr>
          <w:rFonts w:hint="eastAsia"/>
          <w:color w:val="auto"/>
        </w:rPr>
        <w:t>（以下简称“重点单位”）</w:t>
      </w:r>
      <w:r>
        <w:rPr>
          <w:color w:val="auto"/>
        </w:rPr>
        <w:t>污染源自动</w:t>
      </w:r>
      <w:r>
        <w:rPr>
          <w:rFonts w:hint="eastAsia"/>
          <w:color w:val="auto"/>
          <w:lang w:eastAsia="zh-CN"/>
        </w:rPr>
        <w:t>监测设备</w:t>
      </w:r>
      <w:r>
        <w:rPr>
          <w:color w:val="auto"/>
        </w:rPr>
        <w:t>管理。重点单位是指依照《排污许可管理条例》应当实施自动监测的排污单位</w:t>
      </w:r>
      <w:r>
        <w:rPr>
          <w:rFonts w:hint="eastAsia"/>
          <w:color w:val="auto"/>
        </w:rPr>
        <w:t>，包括废水、废气重点单位和排污许可证中明确应实施自动</w:t>
      </w:r>
      <w:r>
        <w:rPr>
          <w:rFonts w:hint="eastAsia"/>
          <w:color w:val="auto"/>
          <w:lang w:eastAsia="zh-CN"/>
        </w:rPr>
        <w:t>监测</w:t>
      </w:r>
      <w:r>
        <w:rPr>
          <w:rFonts w:hint="eastAsia"/>
          <w:color w:val="auto"/>
        </w:rPr>
        <w:t>的重点单位</w:t>
      </w:r>
      <w:r>
        <w:rPr>
          <w:color w:val="auto"/>
        </w:rPr>
        <w:t>。</w:t>
      </w:r>
    </w:p>
    <w:p w14:paraId="0D4C1CEE">
      <w:pPr>
        <w:spacing w:line="560" w:lineRule="exact"/>
        <w:ind w:firstLine="616" w:firstLineChars="200"/>
        <w:rPr>
          <w:rFonts w:hint="eastAsia" w:cs="Times New Roman"/>
          <w:color w:val="auto"/>
          <w:lang w:val="en-US" w:eastAsia="zh-CN"/>
        </w:rPr>
      </w:pPr>
      <w:r>
        <w:rPr>
          <w:rFonts w:hint="eastAsia" w:ascii="黑体" w:hAnsi="黑体" w:eastAsia="黑体" w:cs="黑体"/>
          <w:color w:val="auto"/>
          <w:lang w:val="en-US" w:eastAsia="zh-CN"/>
        </w:rPr>
        <w:t>第三条</w:t>
      </w:r>
      <w:r>
        <w:rPr>
          <w:rFonts w:hint="eastAsia" w:cs="Times New Roman"/>
          <w:color w:val="auto"/>
          <w:lang w:val="en-US" w:eastAsia="zh-CN"/>
        </w:rPr>
        <w:t xml:space="preserve">  本办法所称污染物自动监测设备（以下简称“自动监测设备”），指安装于重点单位现场端用于直接或间接监测其有组织排放污染物浓度、速率等的自动监测设备</w:t>
      </w:r>
      <w:r>
        <w:rPr>
          <w:rFonts w:hint="eastAsia" w:ascii="仿宋_GB2312" w:hAnsi="仿宋_GB2312" w:eastAsia="仿宋_GB2312" w:cs="仿宋_GB2312"/>
          <w:color w:val="auto"/>
          <w:lang w:val="en-US" w:eastAsia="zh-CN"/>
        </w:rPr>
        <w:t>[</w:t>
      </w:r>
      <w:r>
        <w:rPr>
          <w:rFonts w:hint="eastAsia" w:cs="Times New Roman"/>
          <w:color w:val="auto"/>
          <w:lang w:val="en-US" w:eastAsia="zh-CN"/>
        </w:rPr>
        <w:t>包括用于连续监测废气污染物排放的仪器设备（CEMS）、用于连续监测废水污染物排放的仪器设备（WEMS）</w:t>
      </w:r>
      <w:r>
        <w:rPr>
          <w:rFonts w:hint="eastAsia" w:ascii="仿宋_GB2312" w:hAnsi="仿宋_GB2312" w:eastAsia="仿宋_GB2312" w:cs="仿宋_GB2312"/>
          <w:color w:val="auto"/>
          <w:lang w:val="en-US" w:eastAsia="zh-CN"/>
        </w:rPr>
        <w:t>]</w:t>
      </w:r>
      <w:r>
        <w:rPr>
          <w:rFonts w:hint="eastAsia" w:cs="Times New Roman"/>
          <w:color w:val="auto"/>
          <w:lang w:val="en-US" w:eastAsia="zh-CN"/>
        </w:rPr>
        <w:t xml:space="preserve">及流量（速）计、数据采集传输仪等。 </w:t>
      </w:r>
    </w:p>
    <w:p w14:paraId="0BBF1C40">
      <w:pPr>
        <w:spacing w:line="560" w:lineRule="exact"/>
        <w:ind w:firstLine="616" w:firstLineChars="200"/>
        <w:rPr>
          <w:rFonts w:hint="eastAsia"/>
          <w:b/>
          <w:bCs/>
          <w:color w:val="auto"/>
        </w:rPr>
      </w:pPr>
      <w:r>
        <w:rPr>
          <w:rFonts w:hint="eastAsia" w:ascii="黑体" w:hAnsi="黑体" w:eastAsia="黑体" w:cs="黑体"/>
          <w:color w:val="auto"/>
        </w:rPr>
        <w:t>第四条</w:t>
      </w:r>
      <w:r>
        <w:rPr>
          <w:rFonts w:hint="eastAsia"/>
          <w:color w:val="auto"/>
        </w:rPr>
        <w:t xml:space="preserve"> </w:t>
      </w:r>
      <w:r>
        <w:rPr>
          <w:rFonts w:hint="eastAsia"/>
          <w:color w:val="auto"/>
          <w:lang w:val="en-US" w:eastAsia="zh-CN"/>
        </w:rPr>
        <w:t xml:space="preserve"> </w:t>
      </w:r>
      <w:r>
        <w:rPr>
          <w:rFonts w:hint="eastAsia"/>
          <w:color w:val="auto"/>
        </w:rPr>
        <w:t>重点单位对自动</w:t>
      </w:r>
      <w:r>
        <w:rPr>
          <w:rFonts w:hint="eastAsia"/>
          <w:color w:val="auto"/>
          <w:lang w:eastAsia="zh-CN"/>
        </w:rPr>
        <w:t>监测</w:t>
      </w:r>
      <w:r>
        <w:rPr>
          <w:rFonts w:hint="eastAsia"/>
          <w:color w:val="auto"/>
        </w:rPr>
        <w:t>设备的建设、运行和维护承担主体责任，相关费用由单位自筹。</w:t>
      </w:r>
    </w:p>
    <w:p w14:paraId="171C327A">
      <w:pPr>
        <w:pStyle w:val="27"/>
        <w:spacing w:before="296" w:after="296" w:line="560" w:lineRule="exact"/>
        <w:rPr>
          <w:rFonts w:hint="eastAsia" w:eastAsia="黑体"/>
          <w:color w:val="auto"/>
          <w:lang w:eastAsia="zh-CN"/>
        </w:rPr>
      </w:pPr>
      <w:r>
        <w:rPr>
          <w:color w:val="auto"/>
        </w:rPr>
        <w:t>第二章  仪器设备选用</w:t>
      </w:r>
    </w:p>
    <w:p w14:paraId="285760F0">
      <w:pPr>
        <w:pStyle w:val="16"/>
        <w:widowControl/>
        <w:shd w:val="clear" w:color="auto" w:fill="FFFFFF"/>
        <w:spacing w:beforeAutospacing="0" w:afterAutospacing="0" w:line="560" w:lineRule="exact"/>
        <w:ind w:firstLine="645"/>
        <w:jc w:val="both"/>
        <w:rPr>
          <w:rFonts w:hint="eastAsia" w:ascii="微软雅黑" w:hAnsi="微软雅黑" w:eastAsia="微软雅黑" w:cs="微软雅黑"/>
          <w:color w:val="auto"/>
          <w:spacing w:val="0"/>
          <w:sz w:val="27"/>
          <w:szCs w:val="27"/>
        </w:rPr>
      </w:pPr>
      <w:r>
        <w:rPr>
          <w:rFonts w:hint="eastAsia" w:ascii="黑体" w:hAnsi="黑体" w:eastAsia="黑体" w:cs="黑体"/>
          <w:color w:val="auto"/>
          <w:spacing w:val="-6"/>
          <w:kern w:val="2"/>
          <w:sz w:val="32"/>
          <w:szCs w:val="32"/>
          <w:lang w:val="en-US" w:eastAsia="zh-CN" w:bidi="ar-SA"/>
        </w:rPr>
        <w:t>第五条</w:t>
      </w:r>
      <w:r>
        <w:rPr>
          <w:rFonts w:hint="eastAsia" w:ascii="黑体" w:hAnsi="黑体" w:eastAsia="黑体" w:cs="黑体"/>
          <w:color w:val="auto"/>
          <w:kern w:val="2"/>
          <w:sz w:val="32"/>
        </w:rPr>
        <w:t>　</w:t>
      </w:r>
      <w:r>
        <w:rPr>
          <w:color w:val="auto"/>
          <w:kern w:val="2"/>
          <w:sz w:val="32"/>
        </w:rPr>
        <w:t>自动监测设备须符合下列</w:t>
      </w:r>
      <w:r>
        <w:rPr>
          <w:rFonts w:hint="eastAsia"/>
          <w:color w:val="auto"/>
          <w:kern w:val="2"/>
          <w:sz w:val="32"/>
          <w:lang w:val="en-US" w:eastAsia="zh-CN"/>
        </w:rPr>
        <w:t>条件</w:t>
      </w:r>
      <w:r>
        <w:rPr>
          <w:color w:val="auto"/>
          <w:kern w:val="2"/>
          <w:sz w:val="32"/>
        </w:rPr>
        <w:t>：</w:t>
      </w:r>
    </w:p>
    <w:p w14:paraId="67CAFFED">
      <w:pPr>
        <w:pStyle w:val="27"/>
        <w:spacing w:before="0" w:beforeLines="0" w:after="0" w:afterLines="0" w:line="560" w:lineRule="exact"/>
        <w:ind w:firstLine="616" w:firstLineChars="200"/>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（一）</w:t>
      </w:r>
      <w:r>
        <w:rPr>
          <w:rFonts w:hint="eastAsia" w:ascii="仿宋_GB2312" w:hAnsi="仿宋_GB2312" w:eastAsia="仿宋_GB2312" w:cs="仿宋_GB2312"/>
          <w:color w:val="auto"/>
          <w:lang w:val="en-US" w:eastAsia="zh-CN"/>
        </w:rPr>
        <w:t>具备</w:t>
      </w:r>
      <w:r>
        <w:rPr>
          <w:rFonts w:hint="eastAsia" w:ascii="仿宋_GB2312" w:hAnsi="仿宋_GB2312" w:eastAsia="仿宋_GB2312" w:cs="仿宋_GB2312"/>
          <w:color w:val="auto"/>
        </w:rPr>
        <w:t>适用性检测合格</w:t>
      </w:r>
      <w:r>
        <w:rPr>
          <w:rFonts w:hint="eastAsia" w:ascii="仿宋_GB2312" w:hAnsi="仿宋_GB2312" w:eastAsia="仿宋_GB2312" w:cs="仿宋_GB2312"/>
          <w:color w:val="auto"/>
          <w:lang w:val="en-US" w:eastAsia="zh-CN"/>
        </w:rPr>
        <w:t>证书</w:t>
      </w:r>
      <w:r>
        <w:rPr>
          <w:rFonts w:hint="eastAsia" w:ascii="仿宋_GB2312" w:hAnsi="仿宋_GB2312" w:eastAsia="仿宋_GB2312" w:cs="仿宋_GB2312"/>
          <w:color w:val="auto"/>
        </w:rPr>
        <w:t>、计量器具</w:t>
      </w:r>
      <w:r>
        <w:rPr>
          <w:rFonts w:hint="eastAsia" w:ascii="仿宋_GB2312" w:hAnsi="仿宋_GB2312" w:eastAsia="仿宋_GB2312" w:cs="仿宋_GB2312"/>
          <w:color w:val="auto"/>
          <w:lang w:val="en-US" w:eastAsia="zh-CN"/>
        </w:rPr>
        <w:t>型式批准证书</w:t>
      </w:r>
      <w:r>
        <w:rPr>
          <w:rFonts w:hint="eastAsia" w:ascii="仿宋_GB2312" w:hAnsi="仿宋_GB2312" w:eastAsia="仿宋_GB2312" w:cs="仿宋_GB2312"/>
          <w:color w:val="auto"/>
        </w:rPr>
        <w:t>[CP</w:t>
      </w:r>
      <w:r>
        <w:rPr>
          <w:rFonts w:hint="eastAsia" w:ascii="仿宋_GB2312" w:hAnsi="仿宋_GB2312" w:eastAsia="仿宋_GB2312" w:cs="仿宋_GB2312"/>
          <w:color w:val="auto"/>
          <w:lang w:val="en-US" w:eastAsia="zh-CN"/>
        </w:rPr>
        <w:t>A</w:t>
      </w:r>
      <w:r>
        <w:rPr>
          <w:rFonts w:hint="eastAsia" w:ascii="仿宋_GB2312" w:hAnsi="仿宋_GB2312" w:eastAsia="仿宋_GB2312" w:cs="仿宋_GB2312"/>
          <w:color w:val="auto"/>
        </w:rPr>
        <w:t>]、中国环境保护产品认证[CCEP]标识</w:t>
      </w:r>
      <w:r>
        <w:rPr>
          <w:rFonts w:hint="eastAsia" w:ascii="仿宋_GB2312" w:hAnsi="仿宋_GB2312" w:eastAsia="仿宋_GB2312" w:cs="仿宋_GB2312"/>
          <w:color w:val="auto"/>
          <w:lang w:eastAsia="zh-CN"/>
        </w:rPr>
        <w:t>；</w:t>
      </w:r>
    </w:p>
    <w:p w14:paraId="6D7367ED">
      <w:pPr>
        <w:pStyle w:val="27"/>
        <w:spacing w:before="0" w:beforeLines="0" w:after="0" w:afterLines="0" w:line="560" w:lineRule="exact"/>
        <w:ind w:firstLine="616" w:firstLineChars="200"/>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（二）</w:t>
      </w:r>
      <w:r>
        <w:rPr>
          <w:rFonts w:hint="eastAsia" w:ascii="仿宋_GB2312" w:hAnsi="仿宋_GB2312" w:eastAsia="仿宋_GB2312" w:cs="仿宋_GB2312"/>
          <w:color w:val="auto"/>
          <w:lang w:val="en-US" w:eastAsia="zh-CN"/>
        </w:rPr>
        <w:t>具有符合 HJ 212-2025 标准的唯一标识编码，编码应包含厂商识别代码、产品类别代码、校验位和产品序列号，确保全国唯一性</w:t>
      </w:r>
      <w:r>
        <w:rPr>
          <w:rFonts w:hint="eastAsia" w:ascii="仿宋_GB2312" w:hAnsi="仿宋_GB2312" w:eastAsia="仿宋_GB2312" w:cs="仿宋_GB2312"/>
          <w:color w:val="auto"/>
          <w:lang w:eastAsia="zh-CN"/>
        </w:rPr>
        <w:t>；</w:t>
      </w:r>
    </w:p>
    <w:p w14:paraId="73333F58">
      <w:pPr>
        <w:pStyle w:val="27"/>
        <w:spacing w:before="0" w:beforeLines="0" w:after="0" w:afterLines="0" w:line="560" w:lineRule="exact"/>
        <w:ind w:firstLine="616" w:firstLineChars="200"/>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三</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w:t>
      </w:r>
      <w:r>
        <w:rPr>
          <w:rFonts w:hint="eastAsia" w:ascii="仿宋_GB2312" w:hAnsi="仿宋_GB2312" w:eastAsia="仿宋_GB2312" w:cs="仿宋_GB2312"/>
          <w:color w:val="auto"/>
        </w:rPr>
        <w:t>达到超低排放标准的，应优先选用紫外法及傅里叶红外法测量原理</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CEMS</w:t>
      </w:r>
      <w:r>
        <w:rPr>
          <w:rFonts w:hint="eastAsia" w:ascii="仿宋_GB2312" w:hAnsi="仿宋_GB2312" w:eastAsia="仿宋_GB2312" w:cs="仿宋_GB2312"/>
          <w:color w:val="auto"/>
          <w:lang w:eastAsia="zh-CN"/>
        </w:rPr>
        <w:t>；</w:t>
      </w:r>
    </w:p>
    <w:p w14:paraId="1080437D">
      <w:pPr>
        <w:pStyle w:val="27"/>
        <w:spacing w:before="0" w:beforeLines="0" w:after="0" w:afterLines="0" w:line="560" w:lineRule="exact"/>
        <w:ind w:firstLine="616" w:firstLineChars="20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w:t>
      </w:r>
      <w:r>
        <w:rPr>
          <w:rFonts w:hint="eastAsia" w:ascii="仿宋_GB2312" w:hAnsi="仿宋_GB2312" w:eastAsia="仿宋_GB2312" w:cs="仿宋_GB2312"/>
          <w:color w:val="auto"/>
        </w:rPr>
        <w:t>中含石油焦、烃类气体、氨等</w:t>
      </w:r>
      <w:r>
        <w:rPr>
          <w:rFonts w:hint="eastAsia" w:ascii="仿宋_GB2312" w:hAnsi="仿宋_GB2312" w:eastAsia="仿宋_GB2312" w:cs="仿宋_GB2312"/>
          <w:color w:val="auto"/>
          <w:lang w:val="en-US" w:eastAsia="zh-CN"/>
        </w:rPr>
        <w:t>干扰性</w:t>
      </w:r>
      <w:r>
        <w:rPr>
          <w:rFonts w:hint="eastAsia" w:ascii="仿宋_GB2312" w:hAnsi="仿宋_GB2312" w:eastAsia="仿宋_GB2312" w:cs="仿宋_GB2312"/>
          <w:color w:val="auto"/>
        </w:rPr>
        <w:t>物质的，</w:t>
      </w:r>
      <w:r>
        <w:rPr>
          <w:rFonts w:hint="eastAsia" w:ascii="仿宋_GB2312" w:hAnsi="仿宋_GB2312" w:eastAsia="仿宋_GB2312" w:cs="仿宋_GB2312"/>
          <w:color w:val="auto"/>
          <w:lang w:val="en-US" w:eastAsia="zh-CN"/>
        </w:rPr>
        <w:t>应优先选用具备抗</w:t>
      </w:r>
      <w:r>
        <w:rPr>
          <w:rFonts w:hint="eastAsia" w:ascii="仿宋_GB2312" w:hAnsi="仿宋_GB2312" w:eastAsia="仿宋_GB2312" w:cs="仿宋_GB2312"/>
          <w:color w:val="auto"/>
        </w:rPr>
        <w:t>干扰</w:t>
      </w:r>
      <w:r>
        <w:rPr>
          <w:rFonts w:hint="eastAsia" w:ascii="仿宋_GB2312" w:hAnsi="仿宋_GB2312" w:eastAsia="仿宋_GB2312" w:cs="仿宋_GB2312"/>
          <w:color w:val="auto"/>
          <w:lang w:val="en-US" w:eastAsia="zh-CN"/>
        </w:rPr>
        <w:t>性能的</w:t>
      </w:r>
      <w:r>
        <w:rPr>
          <w:rFonts w:hint="eastAsia" w:ascii="仿宋_GB2312" w:hAnsi="仿宋_GB2312" w:eastAsia="仿宋_GB2312" w:cs="仿宋_GB2312"/>
          <w:color w:val="auto"/>
        </w:rPr>
        <w:t>CEMS</w:t>
      </w:r>
      <w:r>
        <w:rPr>
          <w:rFonts w:hint="eastAsia" w:ascii="仿宋_GB2312" w:hAnsi="仿宋_GB2312" w:eastAsia="仿宋_GB2312" w:cs="仿宋_GB2312"/>
          <w:color w:val="auto"/>
          <w:lang w:val="en-US" w:eastAsia="zh-CN"/>
        </w:rPr>
        <w:t>；</w:t>
      </w:r>
    </w:p>
    <w:p w14:paraId="119A5D33">
      <w:pPr>
        <w:pStyle w:val="27"/>
        <w:spacing w:before="0" w:beforeLines="0" w:after="0" w:afterLines="0" w:line="560" w:lineRule="exact"/>
        <w:ind w:firstLine="616" w:firstLineChars="20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五</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有组织排放废气存在</w:t>
      </w:r>
      <w:r>
        <w:rPr>
          <w:rFonts w:hint="eastAsia" w:ascii="仿宋_GB2312" w:hAnsi="仿宋_GB2312" w:eastAsia="仿宋_GB2312" w:cs="仿宋_GB2312"/>
          <w:color w:val="auto"/>
        </w:rPr>
        <w:t>湿度较大</w:t>
      </w:r>
      <w:r>
        <w:rPr>
          <w:rFonts w:hint="eastAsia" w:ascii="仿宋_GB2312" w:hAnsi="仿宋_GB2312" w:eastAsia="仿宋_GB2312" w:cs="仿宋_GB2312"/>
          <w:color w:val="auto"/>
          <w:lang w:val="en-US" w:eastAsia="zh-CN"/>
        </w:rPr>
        <w:t>工况</w:t>
      </w:r>
      <w:r>
        <w:rPr>
          <w:rFonts w:hint="eastAsia" w:ascii="仿宋_GB2312" w:hAnsi="仿宋_GB2312" w:eastAsia="仿宋_GB2312" w:cs="仿宋_GB2312"/>
          <w:color w:val="auto"/>
        </w:rPr>
        <w:t>的，应优先选用抽取式采样</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rPr>
        <w:t>激光前散射测量</w:t>
      </w:r>
      <w:r>
        <w:rPr>
          <w:rFonts w:hint="eastAsia" w:ascii="仿宋_GB2312" w:hAnsi="仿宋_GB2312" w:eastAsia="仿宋_GB2312" w:cs="仿宋_GB2312"/>
          <w:color w:val="auto"/>
          <w:lang w:val="en-US" w:eastAsia="zh-CN"/>
        </w:rPr>
        <w:t>原理的CEMS。</w:t>
      </w:r>
    </w:p>
    <w:p w14:paraId="55945C4D">
      <w:pPr>
        <w:ind w:firstLine="616" w:firstLineChars="200"/>
        <w:rPr>
          <w:rFonts w:hint="eastAsia"/>
          <w:color w:val="auto"/>
        </w:rPr>
      </w:pPr>
      <w:r>
        <w:rPr>
          <w:rFonts w:hint="eastAsia" w:ascii="黑体" w:hAnsi="黑体" w:eastAsia="黑体" w:cs="黑体"/>
          <w:color w:val="auto"/>
          <w:spacing w:val="-6"/>
          <w:kern w:val="2"/>
          <w:sz w:val="32"/>
          <w:szCs w:val="32"/>
          <w:lang w:val="en-US" w:eastAsia="zh-CN" w:bidi="ar-SA"/>
        </w:rPr>
        <w:t>第六条</w:t>
      </w:r>
      <w:r>
        <w:rPr>
          <w:rFonts w:hint="eastAsia"/>
          <w:b/>
          <w:color w:val="auto"/>
          <w:lang w:val="en-US" w:eastAsia="zh-CN"/>
        </w:rPr>
        <w:t xml:space="preserve">  </w:t>
      </w:r>
      <w:r>
        <w:rPr>
          <w:color w:val="auto"/>
        </w:rPr>
        <w:t>禁止选用具有数据模拟软件、模拟信号发生器、隐藏操作界面、远程登录软件，用于过滤数据、限制数据上下限和修改监测数据及设备参数等任何数据造假功能和漏洞的</w:t>
      </w:r>
      <w:r>
        <w:rPr>
          <w:rFonts w:hint="eastAsia"/>
          <w:color w:val="auto"/>
          <w:lang w:val="en-US" w:eastAsia="zh-CN"/>
        </w:rPr>
        <w:t>自动监测</w:t>
      </w:r>
      <w:r>
        <w:rPr>
          <w:color w:val="auto"/>
        </w:rPr>
        <w:t>设备。</w:t>
      </w:r>
    </w:p>
    <w:p w14:paraId="0E9B9155">
      <w:pPr>
        <w:pStyle w:val="27"/>
        <w:spacing w:before="296" w:after="296" w:line="560" w:lineRule="exact"/>
        <w:rPr>
          <w:rFonts w:hint="default" w:ascii="Times New Roman" w:hAnsi="Times New Roman" w:cs="Times New Roman"/>
          <w:color w:val="auto"/>
        </w:rPr>
      </w:pPr>
      <w:r>
        <w:rPr>
          <w:rFonts w:hint="default" w:ascii="Times New Roman" w:hAnsi="Times New Roman" w:cs="Times New Roman"/>
          <w:color w:val="auto"/>
        </w:rPr>
        <w:t>第三章 仪器设备性能</w:t>
      </w:r>
    </w:p>
    <w:p w14:paraId="5DB95892">
      <w:pPr>
        <w:pStyle w:val="27"/>
        <w:spacing w:before="0" w:beforeLines="0" w:after="0" w:afterLines="0" w:line="560" w:lineRule="exact"/>
        <w:ind w:firstLine="616" w:firstLineChars="200"/>
        <w:jc w:val="both"/>
        <w:rPr>
          <w:rFonts w:hint="default" w:ascii="Times New Roman" w:hAnsi="Times New Roman" w:cs="Times New Roman"/>
          <w:color w:val="auto"/>
        </w:rPr>
      </w:pPr>
      <w:r>
        <w:rPr>
          <w:rFonts w:hint="default" w:ascii="黑体" w:hAnsi="黑体" w:eastAsia="黑体" w:cs="黑体"/>
          <w:color w:val="auto"/>
          <w:spacing w:val="-6"/>
          <w:kern w:val="2"/>
          <w:sz w:val="32"/>
          <w:szCs w:val="32"/>
          <w:lang w:val="en-US" w:eastAsia="zh-CN" w:bidi="ar-SA"/>
        </w:rPr>
        <w:t>第七条</w:t>
      </w:r>
      <w:r>
        <w:rPr>
          <w:rFonts w:hint="default" w:ascii="Times New Roman" w:hAnsi="Times New Roman" w:eastAsia="仿宋_GB2312" w:cs="Times New Roman"/>
          <w:color w:val="auto"/>
        </w:rPr>
        <w:t xml:space="preserve"> </w:t>
      </w:r>
      <w:r>
        <w:rPr>
          <w:rFonts w:hint="eastAsia" w:ascii="Times New Roman" w:hAnsi="Times New Roman" w:eastAsia="仿宋_GB2312" w:cs="Times New Roman"/>
          <w:color w:val="auto"/>
          <w:lang w:val="en-US" w:eastAsia="zh-CN"/>
        </w:rPr>
        <w:t xml:space="preserve"> </w:t>
      </w:r>
      <w:r>
        <w:rPr>
          <w:rFonts w:hint="default" w:ascii="仿宋_GB2312" w:hAnsi="仿宋_GB2312" w:eastAsia="仿宋_GB2312" w:cs="Times New Roman"/>
          <w:color w:val="auto"/>
          <w:spacing w:val="-6"/>
          <w:kern w:val="2"/>
          <w:sz w:val="32"/>
          <w:szCs w:val="32"/>
          <w:lang w:val="en-US" w:eastAsia="zh-CN" w:bidi="ar-SA"/>
        </w:rPr>
        <w:t>CEMS性能符合下列要求：</w:t>
      </w:r>
    </w:p>
    <w:p w14:paraId="46A953F7">
      <w:pPr>
        <w:pStyle w:val="27"/>
        <w:spacing w:before="0" w:beforeLines="0" w:after="0" w:afterLines="0" w:line="560" w:lineRule="exact"/>
        <w:ind w:firstLine="616" w:firstLineChars="200"/>
        <w:jc w:val="both"/>
        <w:rPr>
          <w:rFonts w:hint="eastAsia" w:ascii="Times New Roman" w:hAnsi="Times New Roman" w:eastAsia="仿宋_GB2312" w:cs="Times New Roman"/>
          <w:color w:val="auto"/>
          <w:lang w:eastAsia="zh-CN"/>
        </w:rPr>
      </w:pPr>
      <w:r>
        <w:rPr>
          <w:rFonts w:hint="default" w:ascii="Times New Roman" w:hAnsi="Times New Roman" w:eastAsia="仿宋_GB2312" w:cs="Times New Roman"/>
          <w:color w:val="auto"/>
        </w:rPr>
        <w:t>（一）样品传输管线内包覆的气体传输管至少为两根，一根用于样品气体的采集传输，另一根用于标准气体的系统全程校准</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样品采集装置具备加热、保温和反吹功能，加热温度应不低于</w:t>
      </w:r>
      <w:r>
        <w:rPr>
          <w:rFonts w:hint="default" w:ascii="仿宋_GB2312" w:hAnsi="仿宋_GB2312" w:eastAsia="仿宋_GB2312" w:cs="Times New Roman"/>
          <w:color w:val="auto"/>
          <w:spacing w:val="-6"/>
          <w:kern w:val="2"/>
          <w:sz w:val="32"/>
          <w:szCs w:val="32"/>
          <w:lang w:val="en-US" w:eastAsia="zh-CN" w:bidi="ar-SA"/>
        </w:rPr>
        <w:t>120℃</w:t>
      </w:r>
      <w:r>
        <w:rPr>
          <w:rFonts w:hint="default" w:ascii="Times New Roman" w:hAnsi="Times New Roman" w:eastAsia="仿宋_GB2312" w:cs="Times New Roman"/>
          <w:color w:val="auto"/>
        </w:rPr>
        <w:t>且高于烟气露点10℃以上。样品采集和传输装置具备完成全系统校准的功能</w:t>
      </w:r>
      <w:r>
        <w:rPr>
          <w:rFonts w:hint="eastAsia" w:ascii="Times New Roman" w:hAnsi="Times New Roman" w:eastAsia="仿宋_GB2312" w:cs="Times New Roman"/>
          <w:color w:val="auto"/>
          <w:lang w:eastAsia="zh-CN"/>
        </w:rPr>
        <w:t>；</w:t>
      </w:r>
    </w:p>
    <w:p w14:paraId="623F092A">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（二）采样泵具备克服烟道负压的足够抽气能力，并且保证采样流量的准确可靠、相对稳定；</w:t>
      </w:r>
    </w:p>
    <w:p w14:paraId="6FBAF9D2">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（三）除湿设备温度设置维持4±2℃（出口烟气露点</w:t>
      </w:r>
      <w:r>
        <w:rPr>
          <w:rFonts w:ascii="仿宋_GB2312" w:hAnsi="Times New Roman" w:eastAsia="仿宋_GB2312" w:cs="Times New Roman"/>
          <w:color w:val="auto"/>
        </w:rPr>
        <w:t>≤</w:t>
      </w:r>
      <w:r>
        <w:rPr>
          <w:rFonts w:hint="default" w:ascii="Times New Roman" w:hAnsi="Times New Roman" w:eastAsia="仿宋_GB2312" w:cs="Times New Roman"/>
          <w:color w:val="auto"/>
        </w:rPr>
        <w:t>4℃），冷凝液通过自动装置及时顺畅排放；设备实际温度值（含除湿温度与采样加热温度）在机柜或系统软件界面可查；</w:t>
      </w:r>
    </w:p>
    <w:p w14:paraId="27E6FB42">
      <w:pPr>
        <w:spacing w:line="560" w:lineRule="exact"/>
        <w:ind w:firstLine="616" w:firstLineChars="200"/>
        <w:rPr>
          <w:rFonts w:ascii="Times New Roman" w:hAnsi="Times New Roman"/>
          <w:color w:val="auto"/>
        </w:rPr>
      </w:pPr>
      <w:r>
        <w:rPr>
          <w:rFonts w:ascii="Times New Roman" w:hAnsi="Times New Roman"/>
          <w:color w:val="auto"/>
        </w:rPr>
        <w:t>（四）稀释法采样原理的</w:t>
      </w:r>
      <w:r>
        <w:rPr>
          <w:rFonts w:hint="default" w:ascii="仿宋_GB2312" w:hAnsi="仿宋_GB2312" w:eastAsia="仿宋_GB2312" w:cs="Times New Roman"/>
          <w:color w:val="auto"/>
          <w:spacing w:val="-6"/>
          <w:kern w:val="2"/>
          <w:sz w:val="32"/>
          <w:szCs w:val="32"/>
          <w:lang w:val="en-US" w:eastAsia="zh-CN" w:bidi="ar-SA"/>
        </w:rPr>
        <w:t>CEMS</w:t>
      </w:r>
      <w:r>
        <w:rPr>
          <w:rFonts w:ascii="Times New Roman" w:hAnsi="Times New Roman"/>
          <w:color w:val="auto"/>
        </w:rPr>
        <w:t xml:space="preserve">，其稀释空气配备完备的气体预处理系统，主要包括气体的过滤、除水、除油、除烃及除二氧化硫、氮氧化物等环节； </w:t>
      </w:r>
    </w:p>
    <w:p w14:paraId="7F60F104">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（五）直接测量法</w:t>
      </w:r>
      <w:r>
        <w:rPr>
          <w:rFonts w:hint="eastAsia" w:ascii="Times New Roman" w:hAnsi="Times New Roman" w:eastAsia="仿宋_GB2312" w:cs="Times New Roman"/>
          <w:color w:val="auto"/>
          <w:lang w:val="en-US" w:eastAsia="zh-CN"/>
        </w:rPr>
        <w:t>原理</w:t>
      </w:r>
      <w:r>
        <w:rPr>
          <w:rFonts w:hint="default" w:ascii="Times New Roman" w:hAnsi="Times New Roman" w:eastAsia="仿宋_GB2312" w:cs="Times New Roman"/>
          <w:color w:val="auto"/>
        </w:rPr>
        <w:t>的</w:t>
      </w:r>
      <w:r>
        <w:rPr>
          <w:rFonts w:hint="default" w:ascii="仿宋_GB2312" w:hAnsi="仿宋_GB2312" w:eastAsia="仿宋_GB2312" w:cs="Times New Roman"/>
          <w:color w:val="auto"/>
          <w:spacing w:val="-6"/>
          <w:kern w:val="2"/>
          <w:sz w:val="32"/>
          <w:szCs w:val="32"/>
          <w:lang w:val="en-US" w:eastAsia="zh-CN" w:bidi="ar-SA"/>
        </w:rPr>
        <w:t>CEMS</w:t>
      </w:r>
      <w:r>
        <w:rPr>
          <w:rFonts w:hint="default" w:ascii="Times New Roman" w:hAnsi="Times New Roman" w:eastAsia="仿宋_GB2312" w:cs="Times New Roman"/>
          <w:color w:val="auto"/>
        </w:rPr>
        <w:t>，具备稳定可靠和便于操作的标准气体流动等效校准功能，即能通过内置或外置的校准池，完成对系统的等效校准；</w:t>
      </w:r>
    </w:p>
    <w:p w14:paraId="70A53412">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（六）抽取式测量</w:t>
      </w:r>
      <w:r>
        <w:rPr>
          <w:rFonts w:hint="eastAsia" w:ascii="Times New Roman" w:hAnsi="Times New Roman" w:eastAsia="仿宋_GB2312" w:cs="Times New Roman"/>
          <w:color w:val="auto"/>
          <w:lang w:val="en-US" w:eastAsia="zh-CN"/>
        </w:rPr>
        <w:t>法原理</w:t>
      </w:r>
      <w:r>
        <w:rPr>
          <w:rFonts w:hint="default" w:ascii="Times New Roman" w:hAnsi="Times New Roman" w:eastAsia="仿宋_GB2312" w:cs="Times New Roman"/>
          <w:color w:val="auto"/>
        </w:rPr>
        <w:t>的颗粒物监测仪器，其抽取采样装置具备自动跟踪烟气流速变化调节采样流量的等速跟踪采样功能（等速跟踪吸引误差</w:t>
      </w:r>
      <w:r>
        <w:rPr>
          <w:rFonts w:ascii="仿宋_GB2312" w:hAnsi="Times New Roman" w:eastAsia="仿宋_GB2312" w:cs="Times New Roman"/>
          <w:color w:val="auto"/>
        </w:rPr>
        <w:t>≤</w:t>
      </w:r>
      <w:r>
        <w:rPr>
          <w:rFonts w:hint="default" w:ascii="Times New Roman" w:hAnsi="Times New Roman" w:eastAsia="仿宋_GB2312" w:cs="Times New Roman"/>
          <w:color w:val="auto"/>
        </w:rPr>
        <w:t>±8%）</w:t>
      </w:r>
      <w:r>
        <w:rPr>
          <w:rFonts w:ascii="Times New Roman" w:hAnsi="Times New Roman" w:eastAsia="仿宋_GB2312" w:cs="Times New Roman"/>
          <w:color w:val="auto"/>
        </w:rPr>
        <w:t>；</w:t>
      </w:r>
      <w:r>
        <w:rPr>
          <w:rFonts w:hint="default" w:ascii="Times New Roman" w:hAnsi="Times New Roman" w:eastAsia="仿宋_GB2312" w:cs="Times New Roman"/>
          <w:color w:val="auto"/>
        </w:rPr>
        <w:t>超低排放废气监测仪器需配置双量程或多量程功能，正常排放时使用低量程，浓度超限时自动切换至高量程；</w:t>
      </w:r>
    </w:p>
    <w:p w14:paraId="3B89FB0D">
      <w:pPr>
        <w:pStyle w:val="27"/>
        <w:spacing w:before="0" w:beforeLines="0" w:after="0" w:afterLines="0" w:line="560" w:lineRule="exact"/>
        <w:ind w:firstLine="616" w:firstLineChars="200"/>
        <w:jc w:val="both"/>
        <w:rPr>
          <w:rFonts w:hint="default" w:ascii="Times New Roman" w:hAnsi="Times New Roman" w:eastAsia="仿宋_GB2312" w:cs="Times New Roman"/>
          <w:color w:val="auto"/>
          <w:highlight w:val="cya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七</w:t>
      </w:r>
      <w:r>
        <w:rPr>
          <w:rFonts w:hint="default" w:ascii="Times New Roman" w:hAnsi="Times New Roman" w:eastAsia="仿宋_GB2312" w:cs="Times New Roman"/>
          <w:color w:val="auto"/>
        </w:rPr>
        <w:t>）具备手动（或）自动方式进行零点和量程校准；</w:t>
      </w:r>
    </w:p>
    <w:p w14:paraId="3AB06731">
      <w:pPr>
        <w:pStyle w:val="27"/>
        <w:spacing w:before="0" w:beforeLines="0" w:after="0" w:afterLines="0" w:line="560" w:lineRule="exact"/>
        <w:ind w:firstLine="616" w:firstLineChars="200"/>
        <w:jc w:val="both"/>
        <w:rPr>
          <w:rFonts w:hint="eastAsia" w:ascii="Times New Roman" w:hAnsi="Times New Roman" w:eastAsia="仿宋_GB2312" w:cs="Times New Roman"/>
          <w:color w:val="auto"/>
          <w:lang w:eastAsia="zh-C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八</w:t>
      </w:r>
      <w:r>
        <w:rPr>
          <w:rFonts w:hint="default" w:ascii="Times New Roman" w:hAnsi="Times New Roman" w:eastAsia="仿宋_GB2312" w:cs="Times New Roman"/>
          <w:color w:val="auto"/>
        </w:rPr>
        <w:t>）具备较高的可靠性和耐用性</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响应时间要求：仪表≤120秒，气态污染物（含氧气）系统≤200秒。稳定性要求：气态污染物及颗粒物监测仪器24小时零点/量程漂移≤±2%满量程，一周零点/量程漂移≤±3%满量程；示值误差、准确度等满足</w:t>
      </w:r>
      <w:r>
        <w:rPr>
          <w:rFonts w:hint="eastAsia" w:ascii="仿宋_GB2312" w:hAnsi="仿宋_GB2312" w:eastAsia="仿宋_GB2312" w:cs="仿宋_GB2312"/>
          <w:color w:val="auto"/>
          <w:lang w:val="en-US" w:eastAsia="zh-CN"/>
        </w:rPr>
        <w:t>HJ 76</w:t>
      </w:r>
      <w:r>
        <w:rPr>
          <w:rFonts w:hint="default" w:ascii="Times New Roman" w:hAnsi="Times New Roman" w:eastAsia="仿宋_GB2312" w:cs="Times New Roman"/>
          <w:color w:val="auto"/>
        </w:rPr>
        <w:t>要求</w:t>
      </w:r>
      <w:r>
        <w:rPr>
          <w:rFonts w:hint="eastAsia" w:ascii="Times New Roman" w:hAnsi="Times New Roman" w:eastAsia="仿宋_GB2312" w:cs="Times New Roman"/>
          <w:color w:val="auto"/>
          <w:lang w:eastAsia="zh-CN"/>
        </w:rPr>
        <w:t>；</w:t>
      </w:r>
    </w:p>
    <w:p w14:paraId="4C412F6F">
      <w:pPr>
        <w:pStyle w:val="27"/>
        <w:spacing w:before="0" w:beforeLines="0" w:after="0" w:afterLines="0" w:line="560" w:lineRule="exact"/>
        <w:ind w:firstLine="616" w:firstLineChars="200"/>
        <w:jc w:val="both"/>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九</w:t>
      </w:r>
      <w:r>
        <w:rPr>
          <w:rFonts w:hint="eastAsia" w:ascii="Times New Roman" w:hAnsi="Times New Roman" w:eastAsia="仿宋_GB2312" w:cs="Times New Roman"/>
          <w:color w:val="auto"/>
          <w:lang w:eastAsia="zh-CN"/>
        </w:rPr>
        <w:t>）</w:t>
      </w:r>
      <w:r>
        <w:rPr>
          <w:rFonts w:hint="eastAsia" w:ascii="仿宋_GB2312" w:hAnsi="仿宋_GB2312" w:eastAsia="仿宋_GB2312" w:cs="仿宋_GB2312"/>
          <w:color w:val="auto"/>
        </w:rPr>
        <w:t>满足HJ 75、HJ 76、HJ 1286等标准最新有效版本的全部技术要求</w:t>
      </w:r>
      <w:r>
        <w:rPr>
          <w:rFonts w:hint="eastAsia" w:ascii="仿宋_GB2312" w:hAnsi="仿宋_GB2312" w:eastAsia="仿宋_GB2312" w:cs="仿宋_GB2312"/>
          <w:color w:val="auto"/>
          <w:lang w:eastAsia="zh-CN"/>
        </w:rPr>
        <w:t>。</w:t>
      </w:r>
    </w:p>
    <w:p w14:paraId="39812DDD">
      <w:pPr>
        <w:pStyle w:val="27"/>
        <w:spacing w:before="0" w:beforeLines="0" w:after="0" w:afterLines="0" w:line="560" w:lineRule="exact"/>
        <w:ind w:firstLine="616" w:firstLineChars="200"/>
        <w:jc w:val="both"/>
        <w:rPr>
          <w:rFonts w:hint="default" w:ascii="仿宋_GB2312" w:hAnsi="仿宋_GB2312" w:eastAsia="仿宋_GB2312" w:cs="Times New Roman"/>
          <w:color w:val="auto"/>
          <w:spacing w:val="-6"/>
          <w:kern w:val="2"/>
          <w:sz w:val="32"/>
          <w:szCs w:val="32"/>
          <w:lang w:val="en-US" w:eastAsia="zh-CN" w:bidi="ar-SA"/>
        </w:rPr>
      </w:pPr>
      <w:bookmarkStart w:id="0" w:name="OLE_LINK2"/>
      <w:r>
        <w:rPr>
          <w:rFonts w:hint="default" w:ascii="黑体" w:hAnsi="黑体" w:eastAsia="黑体" w:cs="黑体"/>
          <w:color w:val="auto"/>
          <w:spacing w:val="-6"/>
          <w:kern w:val="2"/>
          <w:sz w:val="32"/>
          <w:szCs w:val="32"/>
          <w:lang w:val="en-US" w:eastAsia="zh-CN" w:bidi="ar-SA"/>
        </w:rPr>
        <w:t>第八条</w:t>
      </w:r>
      <w:r>
        <w:rPr>
          <w:rFonts w:hint="default" w:ascii="Times New Roman" w:hAnsi="Times New Roman" w:cs="Times New Roman"/>
          <w:color w:val="auto"/>
        </w:rPr>
        <w:t xml:space="preserve"> </w:t>
      </w:r>
      <w:bookmarkEnd w:id="0"/>
      <w:r>
        <w:rPr>
          <w:rFonts w:hint="eastAsia" w:ascii="Times New Roman" w:hAnsi="Times New Roman" w:cs="Times New Roman"/>
          <w:color w:val="auto"/>
          <w:lang w:val="en-US" w:eastAsia="zh-CN"/>
        </w:rPr>
        <w:t xml:space="preserve"> </w:t>
      </w:r>
      <w:r>
        <w:rPr>
          <w:rFonts w:hint="default" w:ascii="仿宋_GB2312" w:hAnsi="仿宋_GB2312" w:eastAsia="仿宋_GB2312" w:cs="Times New Roman"/>
          <w:color w:val="auto"/>
          <w:spacing w:val="-6"/>
          <w:kern w:val="2"/>
          <w:sz w:val="32"/>
          <w:szCs w:val="32"/>
          <w:lang w:val="en-US" w:eastAsia="zh-CN" w:bidi="ar-SA"/>
        </w:rPr>
        <w:t>WEMS性能符合下列要求：</w:t>
      </w:r>
    </w:p>
    <w:p w14:paraId="46C8396C">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一）水质自动采样单元具有采集瞬时水样及混合水样，混匀及暂存水样、自动润洗及排空混匀桶，以及留样功能；具备在设置时段内进行时间等比例或流量等比例采样功能，保证该时间段内采集样品量满足使用；</w:t>
      </w:r>
    </w:p>
    <w:p w14:paraId="07DE4E5A">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（二）水质自动采样单元的管材采用优质的聚氯乙烯</w:t>
      </w:r>
      <w:r>
        <w:rPr>
          <w:rFonts w:hint="default" w:ascii="仿宋_GB2312" w:hAnsi="仿宋_GB2312" w:eastAsia="仿宋_GB2312" w:cs="Times New Roman"/>
          <w:color w:val="auto"/>
          <w:spacing w:val="-6"/>
          <w:kern w:val="2"/>
          <w:sz w:val="32"/>
          <w:szCs w:val="32"/>
          <w:lang w:val="en-US" w:eastAsia="zh-CN" w:bidi="ar-SA"/>
        </w:rPr>
        <w:t>（PVC）</w:t>
      </w:r>
      <w:r>
        <w:rPr>
          <w:rFonts w:hint="default" w:ascii="Times New Roman" w:hAnsi="Times New Roman" w:eastAsia="仿宋_GB2312" w:cs="Times New Roman"/>
          <w:color w:val="auto"/>
        </w:rPr>
        <w:t>、三丙聚丙烯</w:t>
      </w:r>
      <w:r>
        <w:rPr>
          <w:rFonts w:hint="default" w:ascii="仿宋_GB2312" w:hAnsi="仿宋_GB2312" w:eastAsia="仿宋_GB2312" w:cs="Times New Roman"/>
          <w:color w:val="auto"/>
          <w:spacing w:val="-6"/>
          <w:kern w:val="2"/>
          <w:sz w:val="32"/>
          <w:szCs w:val="32"/>
          <w:lang w:val="en-US" w:eastAsia="zh-CN" w:bidi="ar-SA"/>
        </w:rPr>
        <w:t>（PPR）</w:t>
      </w:r>
      <w:r>
        <w:rPr>
          <w:rFonts w:hint="default" w:ascii="Times New Roman" w:hAnsi="Times New Roman" w:eastAsia="仿宋_GB2312" w:cs="Times New Roman"/>
          <w:color w:val="auto"/>
        </w:rPr>
        <w:t>等不影响分析结果的硬管</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构造应保证将水样不变质地输送到各水质分析仪，</w:t>
      </w:r>
      <w:r>
        <w:rPr>
          <w:rFonts w:hint="eastAsia" w:ascii="Times New Roman" w:hAnsi="Times New Roman" w:eastAsia="仿宋_GB2312" w:cs="Times New Roman"/>
          <w:color w:val="auto"/>
          <w:lang w:val="en-US" w:eastAsia="zh-CN"/>
        </w:rPr>
        <w:t>具</w:t>
      </w:r>
      <w:r>
        <w:rPr>
          <w:rFonts w:hint="default" w:ascii="Times New Roman" w:hAnsi="Times New Roman" w:eastAsia="仿宋_GB2312" w:cs="Times New Roman"/>
          <w:color w:val="auto"/>
        </w:rPr>
        <w:t>有必要的防冻和防腐设施；</w:t>
      </w:r>
    </w:p>
    <w:p w14:paraId="227A64D3">
      <w:pPr>
        <w:pStyle w:val="27"/>
        <w:spacing w:before="0" w:beforeLines="0" w:after="0" w:afterLines="0" w:line="560" w:lineRule="exact"/>
        <w:ind w:firstLine="616" w:firstLineChars="200"/>
        <w:jc w:val="both"/>
        <w:rPr>
          <w:rFonts w:hint="eastAsia" w:ascii="仿宋_GB2312" w:hAnsi="仿宋_GB2312" w:eastAsia="仿宋_GB2312" w:cs="仿宋_GB2312"/>
          <w:color w:val="auto"/>
        </w:rPr>
      </w:pPr>
      <w:r>
        <w:rPr>
          <w:rFonts w:hint="default" w:ascii="Times New Roman" w:hAnsi="Times New Roman" w:eastAsia="仿宋_GB2312" w:cs="Times New Roman"/>
          <w:color w:val="auto"/>
        </w:rPr>
        <w:t>（三）</w:t>
      </w:r>
      <w:r>
        <w:rPr>
          <w:rFonts w:hint="eastAsia" w:ascii="仿宋_GB2312" w:hAnsi="仿宋_GB2312" w:eastAsia="仿宋_GB2312" w:cs="仿宋_GB2312"/>
          <w:color w:val="auto"/>
          <w:lang w:val="en-US" w:eastAsia="zh-CN"/>
        </w:rPr>
        <w:t>PH</w:t>
      </w:r>
      <w:r>
        <w:rPr>
          <w:rFonts w:hint="eastAsia" w:ascii="仿宋_GB2312" w:hAnsi="仿宋_GB2312" w:eastAsia="仿宋_GB2312" w:cs="仿宋_GB2312"/>
          <w:color w:val="auto"/>
        </w:rPr>
        <w:t>水质自动分析仪和温度计</w:t>
      </w:r>
      <w:r>
        <w:rPr>
          <w:rFonts w:hint="eastAsia" w:ascii="仿宋_GB2312" w:hAnsi="仿宋_GB2312" w:eastAsia="仿宋_GB2312" w:cs="仿宋_GB2312"/>
          <w:color w:val="auto"/>
          <w:lang w:eastAsia="zh-CN"/>
        </w:rPr>
        <w:t>具备</w:t>
      </w:r>
      <w:r>
        <w:rPr>
          <w:rFonts w:hint="eastAsia" w:ascii="仿宋_GB2312" w:hAnsi="仿宋_GB2312" w:eastAsia="仿宋_GB2312" w:cs="仿宋_GB2312"/>
          <w:color w:val="auto"/>
        </w:rPr>
        <w:t>原位测量或测量瞬时水样</w:t>
      </w:r>
      <w:r>
        <w:rPr>
          <w:rFonts w:hint="eastAsia" w:ascii="仿宋_GB2312" w:hAnsi="仿宋_GB2312" w:eastAsia="仿宋_GB2312" w:cs="仿宋_GB2312"/>
          <w:color w:val="auto"/>
          <w:lang w:eastAsia="zh-CN"/>
        </w:rPr>
        <w:t>供的功能</w:t>
      </w:r>
      <w:r>
        <w:rPr>
          <w:rFonts w:hint="eastAsia" w:ascii="仿宋_GB2312" w:hAnsi="仿宋_GB2312" w:eastAsia="仿宋_GB2312" w:cs="仿宋_GB2312"/>
          <w:color w:val="auto"/>
        </w:rPr>
        <w:t>；</w:t>
      </w:r>
      <w:r>
        <w:rPr>
          <w:rFonts w:hint="eastAsia" w:ascii="仿宋_GB2312" w:hAnsi="仿宋_GB2312" w:eastAsia="仿宋_GB2312" w:cs="仿宋_GB2312"/>
          <w:color w:val="auto"/>
          <w:spacing w:val="-6"/>
          <w:kern w:val="2"/>
          <w:sz w:val="32"/>
          <w:szCs w:val="32"/>
          <w:lang w:val="en-US" w:eastAsia="zh-CN" w:bidi="ar-SA"/>
        </w:rPr>
        <w:t>CODCr、TOC、NH</w:t>
      </w:r>
      <w:r>
        <w:rPr>
          <w:rFonts w:hint="eastAsia" w:ascii="仿宋_GB2312" w:hAnsi="仿宋_GB2312" w:eastAsia="仿宋_GB2312" w:cs="仿宋_GB2312"/>
          <w:color w:val="auto"/>
          <w:spacing w:val="-6"/>
          <w:kern w:val="2"/>
          <w:sz w:val="32"/>
          <w:szCs w:val="32"/>
          <w:vertAlign w:val="subscript"/>
          <w:lang w:val="en-US" w:eastAsia="zh-CN" w:bidi="ar-SA"/>
        </w:rPr>
        <w:t>3</w:t>
      </w:r>
      <w:r>
        <w:rPr>
          <w:rFonts w:hint="eastAsia" w:ascii="仿宋_GB2312" w:hAnsi="仿宋_GB2312" w:eastAsia="仿宋_GB2312" w:cs="仿宋_GB2312"/>
          <w:color w:val="auto"/>
          <w:spacing w:val="-6"/>
          <w:kern w:val="2"/>
          <w:sz w:val="32"/>
          <w:szCs w:val="32"/>
          <w:lang w:val="en-US" w:eastAsia="zh-CN" w:bidi="ar-SA"/>
        </w:rPr>
        <w:t>-N、TP、TN</w:t>
      </w:r>
      <w:r>
        <w:rPr>
          <w:rFonts w:hint="eastAsia" w:ascii="仿宋_GB2312" w:hAnsi="仿宋_GB2312" w:eastAsia="仿宋_GB2312" w:cs="仿宋_GB2312"/>
          <w:color w:val="auto"/>
        </w:rPr>
        <w:t>水质自动分析仪具备自动调节零点和校准量程值的功能，两次校准时间间隔不小于</w:t>
      </w:r>
      <w:r>
        <w:rPr>
          <w:rFonts w:hint="eastAsia" w:ascii="仿宋_GB2312" w:hAnsi="仿宋_GB2312" w:eastAsia="仿宋_GB2312" w:cs="仿宋_GB2312"/>
          <w:color w:val="auto"/>
          <w:spacing w:val="-6"/>
          <w:kern w:val="2"/>
          <w:sz w:val="32"/>
          <w:szCs w:val="32"/>
          <w:lang w:val="en-US" w:eastAsia="zh-CN" w:bidi="ar-SA"/>
        </w:rPr>
        <w:t>24h</w:t>
      </w:r>
      <w:r>
        <w:rPr>
          <w:rFonts w:hint="eastAsia" w:ascii="仿宋_GB2312" w:hAnsi="仿宋_GB2312" w:eastAsia="仿宋_GB2312" w:cs="仿宋_GB2312"/>
          <w:color w:val="auto"/>
        </w:rPr>
        <w:t>，具备自动标样核查功能；</w:t>
      </w:r>
    </w:p>
    <w:p w14:paraId="69866187">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四</w:t>
      </w:r>
      <w:r>
        <w:rPr>
          <w:rFonts w:hint="default" w:ascii="Times New Roman" w:hAnsi="Times New Roman" w:eastAsia="仿宋_GB2312" w:cs="Times New Roman"/>
          <w:color w:val="auto"/>
        </w:rPr>
        <w:t>）具备根据重点单位实际排放废水浓度自动调整工作量程功能，量程上限能设置为污染物排放标准限值的</w:t>
      </w:r>
      <w:r>
        <w:rPr>
          <w:rFonts w:hint="default" w:ascii="仿宋_GB2312" w:hAnsi="仿宋_GB2312" w:eastAsia="仿宋_GB2312" w:cs="Times New Roman"/>
          <w:color w:val="auto"/>
          <w:spacing w:val="-6"/>
          <w:kern w:val="2"/>
          <w:sz w:val="32"/>
          <w:szCs w:val="32"/>
          <w:lang w:val="en-US" w:eastAsia="zh-CN" w:bidi="ar-SA"/>
        </w:rPr>
        <w:t>2～3</w:t>
      </w:r>
      <w:r>
        <w:rPr>
          <w:rFonts w:hint="default" w:ascii="Times New Roman" w:hAnsi="Times New Roman" w:eastAsia="仿宋_GB2312" w:cs="Times New Roman"/>
          <w:color w:val="auto"/>
        </w:rPr>
        <w:t>倍；</w:t>
      </w:r>
    </w:p>
    <w:p w14:paraId="08F154FD">
      <w:pPr>
        <w:pStyle w:val="27"/>
        <w:spacing w:before="0" w:beforeLines="0" w:after="0" w:afterLines="0" w:line="560" w:lineRule="exact"/>
        <w:ind w:firstLine="616" w:firstLineChars="200"/>
        <w:jc w:val="both"/>
        <w:rPr>
          <w:rFonts w:hint="eastAsia" w:ascii="Times New Roman" w:hAnsi="Times New Roman" w:eastAsia="仿宋_GB2312" w:cs="Times New Roman"/>
          <w:color w:val="auto"/>
          <w:lang w:eastAsia="zh-C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五</w:t>
      </w:r>
      <w:r>
        <w:rPr>
          <w:rFonts w:hint="default" w:ascii="Times New Roman" w:hAnsi="Times New Roman" w:eastAsia="仿宋_GB2312" w:cs="Times New Roman"/>
          <w:color w:val="auto"/>
        </w:rPr>
        <w:t>）对在线监测仪器的操作、参数修改等动作，以及修改前后的具体参数通过纸质或电子的方式记录并保存，同时在仪器的运行日志里</w:t>
      </w:r>
      <w:r>
        <w:rPr>
          <w:rFonts w:hint="eastAsia" w:ascii="Times New Roman" w:hAnsi="Times New Roman" w:eastAsia="仿宋_GB2312" w:cs="Times New Roman"/>
          <w:color w:val="auto"/>
          <w:lang w:val="en-US" w:eastAsia="zh-CN"/>
        </w:rPr>
        <w:t>有</w:t>
      </w:r>
      <w:r>
        <w:rPr>
          <w:rFonts w:hint="default" w:ascii="Times New Roman" w:hAnsi="Times New Roman" w:eastAsia="仿宋_GB2312" w:cs="Times New Roman"/>
          <w:color w:val="auto"/>
        </w:rPr>
        <w:t>相应不可更改的记录，应至少保存</w:t>
      </w:r>
      <w:r>
        <w:rPr>
          <w:rFonts w:hint="eastAsia" w:ascii="Times New Roman" w:hAnsi="Times New Roman" w:eastAsia="仿宋_GB2312" w:cs="Times New Roman"/>
          <w:color w:val="auto"/>
          <w:lang w:val="en-US" w:eastAsia="zh-CN"/>
        </w:rPr>
        <w:t>3</w:t>
      </w:r>
      <w:r>
        <w:rPr>
          <w:rFonts w:hint="default" w:ascii="Times New Roman" w:hAnsi="Times New Roman" w:eastAsia="仿宋_GB2312" w:cs="Times New Roman"/>
          <w:color w:val="auto"/>
        </w:rPr>
        <w:t>年</w:t>
      </w:r>
      <w:r>
        <w:rPr>
          <w:rFonts w:hint="eastAsia" w:ascii="Times New Roman" w:hAnsi="Times New Roman" w:eastAsia="仿宋_GB2312" w:cs="Times New Roman"/>
          <w:color w:val="auto"/>
          <w:lang w:eastAsia="zh-CN"/>
        </w:rPr>
        <w:t>；</w:t>
      </w:r>
    </w:p>
    <w:p w14:paraId="185DF7FC">
      <w:pPr>
        <w:spacing w:line="560" w:lineRule="exact"/>
        <w:ind w:firstLine="616" w:firstLineChars="200"/>
        <w:rPr>
          <w:rFonts w:hint="default" w:ascii="仿宋_GB2312" w:hAnsi="仿宋_GB2312" w:eastAsia="仿宋_GB2312" w:cs="仿宋_GB2312"/>
          <w:color w:val="auto"/>
        </w:rPr>
      </w:pPr>
      <w:r>
        <w:rPr>
          <w:rFonts w:hint="eastAsia" w:cs="仿宋_GB2312"/>
          <w:color w:val="auto"/>
          <w:lang w:eastAsia="zh-CN"/>
        </w:rPr>
        <w:t>（</w:t>
      </w:r>
      <w:r>
        <w:rPr>
          <w:rFonts w:hint="eastAsia" w:cs="仿宋_GB2312"/>
          <w:color w:val="auto"/>
          <w:lang w:val="en-US" w:eastAsia="zh-CN"/>
        </w:rPr>
        <w:t>六</w:t>
      </w:r>
      <w:r>
        <w:rPr>
          <w:rFonts w:hint="eastAsia" w:cs="仿宋_GB2312"/>
          <w:color w:val="auto"/>
          <w:lang w:eastAsia="zh-CN"/>
        </w:rPr>
        <w:t>）</w:t>
      </w:r>
      <w:r>
        <w:rPr>
          <w:rFonts w:hint="eastAsia" w:ascii="仿宋_GB2312" w:hAnsi="仿宋_GB2312" w:eastAsia="仿宋_GB2312" w:cs="仿宋_GB2312"/>
          <w:color w:val="auto"/>
        </w:rPr>
        <w:t>满足HJ 353、HJ 354、HJ 355等标准最新有效版本的全部技术要求。</w:t>
      </w:r>
    </w:p>
    <w:p w14:paraId="542449D0">
      <w:pPr>
        <w:pStyle w:val="27"/>
        <w:numPr>
          <w:ilvl w:val="0"/>
          <w:numId w:val="0"/>
        </w:numPr>
        <w:spacing w:before="0" w:beforeLines="0" w:after="0" w:afterLines="0" w:line="560" w:lineRule="exact"/>
        <w:ind w:firstLine="616" w:firstLineChars="200"/>
        <w:jc w:val="both"/>
        <w:rPr>
          <w:rFonts w:hint="eastAsia" w:ascii="Times New Roman" w:hAnsi="Times New Roman" w:eastAsia="仿宋_GB2312" w:cs="Times New Roman"/>
          <w:color w:val="auto"/>
          <w:lang w:val="en-US" w:eastAsia="zh-CN"/>
        </w:rPr>
      </w:pPr>
      <w:r>
        <w:rPr>
          <w:rFonts w:hint="eastAsia" w:ascii="黑体" w:hAnsi="黑体" w:eastAsia="黑体" w:cs="黑体"/>
          <w:color w:val="auto"/>
          <w:spacing w:val="-6"/>
          <w:kern w:val="2"/>
          <w:sz w:val="32"/>
          <w:szCs w:val="32"/>
          <w:lang w:val="en-US" w:eastAsia="zh-CN" w:bidi="ar-SA"/>
        </w:rPr>
        <w:t>第九条</w:t>
      </w:r>
      <w:r>
        <w:rPr>
          <w:rFonts w:hint="eastAsia" w:cs="黑体"/>
          <w:color w:val="auto"/>
          <w:spacing w:val="-6"/>
          <w:kern w:val="2"/>
          <w:sz w:val="32"/>
          <w:szCs w:val="32"/>
          <w:lang w:val="en-US" w:eastAsia="zh-CN" w:bidi="ar-SA"/>
        </w:rPr>
        <w:t xml:space="preserve">  </w:t>
      </w:r>
      <w:r>
        <w:rPr>
          <w:rFonts w:hint="eastAsia" w:ascii="Times New Roman" w:hAnsi="Times New Roman" w:eastAsia="仿宋_GB2312" w:cs="Times New Roman"/>
          <w:color w:val="auto"/>
        </w:rPr>
        <w:t>流量（速）计</w:t>
      </w:r>
      <w:r>
        <w:rPr>
          <w:rFonts w:hint="eastAsia" w:ascii="Times New Roman" w:hAnsi="Times New Roman" w:eastAsia="仿宋_GB2312" w:cs="Times New Roman"/>
          <w:color w:val="auto"/>
          <w:lang w:eastAsia="zh-CN"/>
        </w:rPr>
        <w:t>性能</w:t>
      </w:r>
      <w:r>
        <w:rPr>
          <w:rFonts w:hint="eastAsia" w:ascii="Times New Roman" w:hAnsi="Times New Roman" w:eastAsia="仿宋_GB2312" w:cs="Times New Roman"/>
          <w:color w:val="auto"/>
          <w:lang w:val="en-US" w:eastAsia="zh-CN"/>
        </w:rPr>
        <w:t>符合下列要求：</w:t>
      </w:r>
    </w:p>
    <w:p w14:paraId="1761163C">
      <w:pPr>
        <w:pStyle w:val="27"/>
        <w:numPr>
          <w:ilvl w:val="0"/>
          <w:numId w:val="0"/>
        </w:numPr>
        <w:spacing w:before="0" w:beforeLines="0" w:after="0" w:afterLines="0" w:line="560" w:lineRule="exact"/>
        <w:ind w:firstLine="616" w:firstLineChars="200"/>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（一）明渠流量计液位测量误差≤3mm，流量测量误差≤2%，并按照JJG 711《明渠堰槽流量计试行检定规程》通过计量部门检定；</w:t>
      </w:r>
    </w:p>
    <w:p w14:paraId="331C9580">
      <w:pPr>
        <w:pStyle w:val="27"/>
        <w:numPr>
          <w:ilvl w:val="0"/>
          <w:numId w:val="0"/>
        </w:numPr>
        <w:spacing w:before="0" w:beforeLines="0" w:after="0" w:afterLines="0" w:line="560" w:lineRule="exact"/>
        <w:ind w:firstLine="616" w:firstLineChars="200"/>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（二）管道电磁流量计测量精度等级不低于1.0 级（基本误差限±1.0%），30天零点漂移不超过基本误差限绝对值的1/3，供电电压适应范围为220V±20%，具备数据存储（≥30天）及断电保护功能；</w:t>
      </w:r>
    </w:p>
    <w:p w14:paraId="71FC8C12">
      <w:pPr>
        <w:pStyle w:val="27"/>
        <w:numPr>
          <w:ilvl w:val="0"/>
          <w:numId w:val="0"/>
        </w:numPr>
        <w:spacing w:before="0" w:beforeLines="0" w:after="0" w:afterLines="0" w:line="560" w:lineRule="exact"/>
        <w:ind w:firstLine="616" w:firstLineChars="200"/>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（三）废气流速计测量相对误差不超过±5%，速度场系数在 0.89-1.13（流速≤10m/s）或 0.91-1.11（流速＞10m/s）范围内，系统响应时间不大于10秒，24小时零点漂移不超过±2%满量程，流速测量范围不小于0.1～40m/s。</w:t>
      </w:r>
    </w:p>
    <w:p w14:paraId="251F4C3E">
      <w:pPr>
        <w:pStyle w:val="27"/>
        <w:spacing w:before="0" w:beforeLines="0" w:after="0" w:afterLines="0" w:line="560" w:lineRule="exact"/>
        <w:ind w:firstLine="616" w:firstLineChars="200"/>
        <w:jc w:val="both"/>
        <w:rPr>
          <w:rFonts w:hint="default" w:ascii="Times New Roman" w:hAnsi="Times New Roman" w:cs="Times New Roman"/>
          <w:color w:val="auto"/>
        </w:rPr>
      </w:pPr>
      <w:r>
        <w:rPr>
          <w:rFonts w:hint="default" w:ascii="黑体" w:hAnsi="黑体" w:eastAsia="黑体" w:cs="黑体"/>
          <w:color w:val="auto"/>
          <w:spacing w:val="-6"/>
          <w:kern w:val="2"/>
          <w:sz w:val="32"/>
          <w:szCs w:val="32"/>
          <w:lang w:val="en-US" w:eastAsia="zh-CN" w:bidi="ar-SA"/>
        </w:rPr>
        <w:t>第</w:t>
      </w:r>
      <w:r>
        <w:rPr>
          <w:rFonts w:hint="eastAsia" w:ascii="黑体" w:hAnsi="黑体" w:eastAsia="黑体" w:cs="黑体"/>
          <w:color w:val="auto"/>
          <w:spacing w:val="-6"/>
          <w:kern w:val="2"/>
          <w:sz w:val="32"/>
          <w:szCs w:val="32"/>
          <w:lang w:val="en-US" w:eastAsia="zh-CN" w:bidi="ar-SA"/>
        </w:rPr>
        <w:t>十</w:t>
      </w:r>
      <w:r>
        <w:rPr>
          <w:rFonts w:hint="default" w:ascii="黑体" w:hAnsi="黑体" w:eastAsia="黑体" w:cs="黑体"/>
          <w:color w:val="auto"/>
          <w:spacing w:val="-6"/>
          <w:kern w:val="2"/>
          <w:sz w:val="32"/>
          <w:szCs w:val="32"/>
          <w:lang w:val="en-US" w:eastAsia="zh-CN" w:bidi="ar-SA"/>
        </w:rPr>
        <w:t>条</w:t>
      </w:r>
      <w:r>
        <w:rPr>
          <w:rFonts w:hint="default" w:ascii="Times New Roman" w:hAnsi="Times New Roman" w:eastAsia="仿宋_GB2312" w:cs="Times New Roman"/>
          <w:b/>
          <w:bCs/>
          <w:color w:val="auto"/>
        </w:rPr>
        <w:t xml:space="preserve"> </w:t>
      </w:r>
      <w:r>
        <w:rPr>
          <w:rFonts w:hint="eastAsia" w:ascii="Times New Roman" w:hAnsi="Times New Roman" w:eastAsia="仿宋_GB2312" w:cs="Times New Roman"/>
          <w:b/>
          <w:bCs/>
          <w:color w:val="auto"/>
          <w:lang w:val="en-US" w:eastAsia="zh-CN"/>
        </w:rPr>
        <w:t xml:space="preserve"> </w:t>
      </w:r>
      <w:r>
        <w:rPr>
          <w:rFonts w:hint="default" w:ascii="Times New Roman" w:hAnsi="Times New Roman" w:eastAsia="仿宋_GB2312" w:cs="Times New Roman"/>
          <w:color w:val="auto"/>
        </w:rPr>
        <w:t>数据采集传输仪性能符合下列要求：</w:t>
      </w:r>
    </w:p>
    <w:p w14:paraId="27FED825">
      <w:pPr>
        <w:pStyle w:val="27"/>
        <w:spacing w:before="0" w:beforeLines="0" w:after="0" w:afterLines="0" w:line="560" w:lineRule="exact"/>
        <w:ind w:firstLine="616" w:firstLineChars="200"/>
        <w:jc w:val="both"/>
        <w:rPr>
          <w:rFonts w:hint="default" w:ascii="仿宋_GB2312" w:hAnsi="仿宋_GB2312"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rPr>
        <w:t>（一）通信安全：使用互联网传输数据时，应加密传输；使用各类专网传输数据时，宜加密传输，并从其通信安全管理要求。加密算法、密钥管理（注册、更新、重置）、加密范围应符合</w:t>
      </w:r>
      <w:r>
        <w:rPr>
          <w:rFonts w:hint="default" w:ascii="仿宋_GB2312" w:hAnsi="仿宋_GB2312" w:eastAsia="仿宋_GB2312" w:cs="Times New Roman"/>
          <w:color w:val="auto"/>
          <w:spacing w:val="-6"/>
          <w:kern w:val="2"/>
          <w:sz w:val="32"/>
          <w:szCs w:val="32"/>
          <w:lang w:val="en-US" w:eastAsia="zh-CN" w:bidi="ar-SA"/>
        </w:rPr>
        <w:t>HJ 212-2025相关要求；</w:t>
      </w:r>
    </w:p>
    <w:p w14:paraId="16FBFA39">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（二）数据状态标记：数据标记由现场端根据仪器仪表提供的数据标记、运行参数自动判定并与监测数据同步上传，不应人工干预。标记内容及代码应符合</w:t>
      </w:r>
      <w:r>
        <w:rPr>
          <w:rFonts w:hint="default" w:ascii="仿宋_GB2312" w:hAnsi="仿宋_GB2312" w:eastAsia="仿宋_GB2312" w:cs="Times New Roman"/>
          <w:color w:val="auto"/>
          <w:spacing w:val="-6"/>
          <w:kern w:val="2"/>
          <w:sz w:val="32"/>
          <w:szCs w:val="32"/>
          <w:lang w:val="en-US" w:eastAsia="zh-CN" w:bidi="ar-SA"/>
        </w:rPr>
        <w:t>HJ</w:t>
      </w:r>
      <w:r>
        <w:rPr>
          <w:rFonts w:hint="eastAsia" w:ascii="仿宋_GB2312" w:hAnsi="仿宋_GB2312" w:eastAsia="仿宋_GB2312" w:cs="Times New Roman"/>
          <w:color w:val="auto"/>
          <w:spacing w:val="-6"/>
          <w:kern w:val="2"/>
          <w:sz w:val="32"/>
          <w:szCs w:val="32"/>
          <w:lang w:val="en-US" w:eastAsia="zh-CN" w:bidi="ar-SA"/>
        </w:rPr>
        <w:t xml:space="preserve"> </w:t>
      </w:r>
      <w:r>
        <w:rPr>
          <w:rFonts w:hint="default" w:ascii="仿宋_GB2312" w:hAnsi="仿宋_GB2312" w:eastAsia="仿宋_GB2312" w:cs="Times New Roman"/>
          <w:color w:val="auto"/>
          <w:spacing w:val="-6"/>
          <w:kern w:val="2"/>
          <w:sz w:val="32"/>
          <w:szCs w:val="32"/>
          <w:lang w:val="en-US" w:eastAsia="zh-CN" w:bidi="ar-SA"/>
        </w:rPr>
        <w:t>212-2025</w:t>
      </w:r>
      <w:r>
        <w:rPr>
          <w:rFonts w:hint="default" w:ascii="Times New Roman" w:hAnsi="Times New Roman" w:eastAsia="仿宋_GB2312" w:cs="Times New Roman"/>
          <w:color w:val="auto"/>
        </w:rPr>
        <w:t>要求；</w:t>
      </w:r>
    </w:p>
    <w:p w14:paraId="1D1B2144">
      <w:pPr>
        <w:pStyle w:val="27"/>
        <w:spacing w:before="0" w:beforeLines="0" w:after="0" w:afterLines="0" w:line="560" w:lineRule="exact"/>
        <w:ind w:firstLine="616"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（三）运行参数上传：关键运行参数（如氧含量、流量、温度等）应实时上传，上传频次不低于每分钟1次；非实时参数在变化后5分钟内完成上传。参数编码应符合</w:t>
      </w:r>
      <w:r>
        <w:rPr>
          <w:rFonts w:hint="default" w:ascii="仿宋_GB2312" w:hAnsi="仿宋_GB2312" w:eastAsia="仿宋_GB2312" w:cs="Times New Roman"/>
          <w:color w:val="auto"/>
          <w:spacing w:val="-6"/>
          <w:kern w:val="2"/>
          <w:sz w:val="32"/>
          <w:szCs w:val="32"/>
          <w:lang w:val="en-US" w:eastAsia="zh-CN" w:bidi="ar-SA"/>
        </w:rPr>
        <w:t>HJ 212-2025</w:t>
      </w:r>
      <w:r>
        <w:rPr>
          <w:rFonts w:hint="default" w:ascii="Times New Roman" w:hAnsi="Times New Roman" w:eastAsia="仿宋_GB2312" w:cs="Times New Roman"/>
          <w:color w:val="auto"/>
        </w:rPr>
        <w:t>附录</w:t>
      </w:r>
      <w:r>
        <w:rPr>
          <w:rFonts w:ascii="Times New Roman" w:hAnsi="Times New Roman" w:eastAsia="仿宋_GB2312" w:cs="Times New Roman"/>
          <w:color w:val="auto"/>
        </w:rPr>
        <w:t xml:space="preserve"> </w:t>
      </w:r>
      <w:r>
        <w:rPr>
          <w:rFonts w:hint="default" w:ascii="仿宋_GB2312" w:hAnsi="仿宋_GB2312" w:eastAsia="仿宋_GB2312" w:cs="Times New Roman"/>
          <w:color w:val="auto"/>
          <w:spacing w:val="-6"/>
          <w:kern w:val="2"/>
          <w:sz w:val="32"/>
          <w:szCs w:val="32"/>
          <w:lang w:val="en-US" w:eastAsia="zh-CN" w:bidi="ar-SA"/>
        </w:rPr>
        <w:t xml:space="preserve">B </w:t>
      </w:r>
      <w:r>
        <w:rPr>
          <w:rFonts w:hint="default" w:ascii="Times New Roman" w:hAnsi="Times New Roman" w:eastAsia="仿宋_GB2312" w:cs="Times New Roman"/>
          <w:color w:val="auto"/>
        </w:rPr>
        <w:t>的规定；</w:t>
      </w:r>
    </w:p>
    <w:p w14:paraId="75204041">
      <w:pPr>
        <w:pStyle w:val="27"/>
        <w:spacing w:before="0" w:beforeLines="0" w:after="0" w:afterLines="0" w:line="560" w:lineRule="exact"/>
        <w:ind w:firstLine="616" w:firstLineChars="200"/>
        <w:jc w:val="both"/>
        <w:rPr>
          <w:rFonts w:ascii="Times New Roman" w:hAnsi="Times New Roman"/>
          <w:color w:val="auto"/>
        </w:rPr>
      </w:pPr>
      <w:r>
        <w:rPr>
          <w:rFonts w:hint="default" w:ascii="Times New Roman" w:hAnsi="Times New Roman" w:eastAsia="仿宋_GB2312" w:cs="Times New Roman"/>
          <w:color w:val="auto"/>
        </w:rPr>
        <w:t>（四）预警功能</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当自动监测设备运行关键参数超出正常范围时，</w:t>
      </w:r>
      <w:r>
        <w:rPr>
          <w:rFonts w:hint="eastAsia" w:ascii="Times New Roman" w:hAnsi="Times New Roman" w:eastAsia="仿宋_GB2312" w:cs="Times New Roman"/>
          <w:color w:val="auto"/>
          <w:lang w:val="en-US" w:eastAsia="zh-CN"/>
        </w:rPr>
        <w:t>能</w:t>
      </w:r>
      <w:r>
        <w:rPr>
          <w:rFonts w:hint="default" w:ascii="Times New Roman" w:hAnsi="Times New Roman" w:eastAsia="仿宋_GB2312" w:cs="Times New Roman"/>
          <w:color w:val="auto"/>
        </w:rPr>
        <w:t>立即向排污单位和生态环境主管部门监控平台发送预警信息。</w:t>
      </w:r>
    </w:p>
    <w:p w14:paraId="55A95B7D">
      <w:pPr>
        <w:pStyle w:val="27"/>
        <w:spacing w:before="296" w:after="296" w:line="560" w:lineRule="exact"/>
        <w:rPr>
          <w:rFonts w:hint="default" w:ascii="Times New Roman" w:hAnsi="Times New Roman" w:eastAsia="仿宋_GB2312" w:cs="Times New Roman"/>
          <w:color w:val="auto"/>
        </w:rPr>
      </w:pPr>
      <w:r>
        <w:rPr>
          <w:rFonts w:hint="default" w:ascii="Times New Roman" w:hAnsi="Times New Roman" w:cs="Times New Roman"/>
          <w:color w:val="auto"/>
        </w:rPr>
        <w:t>第四章 仪器设备更新</w:t>
      </w:r>
    </w:p>
    <w:p w14:paraId="2DED4EBF">
      <w:pPr>
        <w:spacing w:line="560" w:lineRule="exact"/>
        <w:ind w:firstLine="616" w:firstLineChars="200"/>
        <w:rPr>
          <w:rFonts w:ascii="Times New Roman" w:hAnsi="Times New Roman" w:eastAsia="黑体"/>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一</w:t>
      </w:r>
      <w:r>
        <w:rPr>
          <w:rFonts w:ascii="Times New Roman" w:hAnsi="Times New Roman" w:eastAsia="黑体"/>
          <w:color w:val="auto"/>
        </w:rPr>
        <w:t xml:space="preserve">条 </w:t>
      </w:r>
      <w:r>
        <w:rPr>
          <w:rFonts w:hint="eastAsia" w:ascii="Times New Roman" w:hAnsi="Times New Roman" w:eastAsia="黑体"/>
          <w:color w:val="auto"/>
          <w:lang w:val="en-US" w:eastAsia="zh-CN"/>
        </w:rPr>
        <w:t xml:space="preserve"> </w:t>
      </w:r>
      <w:r>
        <w:rPr>
          <w:rFonts w:ascii="Times New Roman" w:hAnsi="Times New Roman"/>
          <w:color w:val="auto"/>
        </w:rPr>
        <w:t>自动</w:t>
      </w:r>
      <w:r>
        <w:rPr>
          <w:rFonts w:hint="eastAsia" w:ascii="Times New Roman" w:hAnsi="Times New Roman"/>
          <w:color w:val="auto"/>
          <w:lang w:eastAsia="zh-CN"/>
        </w:rPr>
        <w:t>监控</w:t>
      </w:r>
      <w:r>
        <w:rPr>
          <w:rFonts w:ascii="Times New Roman" w:hAnsi="Times New Roman"/>
          <w:color w:val="auto"/>
        </w:rPr>
        <w:t>设备有下列情况之一的，应予</w:t>
      </w:r>
      <w:r>
        <w:rPr>
          <w:rFonts w:hint="eastAsia" w:ascii="Times New Roman" w:hAnsi="Times New Roman"/>
          <w:color w:val="auto"/>
          <w:lang w:eastAsia="zh-CN"/>
        </w:rPr>
        <w:t>以</w:t>
      </w:r>
      <w:r>
        <w:rPr>
          <w:rFonts w:ascii="Times New Roman" w:hAnsi="Times New Roman"/>
          <w:color w:val="auto"/>
        </w:rPr>
        <w:t>更新：</w:t>
      </w:r>
    </w:p>
    <w:p w14:paraId="64663C4D">
      <w:pPr>
        <w:spacing w:line="560" w:lineRule="exact"/>
        <w:ind w:firstLine="616" w:firstLineChars="200"/>
        <w:rPr>
          <w:rFonts w:ascii="Times New Roman" w:hAnsi="Times New Roman"/>
          <w:color w:val="auto"/>
        </w:rPr>
      </w:pPr>
      <w:r>
        <w:rPr>
          <w:rFonts w:ascii="Times New Roman" w:hAnsi="Times New Roman"/>
          <w:color w:val="auto"/>
        </w:rPr>
        <w:t>（一）自动监测设备未取得适用性检测合格证，或不具备</w:t>
      </w:r>
      <w:r>
        <w:rPr>
          <w:rFonts w:hint="default"/>
          <w:color w:val="auto"/>
        </w:rPr>
        <w:t>计量器具</w:t>
      </w:r>
      <w:r>
        <w:rPr>
          <w:rFonts w:hint="eastAsia"/>
          <w:color w:val="auto"/>
          <w:lang w:val="en-US" w:eastAsia="zh-CN"/>
        </w:rPr>
        <w:t>型式批准证书</w:t>
      </w:r>
      <w:r>
        <w:rPr>
          <w:rFonts w:hint="default"/>
          <w:color w:val="auto"/>
        </w:rPr>
        <w:t>[CP</w:t>
      </w:r>
      <w:r>
        <w:rPr>
          <w:rFonts w:hint="eastAsia"/>
          <w:color w:val="auto"/>
          <w:lang w:val="en-US" w:eastAsia="zh-CN"/>
        </w:rPr>
        <w:t>A</w:t>
      </w:r>
      <w:r>
        <w:rPr>
          <w:rFonts w:hint="default"/>
          <w:color w:val="auto"/>
        </w:rPr>
        <w:t>]</w:t>
      </w:r>
      <w:r>
        <w:rPr>
          <w:rFonts w:ascii="Times New Roman" w:hAnsi="Times New Roman"/>
          <w:color w:val="auto"/>
        </w:rPr>
        <w:t>，或不具备中国环境保护产品认证</w:t>
      </w:r>
      <w:r>
        <w:rPr>
          <w:rFonts w:hint="default"/>
          <w:color w:val="auto"/>
        </w:rPr>
        <w:t>[CCEP]</w:t>
      </w:r>
      <w:r>
        <w:rPr>
          <w:rFonts w:ascii="Times New Roman" w:hAnsi="Times New Roman"/>
          <w:color w:val="auto"/>
        </w:rPr>
        <w:t>标识的；</w:t>
      </w:r>
    </w:p>
    <w:p w14:paraId="0A49B0DF">
      <w:pPr>
        <w:spacing w:line="560" w:lineRule="exact"/>
        <w:ind w:firstLine="616" w:firstLineChars="200"/>
        <w:rPr>
          <w:rFonts w:ascii="Times New Roman" w:hAnsi="Times New Roman"/>
          <w:color w:val="auto"/>
        </w:rPr>
      </w:pPr>
      <w:r>
        <w:rPr>
          <w:rFonts w:hint="eastAsia" w:ascii="仿宋_GB2312" w:hAnsi="仿宋_GB2312" w:eastAsia="仿宋_GB2312" w:cs="仿宋_GB2312"/>
          <w:color w:val="auto"/>
        </w:rPr>
        <w:t>一年内自动监测设备核心部件维修更换超过6次</w:t>
      </w:r>
      <w:r>
        <w:rPr>
          <w:rFonts w:hint="eastAsia" w:cs="仿宋_GB2312"/>
          <w:color w:val="auto"/>
          <w:lang w:eastAsia="zh-CN"/>
        </w:rPr>
        <w:t>，</w:t>
      </w:r>
      <w:r>
        <w:rPr>
          <w:rFonts w:hint="eastAsia" w:cs="仿宋_GB2312"/>
          <w:color w:val="auto"/>
          <w:lang w:val="en-US" w:eastAsia="zh-CN"/>
        </w:rPr>
        <w:t>且</w:t>
      </w:r>
      <w:r>
        <w:rPr>
          <w:rFonts w:hint="eastAsia" w:ascii="仿宋_GB2312" w:hAnsi="仿宋_GB2312" w:eastAsia="仿宋_GB2312" w:cs="仿宋_GB2312"/>
          <w:color w:val="auto"/>
        </w:rPr>
        <w:t>CEMS核心部件维修后仍不符合HJ 75、HJ 76、HJ 1286要求的，</w:t>
      </w:r>
      <w:r>
        <w:rPr>
          <w:rFonts w:hint="eastAsia" w:cs="仿宋_GB2312"/>
          <w:color w:val="auto"/>
          <w:lang w:val="en-US" w:eastAsia="zh-CN"/>
        </w:rPr>
        <w:t>或</w:t>
      </w:r>
      <w:r>
        <w:rPr>
          <w:rFonts w:hint="eastAsia" w:ascii="仿宋_GB2312" w:hAnsi="仿宋_GB2312" w:eastAsia="仿宋_GB2312" w:cs="仿宋_GB2312"/>
          <w:color w:val="auto"/>
        </w:rPr>
        <w:t>WEMS核心部件维修后仍不符合HJ 353、HJ 354、HJ 355要求的；</w:t>
      </w:r>
    </w:p>
    <w:p w14:paraId="2385CBB0">
      <w:pPr>
        <w:spacing w:line="560" w:lineRule="exact"/>
        <w:ind w:firstLine="616" w:firstLineChars="200"/>
        <w:rPr>
          <w:rFonts w:ascii="Times New Roman" w:hAnsi="Times New Roman"/>
          <w:color w:val="auto"/>
        </w:rPr>
      </w:pPr>
      <w:r>
        <w:rPr>
          <w:rFonts w:ascii="Times New Roman" w:hAnsi="Times New Roman"/>
          <w:color w:val="auto"/>
        </w:rPr>
        <w:t>核心部件是指对设备监测精度和稳定性起决定性作用的组件，包括但不限于气体和水质分析仪传感器、数据采集传输仪主板、流量（速）计测量单元、光谱仪核心模块等关键组件</w:t>
      </w:r>
      <w:r>
        <w:rPr>
          <w:rFonts w:hint="eastAsia" w:ascii="Times New Roman" w:hAnsi="Times New Roman"/>
          <w:color w:val="auto"/>
        </w:rPr>
        <w:t>。</w:t>
      </w:r>
    </w:p>
    <w:p w14:paraId="261FC7EF">
      <w:pPr>
        <w:spacing w:line="560" w:lineRule="exact"/>
        <w:ind w:firstLine="616" w:firstLineChars="200"/>
        <w:rPr>
          <w:rFonts w:hint="eastAsia" w:ascii="Times New Roman" w:hAnsi="Times New Roman" w:eastAsia="仿宋_GB2312"/>
          <w:color w:val="auto"/>
          <w:lang w:eastAsia="zh-CN"/>
        </w:rPr>
      </w:pPr>
      <w:r>
        <w:rPr>
          <w:rFonts w:ascii="Times New Roman" w:hAnsi="Times New Roman"/>
          <w:color w:val="auto"/>
        </w:rPr>
        <w:t>（</w:t>
      </w:r>
      <w:r>
        <w:rPr>
          <w:rFonts w:hint="eastAsia" w:ascii="Times New Roman" w:hAnsi="Times New Roman"/>
          <w:color w:val="auto"/>
          <w:lang w:eastAsia="zh-CN"/>
        </w:rPr>
        <w:t>二</w:t>
      </w:r>
      <w:r>
        <w:rPr>
          <w:rFonts w:ascii="Times New Roman" w:hAnsi="Times New Roman"/>
          <w:color w:val="auto"/>
        </w:rPr>
        <w:t>）</w:t>
      </w:r>
      <w:r>
        <w:rPr>
          <w:rFonts w:hint="eastAsia" w:cs="Times New Roman"/>
          <w:color w:val="auto"/>
          <w:lang w:val="en-US" w:eastAsia="zh-CN"/>
        </w:rPr>
        <w:t>流量（速）计</w:t>
      </w:r>
      <w:r>
        <w:rPr>
          <w:rFonts w:ascii="Times New Roman" w:hAnsi="Times New Roman"/>
          <w:color w:val="auto"/>
        </w:rPr>
        <w:t>经市场监督管理部门强制性计量检定不合格的</w:t>
      </w:r>
      <w:r>
        <w:rPr>
          <w:rFonts w:hint="eastAsia" w:ascii="Times New Roman" w:hAnsi="Times New Roman"/>
          <w:color w:val="auto"/>
          <w:lang w:eastAsia="zh-CN"/>
        </w:rPr>
        <w:t>。</w:t>
      </w:r>
    </w:p>
    <w:p w14:paraId="55DF3FDB">
      <w:pPr>
        <w:spacing w:line="560" w:lineRule="exact"/>
        <w:ind w:firstLine="616" w:firstLineChars="200"/>
        <w:rPr>
          <w:rFonts w:hint="eastAsia" w:ascii="仿宋_GB2312" w:hAnsi="仿宋_GB2312" w:eastAsia="仿宋_GB2312" w:cs="仿宋_GB2312"/>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二</w:t>
      </w:r>
      <w:r>
        <w:rPr>
          <w:rFonts w:ascii="Times New Roman" w:hAnsi="Times New Roman" w:eastAsia="黑体"/>
          <w:color w:val="auto"/>
        </w:rPr>
        <w:t>条</w:t>
      </w:r>
      <w:r>
        <w:rPr>
          <w:rFonts w:ascii="Times New Roman" w:hAnsi="Times New Roman"/>
          <w:color w:val="auto"/>
        </w:rPr>
        <w:t xml:space="preserve"> </w:t>
      </w:r>
      <w:r>
        <w:rPr>
          <w:rFonts w:hint="eastAsia" w:ascii="Times New Roman" w:hAnsi="Times New Roman"/>
          <w:color w:val="auto"/>
          <w:lang w:val="en-US" w:eastAsia="zh-CN"/>
        </w:rPr>
        <w:t xml:space="preserve"> </w:t>
      </w:r>
      <w:r>
        <w:rPr>
          <w:rFonts w:hint="eastAsia" w:ascii="仿宋_GB2312" w:hAnsi="仿宋_GB2312" w:eastAsia="仿宋_GB2312" w:cs="仿宋_GB2312"/>
          <w:color w:val="auto"/>
        </w:rPr>
        <w:t>自2026年1月</w:t>
      </w:r>
      <w:r>
        <w:rPr>
          <w:rFonts w:hint="eastAsia" w:cs="仿宋_GB2312"/>
          <w:color w:val="auto"/>
          <w:lang w:val="en-US" w:eastAsia="zh-CN"/>
        </w:rPr>
        <w:t>1</w:t>
      </w:r>
      <w:r>
        <w:rPr>
          <w:rFonts w:hint="eastAsia" w:ascii="仿宋_GB2312" w:hAnsi="仿宋_GB2312" w:eastAsia="仿宋_GB2312" w:cs="仿宋_GB2312"/>
          <w:color w:val="auto"/>
        </w:rPr>
        <w:t>日起，所有更新的自动</w:t>
      </w:r>
      <w:r>
        <w:rPr>
          <w:rFonts w:hint="eastAsia" w:cs="仿宋_GB2312"/>
          <w:color w:val="auto"/>
          <w:lang w:eastAsia="zh-CN"/>
        </w:rPr>
        <w:t>监测</w:t>
      </w:r>
      <w:r>
        <w:rPr>
          <w:rFonts w:hint="eastAsia" w:ascii="仿宋_GB2312" w:hAnsi="仿宋_GB2312" w:eastAsia="仿宋_GB2312" w:cs="仿宋_GB2312"/>
          <w:color w:val="auto"/>
        </w:rPr>
        <w:t>设备必须符合HJ 212-2025标准的“统一设备标识、统一穿透参数、统一加密安全、统一联网注册、统一传输标准”要求。</w:t>
      </w:r>
    </w:p>
    <w:p w14:paraId="020746D2">
      <w:pPr>
        <w:spacing w:line="560" w:lineRule="exact"/>
        <w:ind w:firstLine="616" w:firstLineChars="200"/>
        <w:rPr>
          <w:rFonts w:hint="eastAsia" w:ascii="仿宋_GB2312" w:hAnsi="仿宋_GB2312" w:eastAsia="仿宋_GB2312" w:cs="仿宋_GB2312"/>
          <w:color w:val="auto"/>
        </w:rPr>
      </w:pPr>
      <w:r>
        <w:rPr>
          <w:rFonts w:hint="eastAsia" w:ascii="Times New Roman" w:hAnsi="Times New Roman" w:eastAsia="黑体"/>
          <w:color w:val="auto"/>
        </w:rPr>
        <w:t>第</w:t>
      </w:r>
      <w:r>
        <w:rPr>
          <w:rFonts w:hint="eastAsia" w:ascii="Times New Roman" w:hAnsi="Times New Roman" w:eastAsia="黑体"/>
          <w:color w:val="auto"/>
          <w:lang w:eastAsia="zh-CN"/>
        </w:rPr>
        <w:t>十三</w:t>
      </w:r>
      <w:r>
        <w:rPr>
          <w:rFonts w:hint="eastAsia" w:ascii="Times New Roman" w:hAnsi="Times New Roman" w:eastAsia="黑体"/>
          <w:color w:val="auto"/>
        </w:rPr>
        <w:t>条</w:t>
      </w:r>
      <w:r>
        <w:rPr>
          <w:rFonts w:hint="eastAsia" w:ascii="仿宋_GB2312" w:hAnsi="仿宋_GB2312" w:eastAsia="仿宋_GB2312" w:cs="仿宋_GB2312"/>
          <w:color w:val="auto"/>
        </w:rPr>
        <w:t xml:space="preserve"> </w:t>
      </w:r>
      <w:r>
        <w:rPr>
          <w:rFonts w:hint="eastAsia" w:cs="仿宋_GB2312"/>
          <w:color w:val="auto"/>
          <w:lang w:val="en-US" w:eastAsia="zh-CN"/>
        </w:rPr>
        <w:t xml:space="preserve"> </w:t>
      </w:r>
      <w:r>
        <w:rPr>
          <w:rFonts w:hint="eastAsia" w:ascii="仿宋_GB2312" w:hAnsi="仿宋_GB2312" w:eastAsia="仿宋_GB2312" w:cs="仿宋_GB2312"/>
          <w:color w:val="auto"/>
        </w:rPr>
        <w:t>重点单位应按照《企业会计准则第4号—固定资产》及国家财务会计制度规定，对自动</w:t>
      </w:r>
      <w:r>
        <w:rPr>
          <w:rFonts w:hint="eastAsia" w:cs="仿宋_GB2312"/>
          <w:color w:val="auto"/>
          <w:lang w:eastAsia="zh-CN"/>
        </w:rPr>
        <w:t>监测</w:t>
      </w:r>
      <w:r>
        <w:rPr>
          <w:rFonts w:hint="eastAsia" w:ascii="仿宋_GB2312" w:hAnsi="仿宋_GB2312" w:eastAsia="仿宋_GB2312" w:cs="仿宋_GB2312"/>
          <w:color w:val="auto"/>
        </w:rPr>
        <w:t>设备计提折旧，折旧年限不低于5年。折旧期满后，重点单位应组织开展技术性能评估，</w:t>
      </w:r>
      <w:r>
        <w:rPr>
          <w:rFonts w:hint="eastAsia" w:cs="仿宋_GB2312"/>
          <w:color w:val="auto"/>
          <w:lang w:eastAsia="zh-CN"/>
        </w:rPr>
        <w:t>经评估</w:t>
      </w:r>
      <w:r>
        <w:rPr>
          <w:rFonts w:hint="eastAsia" w:ascii="仿宋_GB2312" w:hAnsi="仿宋_GB2312" w:eastAsia="仿宋_GB2312" w:cs="仿宋_GB2312"/>
          <w:color w:val="auto"/>
        </w:rPr>
        <w:t>不符合HJ 212-2025等现行标准要求或无法保障监测数据连续稳定</w:t>
      </w:r>
      <w:r>
        <w:rPr>
          <w:rFonts w:hint="eastAsia" w:cs="仿宋_GB2312"/>
          <w:color w:val="auto"/>
          <w:lang w:eastAsia="zh-CN"/>
        </w:rPr>
        <w:t>有效</w:t>
      </w:r>
      <w:r>
        <w:rPr>
          <w:rFonts w:hint="eastAsia" w:ascii="仿宋_GB2312" w:hAnsi="仿宋_GB2312" w:eastAsia="仿宋_GB2312" w:cs="仿宋_GB2312"/>
          <w:color w:val="auto"/>
        </w:rPr>
        <w:t xml:space="preserve">的设备，应及时进行更新改造。鼓励重点单位结合 </w:t>
      </w:r>
      <w:r>
        <w:rPr>
          <w:rFonts w:ascii="Times New Roman" w:hAnsi="Times New Roman"/>
          <w:color w:val="auto"/>
        </w:rPr>
        <w:t>“两新政策”、“专用设备数字化智能化改造所得税优惠”</w:t>
      </w:r>
      <w:r>
        <w:rPr>
          <w:rFonts w:hint="eastAsia" w:ascii="仿宋_GB2312" w:hAnsi="仿宋_GB2312" w:eastAsia="仿宋_GB2312" w:cs="仿宋_GB2312"/>
          <w:color w:val="auto"/>
        </w:rPr>
        <w:t xml:space="preserve"> 等政策，提前开展设备升级。</w:t>
      </w:r>
    </w:p>
    <w:p w14:paraId="447B3BD6">
      <w:pPr>
        <w:pStyle w:val="27"/>
        <w:spacing w:before="296" w:after="296" w:line="560" w:lineRule="exact"/>
        <w:rPr>
          <w:rFonts w:hint="default" w:ascii="Times New Roman" w:hAnsi="Times New Roman" w:cs="Times New Roman"/>
          <w:color w:val="auto"/>
        </w:rPr>
      </w:pPr>
      <w:r>
        <w:rPr>
          <w:rFonts w:hint="default" w:ascii="Times New Roman" w:hAnsi="Times New Roman" w:cs="Times New Roman"/>
          <w:color w:val="auto"/>
        </w:rPr>
        <w:t>第五章 附则</w:t>
      </w:r>
    </w:p>
    <w:p w14:paraId="55E16176">
      <w:pPr>
        <w:spacing w:line="560" w:lineRule="exact"/>
        <w:ind w:firstLine="616" w:firstLineChars="200"/>
        <w:rPr>
          <w:rFonts w:ascii="Times New Roman" w:hAnsi="Times New Roman"/>
          <w:color w:val="auto"/>
          <w:spacing w:val="-11"/>
        </w:rPr>
      </w:pPr>
      <w:r>
        <w:rPr>
          <w:rFonts w:ascii="Times New Roman" w:hAnsi="Times New Roman" w:eastAsia="黑体"/>
          <w:color w:val="auto"/>
        </w:rPr>
        <w:t>第十</w:t>
      </w:r>
      <w:r>
        <w:rPr>
          <w:rFonts w:hint="eastAsia" w:ascii="Times New Roman" w:hAnsi="Times New Roman" w:eastAsia="黑体"/>
          <w:color w:val="auto"/>
          <w:lang w:val="en-US" w:eastAsia="zh-CN"/>
        </w:rPr>
        <w:t>四</w:t>
      </w:r>
      <w:r>
        <w:rPr>
          <w:rFonts w:ascii="Times New Roman" w:hAnsi="Times New Roman" w:eastAsia="黑体"/>
          <w:color w:val="auto"/>
        </w:rPr>
        <w:t>条</w:t>
      </w:r>
      <w:r>
        <w:rPr>
          <w:rFonts w:ascii="Times New Roman" w:hAnsi="Times New Roman"/>
          <w:color w:val="auto"/>
        </w:rPr>
        <w:t>　</w:t>
      </w:r>
      <w:r>
        <w:rPr>
          <w:rFonts w:ascii="Times New Roman" w:hAnsi="Times New Roman"/>
          <w:color w:val="auto"/>
          <w:spacing w:val="-11"/>
        </w:rPr>
        <w:t>本办法由新疆维吾尔</w:t>
      </w:r>
      <w:r>
        <w:rPr>
          <w:rFonts w:hint="eastAsia" w:ascii="Times New Roman" w:hAnsi="Times New Roman"/>
          <w:color w:val="auto"/>
          <w:spacing w:val="-11"/>
          <w:lang w:eastAsia="zh-CN"/>
        </w:rPr>
        <w:t>自治区生态环境保护产业协会</w:t>
      </w:r>
      <w:r>
        <w:rPr>
          <w:rFonts w:ascii="Times New Roman" w:hAnsi="Times New Roman"/>
          <w:color w:val="auto"/>
          <w:spacing w:val="-11"/>
        </w:rPr>
        <w:t>负责解释。</w:t>
      </w:r>
    </w:p>
    <w:p w14:paraId="4892F72E">
      <w:pPr>
        <w:spacing w:line="560" w:lineRule="exact"/>
        <w:ind w:firstLine="616" w:firstLineChars="200"/>
        <w:rPr>
          <w:rFonts w:hint="eastAsia"/>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五</w:t>
      </w:r>
      <w:r>
        <w:rPr>
          <w:rFonts w:ascii="Times New Roman" w:hAnsi="Times New Roman" w:eastAsia="黑体"/>
          <w:color w:val="auto"/>
        </w:rPr>
        <w:t>条</w:t>
      </w:r>
      <w:r>
        <w:rPr>
          <w:rFonts w:ascii="Times New Roman" w:hAnsi="Times New Roman"/>
          <w:color w:val="auto"/>
        </w:rPr>
        <w:t xml:space="preserve">　本办法自公布之日起30日后施行，有效期2年。 </w:t>
      </w:r>
    </w:p>
    <w:sectPr>
      <w:headerReference r:id="rId3" w:type="default"/>
      <w:footerReference r:id="rId5" w:type="default"/>
      <w:headerReference r:id="rId4" w:type="even"/>
      <w:footerReference r:id="rId6" w:type="even"/>
      <w:pgSz w:w="11906" w:h="16838"/>
      <w:pgMar w:top="2098" w:right="1474" w:bottom="1984" w:left="1587" w:header="851" w:footer="1049" w:gutter="0"/>
      <w:pgNumType w:start="1"/>
      <w:cols w:space="425" w:num="1"/>
      <w:docGrid w:type="linesAndChars" w:linePitch="592"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08ED2D-41E1-435F-B342-A93E71CC72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289C2E1-6058-435C-B896-EEDE5F0B5362}"/>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panose1 w:val="02000000000000000000"/>
    <w:charset w:val="86"/>
    <w:family w:val="auto"/>
    <w:pitch w:val="default"/>
    <w:sig w:usb0="A00002BF" w:usb1="38CF7CFA" w:usb2="00082016" w:usb3="00000000" w:csb0="00040001" w:csb1="00000000"/>
    <w:embedRegular r:id="rId3" w:fontKey="{521728BD-0352-4AE3-A543-5020F9ECDD99}"/>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4" w:fontKey="{215D2209-0D18-495F-A5A9-430C91888C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55B4D">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6BE8C">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rX78YTICAABfBAAADgAAAAAAAAABACAAAAAlAQAAZHJzL2Uyb0RvYy54&#10;bWxQSwUGAAAAAAYABgBZAQAAyQUAAAAA&#10;">
              <v:fill on="f" focussize="0,0"/>
              <v:stroke on="f" weight="0.5pt"/>
              <v:imagedata o:title=""/>
              <o:lock v:ext="edit" aspectratio="f"/>
              <v:textbox inset="16pt,0mm,16pt,0mm" style="mso-fit-shape-to-text:t;">
                <w:txbxContent>
                  <w:p w14:paraId="08E6BE8C">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38FEB">
    <w:pPr>
      <w:pStyle w:val="13"/>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0F230">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UU+kxAgAAXw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AP1FPpMQIAAF8EAAAOAAAAAAAAAAEAIAAAACUBAABkcnMvZTJvRG9jLnht&#10;bFBLBQYAAAAABgAGAFkBAADIBQAAAAA=&#10;">
              <v:fill on="f" focussize="0,0"/>
              <v:stroke on="f" weight="0.5pt"/>
              <v:imagedata o:title=""/>
              <o:lock v:ext="edit" aspectratio="f"/>
              <v:textbox inset="16pt,0mm,16pt,0mm" style="mso-fit-shape-to-text:t;">
                <w:txbxContent>
                  <w:p w14:paraId="29B0F230">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D4DCF">
    <w:pPr>
      <w:pStyle w:val="1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5465">
    <w:pPr>
      <w:pStyle w:val="14"/>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formatting="1" w:enforcement="0"/>
  <w:defaultTabStop w:val="420"/>
  <w:evenAndOddHeaders w:val="1"/>
  <w:drawingGridHorizontalSpacing w:val="158"/>
  <w:drawingGridVerticalSpacing w:val="29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19"/>
    <w:rsid w:val="00023F57"/>
    <w:rsid w:val="00092194"/>
    <w:rsid w:val="00093FF5"/>
    <w:rsid w:val="000A7F0A"/>
    <w:rsid w:val="000E4EDB"/>
    <w:rsid w:val="000F4CFC"/>
    <w:rsid w:val="001114A6"/>
    <w:rsid w:val="00117CE6"/>
    <w:rsid w:val="00121A04"/>
    <w:rsid w:val="001551C8"/>
    <w:rsid w:val="00172606"/>
    <w:rsid w:val="00180663"/>
    <w:rsid w:val="0018253F"/>
    <w:rsid w:val="001B31AD"/>
    <w:rsid w:val="001D1CEA"/>
    <w:rsid w:val="001F4194"/>
    <w:rsid w:val="00200C8C"/>
    <w:rsid w:val="0021398C"/>
    <w:rsid w:val="0022549C"/>
    <w:rsid w:val="00225700"/>
    <w:rsid w:val="00254FCB"/>
    <w:rsid w:val="0027794C"/>
    <w:rsid w:val="002D70A2"/>
    <w:rsid w:val="00305CE7"/>
    <w:rsid w:val="003521ED"/>
    <w:rsid w:val="003928BE"/>
    <w:rsid w:val="00416787"/>
    <w:rsid w:val="0046689E"/>
    <w:rsid w:val="00490E49"/>
    <w:rsid w:val="004E1E15"/>
    <w:rsid w:val="00513624"/>
    <w:rsid w:val="005158D6"/>
    <w:rsid w:val="00536AEF"/>
    <w:rsid w:val="00573860"/>
    <w:rsid w:val="00593101"/>
    <w:rsid w:val="005B1FA0"/>
    <w:rsid w:val="005F5908"/>
    <w:rsid w:val="0062397F"/>
    <w:rsid w:val="00640BDF"/>
    <w:rsid w:val="006541D7"/>
    <w:rsid w:val="006564AD"/>
    <w:rsid w:val="006B3323"/>
    <w:rsid w:val="006E552D"/>
    <w:rsid w:val="007574F8"/>
    <w:rsid w:val="00766BF7"/>
    <w:rsid w:val="0077062D"/>
    <w:rsid w:val="007707A9"/>
    <w:rsid w:val="0079142A"/>
    <w:rsid w:val="007B0051"/>
    <w:rsid w:val="007B296D"/>
    <w:rsid w:val="007B598C"/>
    <w:rsid w:val="007C5D15"/>
    <w:rsid w:val="007F438D"/>
    <w:rsid w:val="00835F64"/>
    <w:rsid w:val="00852C87"/>
    <w:rsid w:val="0086500B"/>
    <w:rsid w:val="00872101"/>
    <w:rsid w:val="00876396"/>
    <w:rsid w:val="008836D0"/>
    <w:rsid w:val="00891EDF"/>
    <w:rsid w:val="008E3578"/>
    <w:rsid w:val="008F7462"/>
    <w:rsid w:val="009044A3"/>
    <w:rsid w:val="00907CB0"/>
    <w:rsid w:val="00923136"/>
    <w:rsid w:val="00946EF1"/>
    <w:rsid w:val="00A018DC"/>
    <w:rsid w:val="00A12EB6"/>
    <w:rsid w:val="00AC3412"/>
    <w:rsid w:val="00AC6B3D"/>
    <w:rsid w:val="00B31DFB"/>
    <w:rsid w:val="00B323F9"/>
    <w:rsid w:val="00B32474"/>
    <w:rsid w:val="00B579CA"/>
    <w:rsid w:val="00B9347B"/>
    <w:rsid w:val="00BB2513"/>
    <w:rsid w:val="00BD1C19"/>
    <w:rsid w:val="00BD65AF"/>
    <w:rsid w:val="00BE4B34"/>
    <w:rsid w:val="00BE6EE3"/>
    <w:rsid w:val="00C21FF1"/>
    <w:rsid w:val="00C251B7"/>
    <w:rsid w:val="00C40699"/>
    <w:rsid w:val="00C87AE4"/>
    <w:rsid w:val="00CD0B64"/>
    <w:rsid w:val="00D2607C"/>
    <w:rsid w:val="00D3401C"/>
    <w:rsid w:val="00D97AF0"/>
    <w:rsid w:val="00DE06A9"/>
    <w:rsid w:val="00DF3193"/>
    <w:rsid w:val="00DF3506"/>
    <w:rsid w:val="00E04C3E"/>
    <w:rsid w:val="00E172FB"/>
    <w:rsid w:val="00E4065D"/>
    <w:rsid w:val="00E77185"/>
    <w:rsid w:val="00EB6B19"/>
    <w:rsid w:val="00EC0488"/>
    <w:rsid w:val="00EC3036"/>
    <w:rsid w:val="00EE79FF"/>
    <w:rsid w:val="00F20590"/>
    <w:rsid w:val="00F32A19"/>
    <w:rsid w:val="00F35D59"/>
    <w:rsid w:val="00F81420"/>
    <w:rsid w:val="00F84D7B"/>
    <w:rsid w:val="00F92CE7"/>
    <w:rsid w:val="00FA4938"/>
    <w:rsid w:val="00FE2439"/>
    <w:rsid w:val="01151B6D"/>
    <w:rsid w:val="018A044E"/>
    <w:rsid w:val="019D7E34"/>
    <w:rsid w:val="01DD6839"/>
    <w:rsid w:val="024141DC"/>
    <w:rsid w:val="0270061D"/>
    <w:rsid w:val="02CC1957"/>
    <w:rsid w:val="02DC3F04"/>
    <w:rsid w:val="04164547"/>
    <w:rsid w:val="04346662"/>
    <w:rsid w:val="04CE21D9"/>
    <w:rsid w:val="059A2A9E"/>
    <w:rsid w:val="060C100F"/>
    <w:rsid w:val="06497B03"/>
    <w:rsid w:val="06807EAE"/>
    <w:rsid w:val="06D04F65"/>
    <w:rsid w:val="07222102"/>
    <w:rsid w:val="07707311"/>
    <w:rsid w:val="07D21D7A"/>
    <w:rsid w:val="0A9E2D09"/>
    <w:rsid w:val="0AFB3396"/>
    <w:rsid w:val="0B3348DE"/>
    <w:rsid w:val="0B957346"/>
    <w:rsid w:val="0C1417FB"/>
    <w:rsid w:val="0C774366"/>
    <w:rsid w:val="0CB101B0"/>
    <w:rsid w:val="0CC100FC"/>
    <w:rsid w:val="0CF225FC"/>
    <w:rsid w:val="0D985CB5"/>
    <w:rsid w:val="0E745939"/>
    <w:rsid w:val="0F916077"/>
    <w:rsid w:val="0FEE3240"/>
    <w:rsid w:val="102137F8"/>
    <w:rsid w:val="103E7BAF"/>
    <w:rsid w:val="10475067"/>
    <w:rsid w:val="10984D7D"/>
    <w:rsid w:val="114333A1"/>
    <w:rsid w:val="114710E3"/>
    <w:rsid w:val="11537A88"/>
    <w:rsid w:val="11840349"/>
    <w:rsid w:val="118E5E8D"/>
    <w:rsid w:val="11DC20DB"/>
    <w:rsid w:val="12C0114D"/>
    <w:rsid w:val="136B5C85"/>
    <w:rsid w:val="14484ED0"/>
    <w:rsid w:val="14832432"/>
    <w:rsid w:val="160C7127"/>
    <w:rsid w:val="1670737F"/>
    <w:rsid w:val="17A07012"/>
    <w:rsid w:val="18FE652B"/>
    <w:rsid w:val="1936120E"/>
    <w:rsid w:val="1A2C77DE"/>
    <w:rsid w:val="1A903AFB"/>
    <w:rsid w:val="1ACB13C2"/>
    <w:rsid w:val="1AD734D7"/>
    <w:rsid w:val="1B102545"/>
    <w:rsid w:val="1CBF8F11"/>
    <w:rsid w:val="1D420B90"/>
    <w:rsid w:val="1DD927F8"/>
    <w:rsid w:val="1DFC54D6"/>
    <w:rsid w:val="1F0F3726"/>
    <w:rsid w:val="1F9A2D26"/>
    <w:rsid w:val="20AF75D0"/>
    <w:rsid w:val="21352D06"/>
    <w:rsid w:val="21583244"/>
    <w:rsid w:val="21AB52B4"/>
    <w:rsid w:val="21FB3F4F"/>
    <w:rsid w:val="22152AF6"/>
    <w:rsid w:val="22244B28"/>
    <w:rsid w:val="22656D96"/>
    <w:rsid w:val="226F3FF6"/>
    <w:rsid w:val="232E7A65"/>
    <w:rsid w:val="23857C76"/>
    <w:rsid w:val="23B04A74"/>
    <w:rsid w:val="25007AC5"/>
    <w:rsid w:val="2530284B"/>
    <w:rsid w:val="259C5B5D"/>
    <w:rsid w:val="25AF55CD"/>
    <w:rsid w:val="25B85CB3"/>
    <w:rsid w:val="25F71631"/>
    <w:rsid w:val="268A4B87"/>
    <w:rsid w:val="268F4C66"/>
    <w:rsid w:val="2746611E"/>
    <w:rsid w:val="27C747D2"/>
    <w:rsid w:val="29015BC3"/>
    <w:rsid w:val="2A202079"/>
    <w:rsid w:val="2A957A1D"/>
    <w:rsid w:val="2B047E4E"/>
    <w:rsid w:val="2B442E19"/>
    <w:rsid w:val="2B760A1F"/>
    <w:rsid w:val="2B8E7BE2"/>
    <w:rsid w:val="2D4F2D5D"/>
    <w:rsid w:val="2DC35FDC"/>
    <w:rsid w:val="2DFB7AF8"/>
    <w:rsid w:val="2E404FEA"/>
    <w:rsid w:val="2FFDA924"/>
    <w:rsid w:val="303D3985"/>
    <w:rsid w:val="31572824"/>
    <w:rsid w:val="31DE198A"/>
    <w:rsid w:val="31EB3358"/>
    <w:rsid w:val="347F27BE"/>
    <w:rsid w:val="34983F3A"/>
    <w:rsid w:val="35275399"/>
    <w:rsid w:val="35BF68E9"/>
    <w:rsid w:val="35C44C2A"/>
    <w:rsid w:val="361913CE"/>
    <w:rsid w:val="37DE5A4E"/>
    <w:rsid w:val="37E432C6"/>
    <w:rsid w:val="38821F74"/>
    <w:rsid w:val="38DF5725"/>
    <w:rsid w:val="39161217"/>
    <w:rsid w:val="392E6561"/>
    <w:rsid w:val="399E6112"/>
    <w:rsid w:val="39A3641C"/>
    <w:rsid w:val="3A092B2A"/>
    <w:rsid w:val="3A0F3685"/>
    <w:rsid w:val="3ABFF925"/>
    <w:rsid w:val="3BE23632"/>
    <w:rsid w:val="3BFD221A"/>
    <w:rsid w:val="3C406CD7"/>
    <w:rsid w:val="3E9C21BE"/>
    <w:rsid w:val="3EE2C9F9"/>
    <w:rsid w:val="3EEE0D96"/>
    <w:rsid w:val="3F0763D8"/>
    <w:rsid w:val="3FE42750"/>
    <w:rsid w:val="417657E0"/>
    <w:rsid w:val="417B60BB"/>
    <w:rsid w:val="419A3FAE"/>
    <w:rsid w:val="42815953"/>
    <w:rsid w:val="42E2696E"/>
    <w:rsid w:val="43652B30"/>
    <w:rsid w:val="43915FC8"/>
    <w:rsid w:val="43EB4160"/>
    <w:rsid w:val="446C2A92"/>
    <w:rsid w:val="446C618F"/>
    <w:rsid w:val="456A6B72"/>
    <w:rsid w:val="4588524B"/>
    <w:rsid w:val="459E0E35"/>
    <w:rsid w:val="46731A57"/>
    <w:rsid w:val="47307948"/>
    <w:rsid w:val="481E3AAF"/>
    <w:rsid w:val="48417EBE"/>
    <w:rsid w:val="49F64E79"/>
    <w:rsid w:val="49FC1D3A"/>
    <w:rsid w:val="4A211E39"/>
    <w:rsid w:val="4B330FCF"/>
    <w:rsid w:val="4B571947"/>
    <w:rsid w:val="4BD82413"/>
    <w:rsid w:val="4BE95517"/>
    <w:rsid w:val="4C4F1A9E"/>
    <w:rsid w:val="4C8300CC"/>
    <w:rsid w:val="4C905E26"/>
    <w:rsid w:val="4D251429"/>
    <w:rsid w:val="4E8E260C"/>
    <w:rsid w:val="4ED676B8"/>
    <w:rsid w:val="4EEF1E97"/>
    <w:rsid w:val="4FEB4D54"/>
    <w:rsid w:val="50120532"/>
    <w:rsid w:val="50C47282"/>
    <w:rsid w:val="51112598"/>
    <w:rsid w:val="514C735B"/>
    <w:rsid w:val="51750D79"/>
    <w:rsid w:val="51DB3C59"/>
    <w:rsid w:val="51E02835"/>
    <w:rsid w:val="521C11F4"/>
    <w:rsid w:val="526037D7"/>
    <w:rsid w:val="52793056"/>
    <w:rsid w:val="52962977"/>
    <w:rsid w:val="535C1095"/>
    <w:rsid w:val="536D0A62"/>
    <w:rsid w:val="53CB25BE"/>
    <w:rsid w:val="5415414D"/>
    <w:rsid w:val="54372177"/>
    <w:rsid w:val="54F77361"/>
    <w:rsid w:val="550541C2"/>
    <w:rsid w:val="559425D1"/>
    <w:rsid w:val="573B750D"/>
    <w:rsid w:val="57E5652D"/>
    <w:rsid w:val="57F16C7F"/>
    <w:rsid w:val="59060509"/>
    <w:rsid w:val="59767D0B"/>
    <w:rsid w:val="59F41AB2"/>
    <w:rsid w:val="59FC4BAE"/>
    <w:rsid w:val="5A4A4CDF"/>
    <w:rsid w:val="5B195A0A"/>
    <w:rsid w:val="5B8648C0"/>
    <w:rsid w:val="5BEE2A2D"/>
    <w:rsid w:val="5C4C0BFA"/>
    <w:rsid w:val="5D454A69"/>
    <w:rsid w:val="5D916F3A"/>
    <w:rsid w:val="5DEE1AF1"/>
    <w:rsid w:val="5E00195E"/>
    <w:rsid w:val="5E023994"/>
    <w:rsid w:val="5E9D36BD"/>
    <w:rsid w:val="5FED2422"/>
    <w:rsid w:val="60575AEE"/>
    <w:rsid w:val="60837066"/>
    <w:rsid w:val="60CB40F5"/>
    <w:rsid w:val="61747C73"/>
    <w:rsid w:val="63105496"/>
    <w:rsid w:val="631A52DC"/>
    <w:rsid w:val="636C452A"/>
    <w:rsid w:val="637A221F"/>
    <w:rsid w:val="63DF65BB"/>
    <w:rsid w:val="64BB489D"/>
    <w:rsid w:val="651F62A0"/>
    <w:rsid w:val="65BB6FB3"/>
    <w:rsid w:val="66AC566C"/>
    <w:rsid w:val="66C739CD"/>
    <w:rsid w:val="67184229"/>
    <w:rsid w:val="682E182A"/>
    <w:rsid w:val="68C87588"/>
    <w:rsid w:val="6A3C022E"/>
    <w:rsid w:val="6B073F16"/>
    <w:rsid w:val="6B762898"/>
    <w:rsid w:val="6C6121CE"/>
    <w:rsid w:val="6CBE13CE"/>
    <w:rsid w:val="6CCD5A81"/>
    <w:rsid w:val="6D82064E"/>
    <w:rsid w:val="6F537761"/>
    <w:rsid w:val="6FA54587"/>
    <w:rsid w:val="70275B8D"/>
    <w:rsid w:val="70763F30"/>
    <w:rsid w:val="71792221"/>
    <w:rsid w:val="72315C80"/>
    <w:rsid w:val="72BA1D69"/>
    <w:rsid w:val="731F7E30"/>
    <w:rsid w:val="737F73DD"/>
    <w:rsid w:val="74160B04"/>
    <w:rsid w:val="747170F6"/>
    <w:rsid w:val="74A569D0"/>
    <w:rsid w:val="759D521C"/>
    <w:rsid w:val="75D82963"/>
    <w:rsid w:val="75F260C0"/>
    <w:rsid w:val="76525844"/>
    <w:rsid w:val="76634AE1"/>
    <w:rsid w:val="768B46D8"/>
    <w:rsid w:val="76DD4B47"/>
    <w:rsid w:val="7768078A"/>
    <w:rsid w:val="77B84C6C"/>
    <w:rsid w:val="77EE1ADA"/>
    <w:rsid w:val="77FDFBF5"/>
    <w:rsid w:val="786F6B68"/>
    <w:rsid w:val="78994A9D"/>
    <w:rsid w:val="78F33AF1"/>
    <w:rsid w:val="79344461"/>
    <w:rsid w:val="799B52C3"/>
    <w:rsid w:val="799F60E4"/>
    <w:rsid w:val="7A990D85"/>
    <w:rsid w:val="7B474C85"/>
    <w:rsid w:val="7B7AD3E9"/>
    <w:rsid w:val="7B9C6D7F"/>
    <w:rsid w:val="7BE52E9B"/>
    <w:rsid w:val="7BEF6180"/>
    <w:rsid w:val="7BF772DE"/>
    <w:rsid w:val="7C7C427B"/>
    <w:rsid w:val="7C9A1801"/>
    <w:rsid w:val="7CED6E37"/>
    <w:rsid w:val="7D085F7C"/>
    <w:rsid w:val="7D1F3432"/>
    <w:rsid w:val="7D9B4867"/>
    <w:rsid w:val="7DFFFC53"/>
    <w:rsid w:val="7E104524"/>
    <w:rsid w:val="7EC446F7"/>
    <w:rsid w:val="7F086780"/>
    <w:rsid w:val="7F1B1186"/>
    <w:rsid w:val="7FC96955"/>
    <w:rsid w:val="7FD81773"/>
    <w:rsid w:val="7FFD87A7"/>
    <w:rsid w:val="ADFDBA51"/>
    <w:rsid w:val="BEAF7251"/>
    <w:rsid w:val="BFFF9FF4"/>
    <w:rsid w:val="CBF9BCA7"/>
    <w:rsid w:val="DDED1440"/>
    <w:rsid w:val="E6EF20DD"/>
    <w:rsid w:val="EDC75A29"/>
    <w:rsid w:val="F5FFFDC7"/>
    <w:rsid w:val="FAEDA7B2"/>
    <w:rsid w:val="FEFD4917"/>
    <w:rsid w:val="FFD3B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spacing w:val="-6"/>
      <w:kern w:val="2"/>
      <w:sz w:val="32"/>
      <w:szCs w:val="32"/>
      <w:lang w:val="en-US" w:eastAsia="zh-CN" w:bidi="ar-SA"/>
    </w:rPr>
  </w:style>
  <w:style w:type="paragraph" w:styleId="2">
    <w:name w:val="heading 1"/>
    <w:next w:val="1"/>
    <w:qFormat/>
    <w:uiPriority w:val="9"/>
    <w:pPr>
      <w:keepNext/>
      <w:keepLines/>
      <w:spacing w:line="560" w:lineRule="exact"/>
      <w:ind w:firstLine="894" w:firstLineChars="200"/>
      <w:outlineLvl w:val="0"/>
    </w:pPr>
    <w:rPr>
      <w:rFonts w:ascii="黑体" w:hAnsi="黑体" w:eastAsia="黑体" w:cs="Times New Roman"/>
      <w:kern w:val="44"/>
      <w:sz w:val="32"/>
      <w:szCs w:val="32"/>
      <w:lang w:val="en-US" w:eastAsia="zh-CN" w:bidi="ar-SA"/>
    </w:rPr>
  </w:style>
  <w:style w:type="paragraph" w:styleId="3">
    <w:name w:val="heading 2"/>
    <w:basedOn w:val="1"/>
    <w:next w:val="1"/>
    <w:semiHidden/>
    <w:unhideWhenUsed/>
    <w:qFormat/>
    <w:uiPriority w:val="9"/>
    <w:pPr>
      <w:keepNext/>
      <w:keepLines/>
      <w:spacing w:line="560" w:lineRule="exact"/>
      <w:ind w:firstLine="894" w:firstLineChars="200"/>
      <w:outlineLvl w:val="1"/>
    </w:pPr>
    <w:rPr>
      <w:rFonts w:ascii="楷体_GB2312" w:hAnsi="楷体_GB2312" w:eastAsia="楷体_GB2312" w:cs="Times New Roman"/>
      <w:sz w:val="32"/>
      <w:szCs w:val="32"/>
      <w:lang w:val="en-US" w:eastAsia="zh-CN" w:bidi="ar-SA"/>
    </w:rPr>
  </w:style>
  <w:style w:type="paragraph" w:styleId="4">
    <w:name w:val="heading 3"/>
    <w:next w:val="1"/>
    <w:semiHidden/>
    <w:unhideWhenUsed/>
    <w:qFormat/>
    <w:uiPriority w:val="9"/>
    <w:pPr>
      <w:keepNext/>
      <w:keepLines/>
      <w:spacing w:line="560" w:lineRule="exact"/>
      <w:ind w:firstLine="894" w:firstLineChars="200"/>
      <w:outlineLvl w:val="2"/>
    </w:pPr>
    <w:rPr>
      <w:rFonts w:ascii="仿宋_GB2312" w:hAnsi="仿宋_GB2312" w:eastAsia="仿宋_GB2312" w:cs="Times New Roman"/>
      <w:sz w:val="32"/>
      <w:szCs w:val="32"/>
      <w:lang w:val="en-US" w:eastAsia="zh-CN" w:bidi="ar-SA"/>
    </w:rPr>
  </w:style>
  <w:style w:type="paragraph" w:styleId="5">
    <w:name w:val="heading 4"/>
    <w:next w:val="1"/>
    <w:semiHidden/>
    <w:unhideWhenUsed/>
    <w:qFormat/>
    <w:uiPriority w:val="9"/>
    <w:pPr>
      <w:keepNext/>
      <w:keepLines/>
      <w:spacing w:line="560" w:lineRule="exact"/>
      <w:ind w:firstLine="894" w:firstLineChars="200"/>
      <w:outlineLvl w:val="3"/>
    </w:pPr>
    <w:rPr>
      <w:rFonts w:ascii="仿宋_GB2312" w:hAnsi="仿宋_GB2312" w:eastAsia="仿宋_GB2312" w:cs="Times New Roman"/>
      <w:sz w:val="32"/>
      <w:szCs w:val="32"/>
      <w:lang w:val="en-US" w:eastAsia="zh-CN" w:bidi="ar-SA"/>
    </w:rPr>
  </w:style>
  <w:style w:type="paragraph" w:styleId="6">
    <w:name w:val="heading 5"/>
    <w:next w:val="1"/>
    <w:semiHidden/>
    <w:unhideWhenUsed/>
    <w:qFormat/>
    <w:uiPriority w:val="9"/>
    <w:pPr>
      <w:spacing w:line="560" w:lineRule="exact"/>
      <w:ind w:firstLine="894" w:firstLineChars="200"/>
      <w:outlineLvl w:val="4"/>
    </w:pPr>
    <w:rPr>
      <w:rFonts w:ascii="仿宋_GB2312" w:hAnsi="仿宋_GB2312" w:eastAsia="仿宋_GB2312" w:cs="Times New Roman"/>
      <w:sz w:val="32"/>
      <w:szCs w:val="32"/>
      <w:lang w:val="en-US" w:eastAsia="zh-CN" w:bidi="ar-SA"/>
    </w:rPr>
  </w:style>
  <w:style w:type="paragraph" w:styleId="7">
    <w:name w:val="heading 6"/>
    <w:next w:val="1"/>
    <w:semiHidden/>
    <w:unhideWhenUsed/>
    <w:qFormat/>
    <w:uiPriority w:val="9"/>
    <w:pPr>
      <w:spacing w:line="560" w:lineRule="exact"/>
      <w:ind w:firstLine="894" w:firstLineChars="200"/>
      <w:outlineLvl w:val="5"/>
    </w:pPr>
    <w:rPr>
      <w:rFonts w:ascii="仿宋_GB2312" w:hAnsi="仿宋_GB2312" w:eastAsia="仿宋_GB2312" w:cs="Times New Roman"/>
      <w:sz w:val="32"/>
      <w:szCs w:val="32"/>
      <w:lang w:val="en-US" w:eastAsia="zh-CN" w:bidi="ar-SA"/>
    </w:rPr>
  </w:style>
  <w:style w:type="paragraph" w:styleId="8">
    <w:name w:val="heading 7"/>
    <w:next w:val="1"/>
    <w:semiHidden/>
    <w:unhideWhenUsed/>
    <w:qFormat/>
    <w:uiPriority w:val="9"/>
    <w:pPr>
      <w:spacing w:line="560" w:lineRule="exact"/>
      <w:ind w:firstLine="894" w:firstLineChars="200"/>
      <w:outlineLvl w:val="6"/>
    </w:pPr>
    <w:rPr>
      <w:rFonts w:ascii="仿宋_GB2312" w:hAnsi="仿宋_GB2312" w:eastAsia="仿宋_GB2312" w:cs="Times New Roman"/>
      <w:sz w:val="32"/>
      <w:szCs w:val="32"/>
      <w:lang w:val="en-US" w:eastAsia="zh-CN" w:bidi="ar-SA"/>
    </w:rPr>
  </w:style>
  <w:style w:type="paragraph" w:styleId="9">
    <w:name w:val="heading 8"/>
    <w:next w:val="1"/>
    <w:semiHidden/>
    <w:unhideWhenUsed/>
    <w:qFormat/>
    <w:uiPriority w:val="9"/>
    <w:pPr>
      <w:spacing w:line="560" w:lineRule="exact"/>
      <w:ind w:firstLine="894" w:firstLineChars="200"/>
      <w:outlineLvl w:val="7"/>
    </w:pPr>
    <w:rPr>
      <w:rFonts w:ascii="仿宋_GB2312" w:hAnsi="仿宋_GB2312" w:eastAsia="仿宋_GB2312" w:cs="Times New Roman"/>
      <w:sz w:val="32"/>
      <w:szCs w:val="32"/>
      <w:lang w:val="en-US" w:eastAsia="zh-CN" w:bidi="ar-SA"/>
    </w:rPr>
  </w:style>
  <w:style w:type="paragraph" w:styleId="10">
    <w:name w:val="heading 9"/>
    <w:next w:val="1"/>
    <w:semiHidden/>
    <w:unhideWhenUsed/>
    <w:qFormat/>
    <w:uiPriority w:val="9"/>
    <w:pPr>
      <w:spacing w:line="560" w:lineRule="exact"/>
      <w:ind w:firstLine="894" w:firstLineChars="200"/>
      <w:outlineLvl w:val="8"/>
    </w:pPr>
    <w:rPr>
      <w:rFonts w:ascii="仿宋_GB2312" w:hAnsi="仿宋_GB2312" w:eastAsia="仿宋_GB2312" w:cs="Times New Roman"/>
      <w:sz w:val="32"/>
      <w:szCs w:val="32"/>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unhideWhenUsed/>
    <w:qFormat/>
    <w:uiPriority w:val="99"/>
    <w:pPr>
      <w:spacing w:line="560" w:lineRule="exact"/>
      <w:ind w:firstLine="630" w:firstLineChars="200"/>
      <w:jc w:val="both"/>
    </w:pPr>
    <w:rPr>
      <w:rFonts w:ascii="仿宋_GB2312" w:hAnsi="仿宋_GB2312" w:eastAsia="仿宋_GB2312" w:cs="Times New Roman"/>
      <w:spacing w:val="-6"/>
      <w:sz w:val="32"/>
      <w:lang w:val="en-US" w:eastAsia="zh-CN" w:bidi="ar-SA"/>
    </w:rPr>
  </w:style>
  <w:style w:type="paragraph" w:styleId="12">
    <w:name w:val="Balloon Text"/>
    <w:basedOn w:val="1"/>
    <w:link w:val="25"/>
    <w:semiHidden/>
    <w:unhideWhenUsed/>
    <w:qFormat/>
    <w:uiPriority w:val="99"/>
    <w:rPr>
      <w:sz w:val="18"/>
      <w:szCs w:val="18"/>
    </w:rPr>
  </w:style>
  <w:style w:type="paragraph" w:styleId="13">
    <w:name w:val="footer"/>
    <w:link w:val="23"/>
    <w:unhideWhenUsed/>
    <w:qFormat/>
    <w:uiPriority w:val="99"/>
    <w:pPr>
      <w:widowControl w:val="0"/>
      <w:tabs>
        <w:tab w:val="center" w:pos="4153"/>
        <w:tab w:val="right" w:pos="8306"/>
      </w:tabs>
    </w:pPr>
    <w:rPr>
      <w:rFonts w:ascii="仿宋_GB2312" w:hAnsi="仿宋_GB2312" w:eastAsia="仿宋_GB2312" w:cs="Times New Roman"/>
      <w:spacing w:val="-6"/>
      <w:kern w:val="2"/>
      <w:sz w:val="18"/>
      <w:szCs w:val="32"/>
      <w:lang w:val="en-US" w:eastAsia="zh-CN" w:bidi="ar-SA"/>
    </w:rPr>
  </w:style>
  <w:style w:type="paragraph" w:styleId="14">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qFormat/>
    <w:uiPriority w:val="11"/>
    <w:pPr>
      <w:spacing w:line="560" w:lineRule="exact"/>
      <w:jc w:val="center"/>
      <w:outlineLvl w:val="1"/>
    </w:pPr>
    <w:rPr>
      <w:rFonts w:ascii="楷体_GB2312" w:hAnsi="楷体_GB2312" w:eastAsia="楷体_GB2312" w:cs="Times New Roman"/>
      <w:kern w:val="28"/>
      <w:sz w:val="32"/>
      <w:szCs w:val="32"/>
      <w:lang w:val="en-US" w:eastAsia="zh-CN" w:bidi="ar-SA"/>
    </w:rPr>
  </w:style>
  <w:style w:type="paragraph" w:styleId="16">
    <w:name w:val="Normal (Web)"/>
    <w:basedOn w:val="1"/>
    <w:semiHidden/>
    <w:unhideWhenUsed/>
    <w:qFormat/>
    <w:uiPriority w:val="99"/>
    <w:pPr>
      <w:spacing w:beforeAutospacing="1" w:afterAutospacing="1"/>
      <w:jc w:val="left"/>
    </w:pPr>
    <w:rPr>
      <w:kern w:val="0"/>
      <w:sz w:val="24"/>
    </w:rPr>
  </w:style>
  <w:style w:type="paragraph" w:styleId="17">
    <w:name w:val="Title"/>
    <w:qFormat/>
    <w:uiPriority w:val="10"/>
    <w:pPr>
      <w:spacing w:line="720" w:lineRule="exact"/>
      <w:jc w:val="center"/>
      <w:outlineLvl w:val="0"/>
    </w:pPr>
    <w:rPr>
      <w:rFonts w:ascii="Arial Unicode MS" w:hAnsi="Arial Unicode MS" w:eastAsia="Arial Unicode MS" w:cs="Times New Roman"/>
      <w:sz w:val="44"/>
      <w:szCs w:val="44"/>
      <w:lang w:val="en-US" w:eastAsia="zh-CN" w:bidi="ar-SA"/>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customStyle="1" w:styleId="22">
    <w:name w:val="页眉 字符"/>
    <w:basedOn w:val="20"/>
    <w:link w:val="14"/>
    <w:qFormat/>
    <w:uiPriority w:val="99"/>
    <w:rPr>
      <w:sz w:val="18"/>
      <w:szCs w:val="18"/>
    </w:rPr>
  </w:style>
  <w:style w:type="character" w:customStyle="1" w:styleId="23">
    <w:name w:val="页脚 字符"/>
    <w:basedOn w:val="20"/>
    <w:link w:val="13"/>
    <w:qFormat/>
    <w:uiPriority w:val="99"/>
    <w:rPr>
      <w:sz w:val="18"/>
      <w:szCs w:val="18"/>
    </w:rPr>
  </w:style>
  <w:style w:type="paragraph" w:styleId="24">
    <w:name w:val="List Paragraph"/>
    <w:basedOn w:val="1"/>
    <w:qFormat/>
    <w:uiPriority w:val="34"/>
    <w:pPr>
      <w:ind w:firstLine="420" w:firstLineChars="200"/>
    </w:pPr>
  </w:style>
  <w:style w:type="character" w:customStyle="1" w:styleId="25">
    <w:name w:val="批注框文本 字符"/>
    <w:basedOn w:val="20"/>
    <w:link w:val="12"/>
    <w:semiHidden/>
    <w:qFormat/>
    <w:uiPriority w:val="99"/>
    <w:rPr>
      <w:sz w:val="18"/>
      <w:szCs w:val="18"/>
    </w:rPr>
  </w:style>
  <w:style w:type="paragraph" w:customStyle="1" w:styleId="26">
    <w:name w:val="章标题"/>
    <w:next w:val="1"/>
    <w:qFormat/>
    <w:uiPriority w:val="0"/>
    <w:pPr>
      <w:widowControl w:val="0"/>
      <w:spacing w:line="720" w:lineRule="exact"/>
      <w:jc w:val="center"/>
      <w:outlineLvl w:val="0"/>
    </w:pPr>
    <w:rPr>
      <w:rFonts w:ascii="黑体" w:hAnsi="黑体" w:eastAsia="黑体" w:cs="Times New Roman"/>
      <w:bCs/>
      <w:spacing w:val="-6"/>
      <w:kern w:val="44"/>
      <w:sz w:val="32"/>
      <w:szCs w:val="44"/>
      <w:lang w:val="en-US" w:eastAsia="zh-CN" w:bidi="ar-SA"/>
    </w:rPr>
  </w:style>
  <w:style w:type="paragraph" w:customStyle="1" w:styleId="27">
    <w:name w:val="一级标题"/>
    <w:basedOn w:val="1"/>
    <w:qFormat/>
    <w:uiPriority w:val="0"/>
    <w:pPr>
      <w:spacing w:before="50" w:beforeLines="50" w:after="50" w:afterLines="50" w:line="520" w:lineRule="exact"/>
      <w:jc w:val="center"/>
    </w:pPr>
    <w:rPr>
      <w:rFonts w:hint="eastAsia" w:ascii="黑体" w:hAnsi="黑体" w:eastAsia="黑体" w:cs="黑体"/>
    </w:rPr>
  </w:style>
  <w:style w:type="paragraph" w:customStyle="1" w:styleId="28">
    <w:name w:val="条目"/>
    <w:basedOn w:val="1"/>
    <w:qFormat/>
    <w:uiPriority w:val="0"/>
    <w:pPr>
      <w:spacing w:line="520" w:lineRule="exact"/>
      <w:ind w:firstLine="616" w:firstLineChars="200"/>
    </w:pPr>
    <w:rPr>
      <w:rFonts w:hint="eastAsia"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3431</Words>
  <Characters>3708</Characters>
  <Lines>101</Lines>
  <Paragraphs>73</Paragraphs>
  <TotalTime>4</TotalTime>
  <ScaleCrop>false</ScaleCrop>
  <LinksUpToDate>false</LinksUpToDate>
  <CharactersWithSpaces>3776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2025-08-02T03:57:00Z</dcterms:created>
  <dc:creator>lenovo</dc:creator>
  <cp:lastModifiedBy>张远</cp:lastModifiedBy>
  <cp:lastPrinted>2025-08-08T01:17:00Z</cp:lastPrinted>
  <dcterms:modified xsi:type="dcterms:W3CDTF">2025-08-11T02:31:09Z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eyJoZGlkIjoiYTQzZWYxNTAyYzMyM2NhZTI4NjcxZGFhODM0NzM4MjEiLCJ1c2VySWQiOiI1Nzk3MDAxNjMifQ==</vt:lpwstr>
  </property>
  <property fmtid="{D5CDD505-2E9C-101B-9397-08002B2CF9AE}" pid="3" name="KSOProductBuildVer">
    <vt:lpwstr>2052-12.1.0.21915</vt:lpwstr>
  </property>
  <property fmtid="{D5CDD505-2E9C-101B-9397-08002B2CF9AE}" pid="4" name="ICV">
    <vt:lpwstr>3B3D56672B4946E29DC12373A5E4D5EA_13</vt:lpwstr>
  </property>
</Properties>
</file>